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57BC0" w:rsidRPr="00E72ABD" w14:paraId="0991EE8E" w14:textId="77777777" w:rsidTr="00C868BA">
        <w:trPr>
          <w:trHeight w:hRule="exact" w:val="851"/>
        </w:trPr>
        <w:tc>
          <w:tcPr>
            <w:tcW w:w="1276" w:type="dxa"/>
            <w:tcBorders>
              <w:bottom w:val="single" w:sz="4" w:space="0" w:color="auto"/>
            </w:tcBorders>
          </w:tcPr>
          <w:p w14:paraId="4605D20E" w14:textId="77777777" w:rsidR="00057BC0" w:rsidRPr="00DB58B5" w:rsidRDefault="006C03EE" w:rsidP="00186254">
            <w:bookmarkStart w:id="0" w:name="_GoBack"/>
            <w:bookmarkEnd w:id="0"/>
            <w:r>
              <w:t xml:space="preserve"> </w:t>
            </w:r>
          </w:p>
        </w:tc>
        <w:tc>
          <w:tcPr>
            <w:tcW w:w="2268" w:type="dxa"/>
            <w:tcBorders>
              <w:bottom w:val="single" w:sz="4" w:space="0" w:color="auto"/>
            </w:tcBorders>
            <w:vAlign w:val="bottom"/>
          </w:tcPr>
          <w:p w14:paraId="6858435E" w14:textId="13A49B8F" w:rsidR="00057BC0" w:rsidRPr="00DB58B5" w:rsidRDefault="00057BC0" w:rsidP="00186254">
            <w:pPr>
              <w:spacing w:after="80" w:line="300" w:lineRule="exact"/>
              <w:rPr>
                <w:sz w:val="28"/>
              </w:rPr>
            </w:pPr>
          </w:p>
        </w:tc>
        <w:tc>
          <w:tcPr>
            <w:tcW w:w="6095" w:type="dxa"/>
            <w:gridSpan w:val="2"/>
            <w:tcBorders>
              <w:bottom w:val="single" w:sz="4" w:space="0" w:color="auto"/>
            </w:tcBorders>
            <w:vAlign w:val="bottom"/>
          </w:tcPr>
          <w:p w14:paraId="1D1D56A6" w14:textId="77777777" w:rsidR="00057BC0" w:rsidRPr="00E72ABD" w:rsidRDefault="003977EC" w:rsidP="00C868BA">
            <w:pPr>
              <w:jc w:val="right"/>
            </w:pPr>
            <w:r w:rsidRPr="00E72ABD">
              <w:rPr>
                <w:sz w:val="40"/>
              </w:rPr>
              <w:t>A</w:t>
            </w:r>
            <w:r w:rsidR="00C868BA" w:rsidRPr="00E72ABD">
              <w:t>/HRC/42</w:t>
            </w:r>
            <w:r w:rsidRPr="00E72ABD">
              <w:t>/CRP.2</w:t>
            </w:r>
          </w:p>
        </w:tc>
      </w:tr>
      <w:tr w:rsidR="00057BC0" w:rsidRPr="00E72ABD" w14:paraId="26267D49" w14:textId="77777777" w:rsidTr="00186254">
        <w:trPr>
          <w:trHeight w:hRule="exact" w:val="2835"/>
        </w:trPr>
        <w:tc>
          <w:tcPr>
            <w:tcW w:w="1276" w:type="dxa"/>
            <w:tcBorders>
              <w:top w:val="single" w:sz="4" w:space="0" w:color="auto"/>
              <w:bottom w:val="single" w:sz="12" w:space="0" w:color="auto"/>
            </w:tcBorders>
          </w:tcPr>
          <w:p w14:paraId="3E7985AB" w14:textId="0243F20C" w:rsidR="00057BC0" w:rsidRPr="00E72ABD" w:rsidRDefault="00057BC0" w:rsidP="00186254">
            <w:pPr>
              <w:spacing w:before="120"/>
              <w:jc w:val="center"/>
            </w:pPr>
          </w:p>
        </w:tc>
        <w:tc>
          <w:tcPr>
            <w:tcW w:w="5528" w:type="dxa"/>
            <w:gridSpan w:val="2"/>
            <w:tcBorders>
              <w:top w:val="single" w:sz="4" w:space="0" w:color="auto"/>
              <w:bottom w:val="single" w:sz="12" w:space="0" w:color="auto"/>
            </w:tcBorders>
          </w:tcPr>
          <w:p w14:paraId="5709C0EB" w14:textId="03A95EC0" w:rsidR="00057BC0" w:rsidRPr="00E72ABD" w:rsidRDefault="00057BC0" w:rsidP="00186254">
            <w:pPr>
              <w:spacing w:before="120" w:line="420" w:lineRule="exact"/>
              <w:rPr>
                <w:b/>
                <w:sz w:val="40"/>
                <w:szCs w:val="40"/>
              </w:rPr>
            </w:pPr>
          </w:p>
        </w:tc>
        <w:tc>
          <w:tcPr>
            <w:tcW w:w="2835" w:type="dxa"/>
            <w:tcBorders>
              <w:top w:val="single" w:sz="4" w:space="0" w:color="auto"/>
              <w:bottom w:val="single" w:sz="12" w:space="0" w:color="auto"/>
            </w:tcBorders>
          </w:tcPr>
          <w:p w14:paraId="6A0B18AC" w14:textId="185FA722" w:rsidR="003977EC" w:rsidRPr="00E72ABD" w:rsidRDefault="00AD4FD5" w:rsidP="00124BE7">
            <w:pPr>
              <w:spacing w:before="120" w:line="240" w:lineRule="exact"/>
            </w:pPr>
            <w:r>
              <w:t>05 May 2020</w:t>
            </w:r>
          </w:p>
          <w:p w14:paraId="068B543B" w14:textId="77777777" w:rsidR="00801145" w:rsidRPr="00E72ABD" w:rsidRDefault="00801145" w:rsidP="00124BE7">
            <w:pPr>
              <w:spacing w:before="120" w:line="240" w:lineRule="exact"/>
            </w:pPr>
          </w:p>
          <w:p w14:paraId="46BE673C" w14:textId="451D565C" w:rsidR="003977EC" w:rsidRPr="00E72ABD" w:rsidRDefault="00BF515F" w:rsidP="003977EC">
            <w:pPr>
              <w:spacing w:line="240" w:lineRule="exact"/>
            </w:pPr>
            <w:r w:rsidRPr="00E72ABD">
              <w:t xml:space="preserve">Unofficial Translation </w:t>
            </w:r>
          </w:p>
          <w:p w14:paraId="06B31FBC" w14:textId="77777777" w:rsidR="00801145" w:rsidRPr="00E72ABD" w:rsidRDefault="00801145" w:rsidP="00703A17">
            <w:pPr>
              <w:spacing w:line="240" w:lineRule="exact"/>
            </w:pPr>
          </w:p>
          <w:p w14:paraId="2AD2010B" w14:textId="77777777" w:rsidR="00801145" w:rsidRPr="00E72ABD" w:rsidRDefault="00801145" w:rsidP="00703A17">
            <w:pPr>
              <w:spacing w:line="240" w:lineRule="exact"/>
            </w:pPr>
          </w:p>
          <w:p w14:paraId="118B4017" w14:textId="20D51D4E" w:rsidR="003977EC" w:rsidRPr="00E72ABD" w:rsidRDefault="00703A17" w:rsidP="00703A17">
            <w:pPr>
              <w:spacing w:line="240" w:lineRule="exact"/>
            </w:pPr>
            <w:r w:rsidRPr="00E72ABD">
              <w:t>Original : French</w:t>
            </w:r>
          </w:p>
        </w:tc>
      </w:tr>
    </w:tbl>
    <w:p w14:paraId="2DA12593" w14:textId="7B8FB53E" w:rsidR="00C868BA" w:rsidRPr="00E72ABD" w:rsidRDefault="00703A17" w:rsidP="00C868BA">
      <w:pPr>
        <w:spacing w:before="120"/>
        <w:rPr>
          <w:b/>
          <w:sz w:val="24"/>
          <w:szCs w:val="24"/>
          <w:u w:val="thick"/>
        </w:rPr>
      </w:pPr>
      <w:r w:rsidRPr="00E72ABD">
        <w:rPr>
          <w:b/>
          <w:sz w:val="24"/>
          <w:szCs w:val="24"/>
        </w:rPr>
        <w:t>Human Rights Council</w:t>
      </w:r>
    </w:p>
    <w:p w14:paraId="1A2B39E4" w14:textId="599BD23B" w:rsidR="003977EC" w:rsidRPr="00E72ABD" w:rsidRDefault="00703A17" w:rsidP="00794671">
      <w:r w:rsidRPr="00E72ABD">
        <w:rPr>
          <w:b/>
        </w:rPr>
        <w:t>Forty</w:t>
      </w:r>
      <w:r w:rsidR="00C868BA" w:rsidRPr="00E72ABD">
        <w:rPr>
          <w:b/>
        </w:rPr>
        <w:t>-</w:t>
      </w:r>
      <w:r w:rsidRPr="00E72ABD">
        <w:rPr>
          <w:b/>
        </w:rPr>
        <w:t xml:space="preserve">second </w:t>
      </w:r>
      <w:r w:rsidR="00C868BA" w:rsidRPr="00E72ABD">
        <w:rPr>
          <w:b/>
        </w:rPr>
        <w:t>session</w:t>
      </w:r>
    </w:p>
    <w:p w14:paraId="0758B03B" w14:textId="30998D6E" w:rsidR="00C868BA" w:rsidRPr="00E72ABD" w:rsidRDefault="003212B2" w:rsidP="00794671">
      <w:r w:rsidRPr="00E72ABD">
        <w:t>9–</w:t>
      </w:r>
      <w:r w:rsidR="00703A17" w:rsidRPr="00E72ABD">
        <w:t>27 S</w:t>
      </w:r>
      <w:r w:rsidR="00C868BA" w:rsidRPr="00E72ABD">
        <w:t>eptemb</w:t>
      </w:r>
      <w:r w:rsidR="00703A17" w:rsidRPr="00E72ABD">
        <w:t xml:space="preserve">er </w:t>
      </w:r>
      <w:r w:rsidR="00C868BA" w:rsidRPr="00E72ABD">
        <w:t>2019</w:t>
      </w:r>
    </w:p>
    <w:p w14:paraId="706D7716" w14:textId="2154D70C" w:rsidR="00C868BA" w:rsidRPr="00E72ABD" w:rsidRDefault="00703A17" w:rsidP="00794671">
      <w:r w:rsidRPr="00E72ABD">
        <w:t xml:space="preserve">Agenda item </w:t>
      </w:r>
      <w:r w:rsidR="00C868BA" w:rsidRPr="00E72ABD">
        <w:t xml:space="preserve">Point 4 </w:t>
      </w:r>
    </w:p>
    <w:p w14:paraId="327E74EA" w14:textId="27FA6CC6" w:rsidR="00C868BA" w:rsidRPr="00E72ABD" w:rsidRDefault="00703A17" w:rsidP="00794671">
      <w:r w:rsidRPr="00E72ABD">
        <w:rPr>
          <w:b/>
        </w:rPr>
        <w:t>Human rights s</w:t>
      </w:r>
      <w:r w:rsidR="00C868BA" w:rsidRPr="00E72ABD">
        <w:rPr>
          <w:b/>
        </w:rPr>
        <w:t xml:space="preserve">ituations </w:t>
      </w:r>
      <w:r w:rsidRPr="00E72ABD">
        <w:rPr>
          <w:b/>
        </w:rPr>
        <w:t>that require the Council’s attention</w:t>
      </w:r>
    </w:p>
    <w:p w14:paraId="150F6A55" w14:textId="77777777" w:rsidR="00B878E2" w:rsidRPr="00E72ABD" w:rsidRDefault="00057C2E" w:rsidP="006A0BF8">
      <w:pPr>
        <w:pStyle w:val="HChG"/>
      </w:pPr>
      <w:r w:rsidRPr="00E72ABD">
        <w:tab/>
      </w:r>
      <w:r w:rsidRPr="00E72ABD">
        <w:tab/>
      </w:r>
    </w:p>
    <w:p w14:paraId="43BBEFC4" w14:textId="77777777" w:rsidR="00B878E2" w:rsidRPr="00E72ABD" w:rsidRDefault="00B878E2" w:rsidP="006A0BF8">
      <w:pPr>
        <w:pStyle w:val="HChG"/>
      </w:pPr>
    </w:p>
    <w:p w14:paraId="3857FA78" w14:textId="5C6B7491" w:rsidR="00C868BA" w:rsidRPr="00E72ABD" w:rsidRDefault="00B878E2" w:rsidP="006A0BF8">
      <w:pPr>
        <w:pStyle w:val="HChG"/>
        <w:rPr>
          <w:b w:val="0"/>
          <w:sz w:val="20"/>
        </w:rPr>
      </w:pPr>
      <w:r w:rsidRPr="00E72ABD">
        <w:tab/>
      </w:r>
      <w:r w:rsidRPr="00E72ABD">
        <w:tab/>
      </w:r>
      <w:r w:rsidR="00057C2E" w:rsidRPr="00E72ABD">
        <w:t>Detailed Final R</w:t>
      </w:r>
      <w:r w:rsidR="00703A17" w:rsidRPr="00E72ABD">
        <w:t xml:space="preserve">eport of the Commission of Inquiry on </w:t>
      </w:r>
      <w:r w:rsidR="00C868BA" w:rsidRPr="00E72ABD">
        <w:t>Burundi</w:t>
      </w:r>
      <w:r w:rsidR="006A0BF8" w:rsidRPr="00E72ABD">
        <w:rPr>
          <w:rStyle w:val="FootnoteReference"/>
          <w:b w:val="0"/>
          <w:sz w:val="20"/>
          <w:vertAlign w:val="baseline"/>
        </w:rPr>
        <w:footnoteReference w:customMarkFollows="1" w:id="2"/>
        <w:t>*</w:t>
      </w:r>
    </w:p>
    <w:p w14:paraId="4A5B9420" w14:textId="6C0A0C1A" w:rsidR="00411E6D" w:rsidRPr="00E72ABD" w:rsidRDefault="00411E6D" w:rsidP="00411E6D">
      <w:pPr>
        <w:rPr>
          <w:lang w:val="fr-CH"/>
        </w:rPr>
      </w:pPr>
      <w:r w:rsidRPr="00E72ABD">
        <w:rPr>
          <w:b/>
          <w:sz w:val="28"/>
        </w:rPr>
        <w:tab/>
      </w:r>
      <w:r w:rsidRPr="00E72ABD">
        <w:rPr>
          <w:b/>
          <w:sz w:val="28"/>
        </w:rPr>
        <w:tab/>
      </w:r>
      <w:r w:rsidRPr="00E72ABD">
        <w:rPr>
          <w:b/>
          <w:sz w:val="28"/>
          <w:lang w:val="fr-CH"/>
        </w:rPr>
        <w:t>[Extracts]</w:t>
      </w:r>
    </w:p>
    <w:p w14:paraId="22308FAF" w14:textId="77777777" w:rsidR="006A0BF8" w:rsidRPr="00E72ABD" w:rsidRDefault="006A0BF8" w:rsidP="003212B2">
      <w:pPr>
        <w:pStyle w:val="CommentText"/>
        <w:suppressAutoHyphens w:val="0"/>
        <w:rPr>
          <w:lang w:val="fr-CH"/>
        </w:rPr>
      </w:pPr>
      <w:r w:rsidRPr="00E72ABD">
        <w:rPr>
          <w:lang w:val="fr-CH"/>
        </w:rPr>
        <w:br w:type="page"/>
      </w:r>
    </w:p>
    <w:p w14:paraId="3C04E7FE" w14:textId="3420652B" w:rsidR="006A0BF8" w:rsidRPr="00E72ABD" w:rsidRDefault="00703A17" w:rsidP="00332AEF">
      <w:pPr>
        <w:spacing w:after="120"/>
        <w:rPr>
          <w:sz w:val="28"/>
          <w:lang w:val="fr-CH"/>
        </w:rPr>
      </w:pPr>
      <w:r w:rsidRPr="00E72ABD">
        <w:rPr>
          <w:sz w:val="28"/>
          <w:lang w:val="fr-CH"/>
        </w:rPr>
        <w:lastRenderedPageBreak/>
        <w:t>Content</w:t>
      </w:r>
    </w:p>
    <w:p w14:paraId="2344D6B0" w14:textId="77777777" w:rsidR="006A0BF8" w:rsidRPr="00E72ABD" w:rsidRDefault="006A0BF8" w:rsidP="00332AEF">
      <w:pPr>
        <w:tabs>
          <w:tab w:val="right" w:pos="9638"/>
        </w:tabs>
        <w:spacing w:after="120"/>
        <w:ind w:left="283"/>
        <w:rPr>
          <w:sz w:val="18"/>
          <w:lang w:val="fr-CH"/>
        </w:rPr>
      </w:pPr>
      <w:r w:rsidRPr="00E72ABD">
        <w:rPr>
          <w:i/>
          <w:sz w:val="18"/>
          <w:lang w:val="fr-CH"/>
        </w:rPr>
        <w:tab/>
        <w:t>Page</w:t>
      </w:r>
    </w:p>
    <w:p w14:paraId="22ECE87E" w14:textId="77777777" w:rsidR="006A0BF8" w:rsidRPr="00E72ABD" w:rsidRDefault="006A0BF8" w:rsidP="006A0BF8">
      <w:pPr>
        <w:tabs>
          <w:tab w:val="right" w:pos="850"/>
          <w:tab w:val="left" w:pos="1134"/>
          <w:tab w:val="left" w:pos="1559"/>
          <w:tab w:val="left" w:pos="1984"/>
          <w:tab w:val="left" w:leader="dot" w:pos="8929"/>
          <w:tab w:val="right" w:pos="9638"/>
        </w:tabs>
        <w:spacing w:after="120"/>
        <w:rPr>
          <w:lang w:val="fr-CH"/>
        </w:rPr>
      </w:pPr>
      <w:r w:rsidRPr="00E72ABD">
        <w:rPr>
          <w:lang w:val="fr-CH"/>
        </w:rPr>
        <w:tab/>
        <w:t>I.</w:t>
      </w:r>
      <w:r w:rsidRPr="00E72ABD">
        <w:rPr>
          <w:lang w:val="fr-CH"/>
        </w:rPr>
        <w:tab/>
        <w:t>Introduction</w:t>
      </w:r>
      <w:r w:rsidRPr="00E72ABD">
        <w:rPr>
          <w:lang w:val="fr-CH"/>
        </w:rPr>
        <w:tab/>
      </w:r>
      <w:r w:rsidRPr="00E72ABD">
        <w:rPr>
          <w:lang w:val="fr-CH"/>
        </w:rPr>
        <w:tab/>
      </w:r>
      <w:r w:rsidR="00814F06" w:rsidRPr="00E72ABD">
        <w:rPr>
          <w:lang w:val="fr-CH"/>
        </w:rPr>
        <w:t>4</w:t>
      </w:r>
    </w:p>
    <w:p w14:paraId="759FF958" w14:textId="0A63D51E" w:rsidR="006A0BF8" w:rsidRPr="00E72ABD" w:rsidRDefault="006A0BF8" w:rsidP="006A0BF8">
      <w:pPr>
        <w:tabs>
          <w:tab w:val="right" w:pos="850"/>
          <w:tab w:val="left" w:pos="1134"/>
          <w:tab w:val="left" w:pos="1559"/>
          <w:tab w:val="left" w:pos="1984"/>
          <w:tab w:val="left" w:leader="dot" w:pos="8929"/>
          <w:tab w:val="right" w:pos="9638"/>
        </w:tabs>
        <w:spacing w:after="120"/>
      </w:pPr>
      <w:r w:rsidRPr="00E72ABD">
        <w:rPr>
          <w:lang w:val="fr-CH"/>
        </w:rPr>
        <w:tab/>
      </w:r>
      <w:r w:rsidRPr="00E72ABD">
        <w:rPr>
          <w:lang w:val="fr-CH"/>
        </w:rPr>
        <w:tab/>
      </w:r>
      <w:r w:rsidRPr="00E72ABD">
        <w:t>A.</w:t>
      </w:r>
      <w:r w:rsidRPr="00E72ABD">
        <w:tab/>
      </w:r>
      <w:r w:rsidR="00703A17" w:rsidRPr="00E72ABD">
        <w:t>Extension of the mandate of the</w:t>
      </w:r>
      <w:r w:rsidRPr="00E72ABD">
        <w:t xml:space="preserve"> Commission</w:t>
      </w:r>
      <w:r w:rsidRPr="00E72ABD">
        <w:tab/>
      </w:r>
      <w:r w:rsidRPr="00E72ABD">
        <w:tab/>
      </w:r>
      <w:r w:rsidR="00814F06" w:rsidRPr="00E72ABD">
        <w:t>4</w:t>
      </w:r>
    </w:p>
    <w:p w14:paraId="152DA16D" w14:textId="26A0BA5C" w:rsidR="006A0BF8" w:rsidRPr="00E72ABD" w:rsidRDefault="006A0BF8" w:rsidP="006A0BF8">
      <w:pPr>
        <w:tabs>
          <w:tab w:val="right" w:pos="850"/>
          <w:tab w:val="left" w:pos="1134"/>
          <w:tab w:val="left" w:pos="1559"/>
          <w:tab w:val="left" w:pos="1984"/>
          <w:tab w:val="left" w:leader="dot" w:pos="8929"/>
          <w:tab w:val="right" w:pos="9638"/>
        </w:tabs>
        <w:spacing w:after="120"/>
      </w:pPr>
      <w:r w:rsidRPr="00E72ABD">
        <w:tab/>
      </w:r>
      <w:r w:rsidRPr="00E72ABD">
        <w:tab/>
        <w:t>B.</w:t>
      </w:r>
      <w:r w:rsidRPr="00E72ABD">
        <w:tab/>
        <w:t>Coop</w:t>
      </w:r>
      <w:r w:rsidR="00703A17" w:rsidRPr="00E72ABD">
        <w:t xml:space="preserve">eration with the </w:t>
      </w:r>
      <w:r w:rsidRPr="00E72ABD">
        <w:t>Commission</w:t>
      </w:r>
      <w:r w:rsidRPr="00E72ABD">
        <w:tab/>
      </w:r>
      <w:r w:rsidRPr="00E72ABD">
        <w:tab/>
      </w:r>
      <w:r w:rsidR="00814F06" w:rsidRPr="00E72ABD">
        <w:t>6</w:t>
      </w:r>
    </w:p>
    <w:p w14:paraId="1296A133" w14:textId="32D246ED" w:rsidR="006A0BF8" w:rsidRPr="00E72ABD" w:rsidRDefault="006A0BF8" w:rsidP="006A0BF8">
      <w:pPr>
        <w:tabs>
          <w:tab w:val="right" w:pos="850"/>
          <w:tab w:val="left" w:pos="1134"/>
          <w:tab w:val="left" w:pos="1559"/>
          <w:tab w:val="left" w:pos="1984"/>
          <w:tab w:val="left" w:leader="dot" w:pos="8929"/>
          <w:tab w:val="right" w:pos="9638"/>
        </w:tabs>
        <w:spacing w:after="120"/>
      </w:pPr>
      <w:r w:rsidRPr="00E72ABD">
        <w:tab/>
      </w:r>
      <w:r w:rsidRPr="00E72ABD">
        <w:tab/>
        <w:t>C.</w:t>
      </w:r>
      <w:r w:rsidRPr="00E72ABD">
        <w:tab/>
        <w:t>M</w:t>
      </w:r>
      <w:r w:rsidR="00703A17" w:rsidRPr="00E72ABD">
        <w:t>e</w:t>
      </w:r>
      <w:r w:rsidRPr="00E72ABD">
        <w:t>thodolog</w:t>
      </w:r>
      <w:r w:rsidR="00703A17" w:rsidRPr="00E72ABD">
        <w:t>y and applicable law</w:t>
      </w:r>
      <w:r w:rsidRPr="00E72ABD">
        <w:tab/>
      </w:r>
      <w:r w:rsidRPr="00E72ABD">
        <w:tab/>
      </w:r>
      <w:r w:rsidR="00814F06" w:rsidRPr="00E72ABD">
        <w:t>8</w:t>
      </w:r>
    </w:p>
    <w:p w14:paraId="37B2E9C2" w14:textId="055FE623" w:rsidR="006A0BF8" w:rsidRPr="00E72ABD" w:rsidRDefault="006A0BF8" w:rsidP="006A0BF8">
      <w:pPr>
        <w:tabs>
          <w:tab w:val="right" w:pos="850"/>
          <w:tab w:val="left" w:pos="1134"/>
          <w:tab w:val="left" w:pos="1559"/>
          <w:tab w:val="left" w:pos="1984"/>
          <w:tab w:val="left" w:leader="dot" w:pos="8929"/>
          <w:tab w:val="right" w:pos="9638"/>
        </w:tabs>
        <w:spacing w:after="120"/>
      </w:pPr>
      <w:r w:rsidRPr="00E72ABD">
        <w:tab/>
      </w:r>
      <w:r w:rsidRPr="00E72ABD">
        <w:tab/>
        <w:t>D.</w:t>
      </w:r>
      <w:r w:rsidRPr="00E72ABD">
        <w:tab/>
        <w:t>D</w:t>
      </w:r>
      <w:r w:rsidR="00703A17" w:rsidRPr="00E72ABD">
        <w:t>e</w:t>
      </w:r>
      <w:r w:rsidRPr="00E72ABD">
        <w:t>velop</w:t>
      </w:r>
      <w:r w:rsidR="00703A17" w:rsidRPr="00E72ABD">
        <w:t>m</w:t>
      </w:r>
      <w:r w:rsidRPr="00E72ABD">
        <w:t>ent</w:t>
      </w:r>
      <w:r w:rsidRPr="00E72ABD">
        <w:tab/>
      </w:r>
      <w:r w:rsidRPr="00E72ABD">
        <w:tab/>
      </w:r>
      <w:r w:rsidR="00814F06" w:rsidRPr="00E72ABD">
        <w:t>9</w:t>
      </w:r>
    </w:p>
    <w:p w14:paraId="65BE9536" w14:textId="1B540A8B" w:rsidR="006A0BF8" w:rsidRPr="00E72ABD" w:rsidRDefault="006A0BF8" w:rsidP="006A0BF8">
      <w:pPr>
        <w:tabs>
          <w:tab w:val="right" w:pos="850"/>
          <w:tab w:val="left" w:pos="1134"/>
          <w:tab w:val="left" w:pos="1559"/>
          <w:tab w:val="left" w:pos="1984"/>
          <w:tab w:val="left" w:leader="dot" w:pos="8929"/>
          <w:tab w:val="right" w:pos="9638"/>
        </w:tabs>
        <w:spacing w:after="120"/>
      </w:pPr>
      <w:r w:rsidRPr="00E72ABD">
        <w:tab/>
        <w:t>II.</w:t>
      </w:r>
      <w:r w:rsidRPr="00E72ABD">
        <w:tab/>
      </w:r>
      <w:r w:rsidR="00703A17" w:rsidRPr="00E72ABD">
        <w:t>Human rights situation</w:t>
      </w:r>
      <w:r w:rsidR="00120DB8" w:rsidRPr="00E72ABD">
        <w:tab/>
      </w:r>
      <w:r w:rsidR="00120DB8" w:rsidRPr="00E72ABD">
        <w:tab/>
      </w:r>
      <w:r w:rsidR="00814F06" w:rsidRPr="00E72ABD">
        <w:t>19</w:t>
      </w:r>
    </w:p>
    <w:p w14:paraId="5B6F1B5F" w14:textId="3469877C" w:rsidR="00120DB8" w:rsidRPr="00E72ABD" w:rsidRDefault="00120DB8" w:rsidP="00120DB8">
      <w:pPr>
        <w:tabs>
          <w:tab w:val="right" w:pos="850"/>
          <w:tab w:val="left" w:pos="1134"/>
          <w:tab w:val="left" w:pos="1559"/>
          <w:tab w:val="left" w:pos="1984"/>
          <w:tab w:val="left" w:leader="dot" w:pos="8929"/>
          <w:tab w:val="right" w:pos="9638"/>
        </w:tabs>
        <w:spacing w:after="120"/>
      </w:pPr>
      <w:r w:rsidRPr="00E72ABD">
        <w:tab/>
      </w:r>
      <w:r w:rsidRPr="00E72ABD">
        <w:tab/>
        <w:t>A.</w:t>
      </w:r>
      <w:r w:rsidRPr="00E72ABD">
        <w:tab/>
      </w:r>
      <w:r w:rsidR="00703A17" w:rsidRPr="00E72ABD">
        <w:t>Main trends since</w:t>
      </w:r>
      <w:r w:rsidRPr="00E72ABD">
        <w:t xml:space="preserve"> </w:t>
      </w:r>
      <w:r w:rsidR="00734C34" w:rsidRPr="00E72ABD">
        <w:t>June</w:t>
      </w:r>
      <w:r w:rsidRPr="00E72ABD">
        <w:t xml:space="preserve"> 2018</w:t>
      </w:r>
      <w:r w:rsidR="00057C2E" w:rsidRPr="00E72ABD">
        <w:t>**</w:t>
      </w:r>
      <w:r w:rsidRPr="00E72ABD">
        <w:tab/>
      </w:r>
      <w:r w:rsidRPr="00E72ABD">
        <w:tab/>
      </w:r>
      <w:r w:rsidR="00814F06" w:rsidRPr="00E72ABD">
        <w:t>19</w:t>
      </w:r>
    </w:p>
    <w:p w14:paraId="5079F4C9" w14:textId="1FAD1B6C" w:rsidR="00120DB8" w:rsidRPr="00E72ABD" w:rsidRDefault="00120DB8" w:rsidP="00120DB8">
      <w:pPr>
        <w:tabs>
          <w:tab w:val="right" w:pos="850"/>
          <w:tab w:val="left" w:pos="1134"/>
          <w:tab w:val="left" w:pos="1559"/>
          <w:tab w:val="left" w:pos="1984"/>
          <w:tab w:val="left" w:leader="dot" w:pos="8929"/>
          <w:tab w:val="right" w:pos="9638"/>
        </w:tabs>
        <w:spacing w:after="120"/>
      </w:pPr>
      <w:r w:rsidRPr="00E72ABD">
        <w:tab/>
      </w:r>
      <w:r w:rsidRPr="00E72ABD">
        <w:tab/>
        <w:t>B.</w:t>
      </w:r>
      <w:r w:rsidRPr="00E72ABD">
        <w:tab/>
      </w:r>
      <w:bookmarkStart w:id="1" w:name="_Hlk25527100"/>
      <w:r w:rsidR="003D029C">
        <w:t>Responsibilities</w:t>
      </w:r>
      <w:r w:rsidR="001A1D29" w:rsidRPr="00E72ABD">
        <w:t>**</w:t>
      </w:r>
      <w:bookmarkEnd w:id="1"/>
      <w:r w:rsidRPr="00E72ABD">
        <w:tab/>
      </w:r>
      <w:r w:rsidRPr="00E72ABD">
        <w:tab/>
      </w:r>
      <w:r w:rsidR="00814F06" w:rsidRPr="00E72ABD">
        <w:t>21</w:t>
      </w:r>
    </w:p>
    <w:p w14:paraId="71B0A4B9" w14:textId="3B36952F" w:rsidR="00120DB8" w:rsidRPr="00E72ABD" w:rsidRDefault="00120DB8" w:rsidP="00120DB8">
      <w:pPr>
        <w:tabs>
          <w:tab w:val="right" w:pos="850"/>
          <w:tab w:val="left" w:pos="1134"/>
          <w:tab w:val="left" w:pos="1559"/>
          <w:tab w:val="left" w:pos="1984"/>
          <w:tab w:val="left" w:leader="dot" w:pos="8929"/>
          <w:tab w:val="right" w:pos="9638"/>
        </w:tabs>
        <w:spacing w:after="120"/>
      </w:pPr>
      <w:r w:rsidRPr="00E72ABD">
        <w:tab/>
      </w:r>
      <w:r w:rsidRPr="00E72ABD">
        <w:tab/>
        <w:t>C.</w:t>
      </w:r>
      <w:r w:rsidRPr="00E72ABD">
        <w:tab/>
        <w:t xml:space="preserve">Violations </w:t>
      </w:r>
      <w:r w:rsidR="00703A17" w:rsidRPr="00E72ABD">
        <w:t>of civil and political rights</w:t>
      </w:r>
      <w:r w:rsidR="00A11B44" w:rsidRPr="00A11B44">
        <w:t>**</w:t>
      </w:r>
      <w:r w:rsidRPr="00E72ABD">
        <w:tab/>
      </w:r>
      <w:r w:rsidRPr="00E72ABD">
        <w:tab/>
      </w:r>
      <w:r w:rsidR="00814F06" w:rsidRPr="00E72ABD">
        <w:t>22</w:t>
      </w:r>
    </w:p>
    <w:p w14:paraId="20AC4804" w14:textId="22B52255" w:rsidR="00120DB8" w:rsidRPr="00E72ABD" w:rsidRDefault="00120DB8" w:rsidP="00120DB8">
      <w:pPr>
        <w:tabs>
          <w:tab w:val="right" w:pos="850"/>
          <w:tab w:val="left" w:pos="1134"/>
          <w:tab w:val="left" w:pos="1559"/>
          <w:tab w:val="left" w:pos="1984"/>
          <w:tab w:val="left" w:leader="dot" w:pos="8929"/>
          <w:tab w:val="right" w:pos="9638"/>
        </w:tabs>
        <w:spacing w:after="120"/>
      </w:pPr>
      <w:r w:rsidRPr="00E72ABD">
        <w:tab/>
      </w:r>
      <w:r w:rsidRPr="00E72ABD">
        <w:tab/>
        <w:t>D.</w:t>
      </w:r>
      <w:r w:rsidRPr="00E72ABD">
        <w:tab/>
      </w:r>
      <w:r w:rsidR="00703A17" w:rsidRPr="00E72ABD">
        <w:t>Dysfu</w:t>
      </w:r>
      <w:r w:rsidRPr="00E72ABD">
        <w:t>nction</w:t>
      </w:r>
      <w:r w:rsidR="003D029C">
        <w:t>s</w:t>
      </w:r>
      <w:r w:rsidR="00703A17" w:rsidRPr="00E72ABD">
        <w:t xml:space="preserve"> in the judicial system</w:t>
      </w:r>
      <w:r w:rsidRPr="00E72ABD">
        <w:tab/>
      </w:r>
      <w:r w:rsidRPr="00E72ABD">
        <w:tab/>
      </w:r>
      <w:r w:rsidR="00814F06" w:rsidRPr="00E72ABD">
        <w:t>72</w:t>
      </w:r>
    </w:p>
    <w:p w14:paraId="0C539035" w14:textId="602029C8" w:rsidR="00120DB8" w:rsidRPr="00E72ABD" w:rsidRDefault="00120DB8" w:rsidP="00120DB8">
      <w:pPr>
        <w:tabs>
          <w:tab w:val="right" w:pos="850"/>
          <w:tab w:val="left" w:pos="1134"/>
          <w:tab w:val="left" w:pos="1559"/>
          <w:tab w:val="left" w:pos="1984"/>
          <w:tab w:val="left" w:leader="dot" w:pos="8929"/>
          <w:tab w:val="right" w:pos="9638"/>
        </w:tabs>
        <w:spacing w:after="120"/>
      </w:pPr>
      <w:r w:rsidRPr="00E72ABD">
        <w:tab/>
      </w:r>
      <w:r w:rsidRPr="00E72ABD">
        <w:tab/>
        <w:t>E.</w:t>
      </w:r>
      <w:r w:rsidRPr="00E72ABD">
        <w:tab/>
        <w:t xml:space="preserve">Violations </w:t>
      </w:r>
      <w:r w:rsidR="00703A17" w:rsidRPr="00E72ABD">
        <w:t xml:space="preserve">of economic and social </w:t>
      </w:r>
      <w:r w:rsidR="00193F55">
        <w:t>rights</w:t>
      </w:r>
      <w:r w:rsidR="00A11B44" w:rsidRPr="00A11B44">
        <w:t>**</w:t>
      </w:r>
      <w:r w:rsidRPr="00E72ABD">
        <w:tab/>
      </w:r>
      <w:r w:rsidRPr="00E72ABD">
        <w:tab/>
      </w:r>
      <w:r w:rsidR="000427CC" w:rsidRPr="00E72ABD">
        <w:t>76</w:t>
      </w:r>
    </w:p>
    <w:p w14:paraId="7CCFF10E" w14:textId="59171362" w:rsidR="006A0BF8" w:rsidRPr="00E72ABD" w:rsidRDefault="006A0BF8" w:rsidP="006A0BF8">
      <w:pPr>
        <w:tabs>
          <w:tab w:val="right" w:pos="850"/>
          <w:tab w:val="left" w:pos="1134"/>
          <w:tab w:val="left" w:pos="1559"/>
          <w:tab w:val="left" w:pos="1984"/>
          <w:tab w:val="left" w:leader="dot" w:pos="8929"/>
          <w:tab w:val="right" w:pos="9638"/>
        </w:tabs>
        <w:spacing w:after="120"/>
      </w:pPr>
      <w:r w:rsidRPr="00E72ABD">
        <w:tab/>
        <w:t>III.</w:t>
      </w:r>
      <w:r w:rsidRPr="00E72ABD">
        <w:tab/>
      </w:r>
      <w:r w:rsidR="00703A17" w:rsidRPr="00E72ABD">
        <w:t>I</w:t>
      </w:r>
      <w:r w:rsidR="00120DB8" w:rsidRPr="00E72ABD">
        <w:t>nternational</w:t>
      </w:r>
      <w:r w:rsidR="00703A17" w:rsidRPr="00E72ABD">
        <w:t xml:space="preserve"> crimes</w:t>
      </w:r>
      <w:r w:rsidRPr="00E72ABD">
        <w:tab/>
      </w:r>
      <w:r w:rsidRPr="00E72ABD">
        <w:tab/>
      </w:r>
      <w:r w:rsidR="00814F06" w:rsidRPr="00E72ABD">
        <w:t>87</w:t>
      </w:r>
    </w:p>
    <w:p w14:paraId="505FA1F1" w14:textId="654F8A5D" w:rsidR="00120DB8" w:rsidRPr="00E72ABD" w:rsidRDefault="00120DB8" w:rsidP="00120DB8">
      <w:pPr>
        <w:tabs>
          <w:tab w:val="right" w:pos="850"/>
          <w:tab w:val="left" w:pos="1134"/>
          <w:tab w:val="left" w:pos="1559"/>
          <w:tab w:val="left" w:pos="1984"/>
          <w:tab w:val="left" w:leader="dot" w:pos="8929"/>
          <w:tab w:val="right" w:pos="9638"/>
        </w:tabs>
        <w:spacing w:after="120"/>
      </w:pPr>
      <w:r w:rsidRPr="00E72ABD">
        <w:tab/>
      </w:r>
      <w:r w:rsidRPr="00E72ABD">
        <w:tab/>
        <w:t>A.</w:t>
      </w:r>
      <w:r w:rsidRPr="00E72ABD">
        <w:tab/>
      </w:r>
      <w:r w:rsidR="00703A17" w:rsidRPr="00E72ABD">
        <w:t>Constituent elements and types of crimes</w:t>
      </w:r>
      <w:r w:rsidRPr="00E72ABD">
        <w:tab/>
      </w:r>
      <w:r w:rsidRPr="00E72ABD">
        <w:tab/>
      </w:r>
      <w:r w:rsidR="00814F06" w:rsidRPr="00E72ABD">
        <w:t>88</w:t>
      </w:r>
    </w:p>
    <w:p w14:paraId="7FD47E20" w14:textId="1313E45E" w:rsidR="00814F06" w:rsidRPr="00E72ABD" w:rsidRDefault="00120DB8" w:rsidP="00120DB8">
      <w:pPr>
        <w:tabs>
          <w:tab w:val="right" w:pos="850"/>
          <w:tab w:val="left" w:pos="1134"/>
          <w:tab w:val="left" w:pos="1559"/>
          <w:tab w:val="left" w:pos="1984"/>
          <w:tab w:val="left" w:leader="dot" w:pos="8929"/>
          <w:tab w:val="right" w:pos="9638"/>
        </w:tabs>
        <w:spacing w:after="120"/>
      </w:pPr>
      <w:r w:rsidRPr="00E72ABD">
        <w:tab/>
      </w:r>
      <w:r w:rsidRPr="00E72ABD">
        <w:tab/>
        <w:t>B.</w:t>
      </w:r>
      <w:r w:rsidRPr="00E72ABD">
        <w:tab/>
      </w:r>
      <w:r w:rsidR="003D029C">
        <w:t>Individual responsibilities</w:t>
      </w:r>
      <w:r w:rsidR="000E5CD0" w:rsidRPr="000E5CD0">
        <w:t>**</w:t>
      </w:r>
      <w:r w:rsidRPr="00E72ABD">
        <w:tab/>
      </w:r>
      <w:r w:rsidRPr="00E72ABD">
        <w:tab/>
      </w:r>
      <w:r w:rsidR="00814F06" w:rsidRPr="00E72ABD">
        <w:t>89</w:t>
      </w:r>
    </w:p>
    <w:p w14:paraId="15F7A131" w14:textId="2A835A5B" w:rsidR="006A0BF8" w:rsidRPr="00E72ABD" w:rsidRDefault="006A0BF8" w:rsidP="006A0BF8">
      <w:pPr>
        <w:tabs>
          <w:tab w:val="right" w:pos="850"/>
          <w:tab w:val="left" w:pos="1134"/>
          <w:tab w:val="left" w:pos="1559"/>
          <w:tab w:val="left" w:pos="1984"/>
          <w:tab w:val="left" w:leader="dot" w:pos="8929"/>
          <w:tab w:val="right" w:pos="9638"/>
        </w:tabs>
        <w:spacing w:after="120"/>
      </w:pPr>
      <w:r w:rsidRPr="00E72ABD">
        <w:tab/>
        <w:t>IV.</w:t>
      </w:r>
      <w:r w:rsidRPr="00E72ABD">
        <w:tab/>
      </w:r>
      <w:r w:rsidR="00BF687C" w:rsidRPr="00E72ABD">
        <w:t>Risk factors</w:t>
      </w:r>
      <w:r w:rsidR="00057C2E" w:rsidRPr="00E72ABD">
        <w:t>**</w:t>
      </w:r>
      <w:r w:rsidRPr="00E72ABD">
        <w:tab/>
      </w:r>
      <w:r w:rsidRPr="00E72ABD">
        <w:tab/>
      </w:r>
      <w:r w:rsidR="00814F06" w:rsidRPr="00E72ABD">
        <w:t>9</w:t>
      </w:r>
      <w:r w:rsidR="000427CC" w:rsidRPr="00E72ABD">
        <w:t>0</w:t>
      </w:r>
    </w:p>
    <w:p w14:paraId="57EF892D" w14:textId="6B441CD6" w:rsidR="006A0BF8" w:rsidRPr="00E72ABD" w:rsidRDefault="006A0BF8" w:rsidP="006A0BF8">
      <w:pPr>
        <w:tabs>
          <w:tab w:val="right" w:pos="850"/>
          <w:tab w:val="left" w:pos="1134"/>
          <w:tab w:val="left" w:pos="1559"/>
          <w:tab w:val="left" w:pos="1984"/>
          <w:tab w:val="left" w:leader="dot" w:pos="8929"/>
          <w:tab w:val="right" w:pos="9638"/>
        </w:tabs>
        <w:spacing w:after="120"/>
      </w:pPr>
      <w:r w:rsidRPr="00E72ABD">
        <w:tab/>
      </w:r>
      <w:r w:rsidRPr="00E72ABD">
        <w:tab/>
        <w:t>A.</w:t>
      </w:r>
      <w:r w:rsidRPr="00E72ABD">
        <w:tab/>
      </w:r>
      <w:r w:rsidR="00BF687C" w:rsidRPr="00E72ABD">
        <w:t>Overview</w:t>
      </w:r>
      <w:r w:rsidR="00057C2E" w:rsidRPr="00E72ABD">
        <w:t>**</w:t>
      </w:r>
      <w:r w:rsidR="00120DB8" w:rsidRPr="00E72ABD">
        <w:tab/>
      </w:r>
      <w:r w:rsidR="00120DB8" w:rsidRPr="00E72ABD">
        <w:tab/>
      </w:r>
      <w:r w:rsidR="000427CC" w:rsidRPr="00E72ABD">
        <w:t>90</w:t>
      </w:r>
    </w:p>
    <w:p w14:paraId="1B6E5BEA" w14:textId="5151957F" w:rsidR="006A0BF8" w:rsidRPr="00E72ABD" w:rsidRDefault="006A0BF8" w:rsidP="006A0BF8">
      <w:pPr>
        <w:tabs>
          <w:tab w:val="right" w:pos="850"/>
          <w:tab w:val="left" w:pos="1134"/>
          <w:tab w:val="left" w:pos="1559"/>
          <w:tab w:val="left" w:pos="1984"/>
          <w:tab w:val="left" w:leader="dot" w:pos="8929"/>
          <w:tab w:val="right" w:pos="9638"/>
        </w:tabs>
        <w:spacing w:after="120"/>
      </w:pPr>
      <w:r w:rsidRPr="00E72ABD">
        <w:tab/>
      </w:r>
      <w:r w:rsidRPr="00E72ABD">
        <w:tab/>
        <w:t>B.</w:t>
      </w:r>
      <w:r w:rsidRPr="00E72ABD">
        <w:tab/>
      </w:r>
      <w:r w:rsidR="00BF687C" w:rsidRPr="00E72ABD">
        <w:t xml:space="preserve">Significant developments since 2015 and current </w:t>
      </w:r>
      <w:r w:rsidR="002E6630">
        <w:t>Burundian</w:t>
      </w:r>
      <w:r w:rsidR="00BF687C" w:rsidRPr="00E72ABD">
        <w:t xml:space="preserve"> context</w:t>
      </w:r>
      <w:r w:rsidR="00057C2E" w:rsidRPr="00E72ABD">
        <w:t>**</w:t>
      </w:r>
      <w:r w:rsidR="00120DB8" w:rsidRPr="00E72ABD">
        <w:tab/>
      </w:r>
      <w:r w:rsidR="00120DB8" w:rsidRPr="00E72ABD">
        <w:tab/>
      </w:r>
      <w:r w:rsidR="00814F06" w:rsidRPr="00E72ABD">
        <w:t>92</w:t>
      </w:r>
    </w:p>
    <w:p w14:paraId="73C8EE4E" w14:textId="3781FDD0" w:rsidR="006A0BF8" w:rsidRPr="00E72ABD" w:rsidRDefault="006A0BF8" w:rsidP="006A0BF8">
      <w:pPr>
        <w:tabs>
          <w:tab w:val="right" w:pos="850"/>
          <w:tab w:val="left" w:pos="1134"/>
          <w:tab w:val="left" w:pos="1559"/>
          <w:tab w:val="left" w:pos="1984"/>
          <w:tab w:val="left" w:leader="dot" w:pos="8929"/>
          <w:tab w:val="right" w:pos="9638"/>
        </w:tabs>
        <w:spacing w:after="120"/>
      </w:pPr>
      <w:r w:rsidRPr="00E72ABD">
        <w:tab/>
      </w:r>
      <w:r w:rsidRPr="00E72ABD">
        <w:tab/>
        <w:t>C.</w:t>
      </w:r>
      <w:r w:rsidRPr="00E72ABD">
        <w:tab/>
      </w:r>
      <w:r w:rsidR="00BF687C" w:rsidRPr="00E72ABD">
        <w:t>Risk Factors Indicators</w:t>
      </w:r>
      <w:r w:rsidR="00057C2E" w:rsidRPr="00E72ABD">
        <w:t>**</w:t>
      </w:r>
      <w:r w:rsidR="00120DB8" w:rsidRPr="00E72ABD">
        <w:tab/>
      </w:r>
      <w:r w:rsidR="00120DB8" w:rsidRPr="00E72ABD">
        <w:tab/>
      </w:r>
      <w:r w:rsidR="00814F06" w:rsidRPr="00E72ABD">
        <w:t>128</w:t>
      </w:r>
    </w:p>
    <w:p w14:paraId="7E6B1F6B" w14:textId="6E1050E9" w:rsidR="006A0BF8" w:rsidRPr="00E72ABD" w:rsidRDefault="006A0BF8" w:rsidP="006A0BF8">
      <w:pPr>
        <w:tabs>
          <w:tab w:val="right" w:pos="850"/>
          <w:tab w:val="left" w:pos="1134"/>
          <w:tab w:val="left" w:pos="1559"/>
          <w:tab w:val="left" w:pos="1984"/>
          <w:tab w:val="left" w:leader="dot" w:pos="8929"/>
          <w:tab w:val="right" w:pos="9638"/>
        </w:tabs>
        <w:spacing w:after="120"/>
      </w:pPr>
      <w:r w:rsidRPr="00E72ABD">
        <w:tab/>
        <w:t>V.</w:t>
      </w:r>
      <w:r w:rsidRPr="00E72ABD">
        <w:tab/>
      </w:r>
      <w:r w:rsidR="00D678AB" w:rsidRPr="00E72ABD">
        <w:t xml:space="preserve">Conclusions </w:t>
      </w:r>
      <w:r w:rsidR="00BF687C" w:rsidRPr="00E72ABD">
        <w:t>and</w:t>
      </w:r>
      <w:r w:rsidR="00D678AB" w:rsidRPr="00E72ABD">
        <w:t xml:space="preserve"> recomm</w:t>
      </w:r>
      <w:r w:rsidR="00BF687C" w:rsidRPr="00E72ABD">
        <w:t>e</w:t>
      </w:r>
      <w:r w:rsidR="00D678AB" w:rsidRPr="00E72ABD">
        <w:t>ndations</w:t>
      </w:r>
      <w:r w:rsidR="00820D03" w:rsidRPr="00E72ABD">
        <w:t>**</w:t>
      </w:r>
      <w:r w:rsidRPr="00E72ABD">
        <w:tab/>
      </w:r>
      <w:r w:rsidRPr="00E72ABD">
        <w:tab/>
      </w:r>
      <w:r w:rsidR="000427CC" w:rsidRPr="00E72ABD">
        <w:t>132</w:t>
      </w:r>
    </w:p>
    <w:p w14:paraId="6EA13A17" w14:textId="03FA964C" w:rsidR="006A0BF8" w:rsidRPr="00E72ABD" w:rsidRDefault="00D678AB" w:rsidP="006A0BF8">
      <w:pPr>
        <w:tabs>
          <w:tab w:val="right" w:pos="850"/>
          <w:tab w:val="left" w:pos="1134"/>
          <w:tab w:val="left" w:pos="1559"/>
          <w:tab w:val="left" w:pos="1984"/>
          <w:tab w:val="left" w:leader="dot" w:pos="8929"/>
          <w:tab w:val="right" w:pos="9638"/>
        </w:tabs>
        <w:spacing w:after="120"/>
      </w:pPr>
      <w:r w:rsidRPr="00E72ABD">
        <w:t>Annexes</w:t>
      </w:r>
    </w:p>
    <w:p w14:paraId="3A3E65B0" w14:textId="1A533688" w:rsidR="006A0BF8" w:rsidRPr="00E72ABD" w:rsidRDefault="00D678AB" w:rsidP="006A0BF8">
      <w:pPr>
        <w:tabs>
          <w:tab w:val="right" w:pos="850"/>
          <w:tab w:val="left" w:pos="1134"/>
          <w:tab w:val="left" w:pos="1559"/>
          <w:tab w:val="left" w:pos="1984"/>
          <w:tab w:val="left" w:leader="dot" w:pos="8929"/>
          <w:tab w:val="right" w:pos="9638"/>
        </w:tabs>
        <w:spacing w:after="120"/>
      </w:pPr>
      <w:r w:rsidRPr="00E72ABD">
        <w:tab/>
      </w:r>
      <w:r w:rsidRPr="00E72ABD">
        <w:tab/>
        <w:t>I</w:t>
      </w:r>
      <w:r w:rsidR="006A0BF8" w:rsidRPr="00E72ABD">
        <w:t>.</w:t>
      </w:r>
      <w:r w:rsidR="006A0BF8" w:rsidRPr="00E72ABD">
        <w:tab/>
      </w:r>
      <w:r w:rsidR="00BF687C" w:rsidRPr="00E72ABD">
        <w:t>Map of</w:t>
      </w:r>
      <w:r w:rsidRPr="00E72ABD">
        <w:t xml:space="preserve"> Burundi</w:t>
      </w:r>
      <w:r w:rsidR="001A1D29" w:rsidRPr="00E72ABD">
        <w:t>**</w:t>
      </w:r>
      <w:r w:rsidR="000427CC" w:rsidRPr="00E72ABD">
        <w:tab/>
      </w:r>
      <w:r w:rsidR="000427CC" w:rsidRPr="00E72ABD">
        <w:tab/>
        <w:t>136</w:t>
      </w:r>
    </w:p>
    <w:p w14:paraId="06CFE8FB" w14:textId="49C99D89" w:rsidR="006A0BF8" w:rsidRPr="00E72ABD" w:rsidRDefault="00D678AB" w:rsidP="006A0BF8">
      <w:pPr>
        <w:tabs>
          <w:tab w:val="right" w:pos="850"/>
          <w:tab w:val="left" w:pos="1134"/>
          <w:tab w:val="left" w:pos="1559"/>
          <w:tab w:val="left" w:pos="1984"/>
          <w:tab w:val="left" w:leader="dot" w:pos="8929"/>
          <w:tab w:val="right" w:pos="9638"/>
        </w:tabs>
        <w:spacing w:after="120"/>
      </w:pPr>
      <w:r w:rsidRPr="00E72ABD">
        <w:tab/>
      </w:r>
      <w:r w:rsidRPr="00E72ABD">
        <w:tab/>
        <w:t>II</w:t>
      </w:r>
      <w:r w:rsidR="006A0BF8" w:rsidRPr="00E72ABD">
        <w:t>.</w:t>
      </w:r>
      <w:r w:rsidR="006A0BF8" w:rsidRPr="00E72ABD">
        <w:tab/>
      </w:r>
      <w:r w:rsidRPr="00E72ABD">
        <w:rPr>
          <w:noProof/>
          <w:lang w:eastAsia="en-GB"/>
        </w:rPr>
        <w:t>Correspond</w:t>
      </w:r>
      <w:r w:rsidR="00BF687C" w:rsidRPr="00E72ABD">
        <w:rPr>
          <w:noProof/>
          <w:lang w:eastAsia="en-GB"/>
        </w:rPr>
        <w:t xml:space="preserve">ence with the </w:t>
      </w:r>
      <w:r w:rsidR="007F5B89">
        <w:rPr>
          <w:noProof/>
          <w:lang w:eastAsia="en-GB"/>
        </w:rPr>
        <w:t>Government</w:t>
      </w:r>
      <w:r w:rsidR="00BF687C" w:rsidRPr="00E72ABD">
        <w:rPr>
          <w:noProof/>
          <w:lang w:eastAsia="en-GB"/>
        </w:rPr>
        <w:t xml:space="preserve"> of </w:t>
      </w:r>
      <w:r w:rsidR="002C6DCC" w:rsidRPr="00E72ABD">
        <w:rPr>
          <w:noProof/>
          <w:lang w:eastAsia="en-GB"/>
        </w:rPr>
        <w:t xml:space="preserve">Burundi </w:t>
      </w:r>
      <w:r w:rsidR="000427CC" w:rsidRPr="00E72ABD">
        <w:tab/>
      </w:r>
      <w:r w:rsidR="000427CC" w:rsidRPr="00E72ABD">
        <w:tab/>
        <w:t>137</w:t>
      </w:r>
    </w:p>
    <w:p w14:paraId="7129A911" w14:textId="277EE8CC" w:rsidR="006A0BF8" w:rsidRPr="00E72ABD" w:rsidRDefault="00D678AB" w:rsidP="006A0BF8">
      <w:pPr>
        <w:tabs>
          <w:tab w:val="right" w:pos="850"/>
          <w:tab w:val="left" w:pos="1134"/>
          <w:tab w:val="left" w:pos="1559"/>
          <w:tab w:val="left" w:pos="1984"/>
          <w:tab w:val="left" w:leader="dot" w:pos="8929"/>
          <w:tab w:val="right" w:pos="9638"/>
        </w:tabs>
        <w:spacing w:after="120"/>
      </w:pPr>
      <w:r w:rsidRPr="00E72ABD">
        <w:tab/>
      </w:r>
      <w:r w:rsidRPr="00E72ABD">
        <w:tab/>
        <w:t>III</w:t>
      </w:r>
      <w:r w:rsidR="006A0BF8" w:rsidRPr="00E72ABD">
        <w:t>.</w:t>
      </w:r>
      <w:r w:rsidR="006A0BF8" w:rsidRPr="00E72ABD">
        <w:tab/>
      </w:r>
      <w:r w:rsidR="00BF687C" w:rsidRPr="00E72ABD">
        <w:rPr>
          <w:lang w:eastAsia="en-GB"/>
        </w:rPr>
        <w:t>Previous recomme</w:t>
      </w:r>
      <w:r w:rsidRPr="00E72ABD">
        <w:rPr>
          <w:lang w:eastAsia="en-GB"/>
        </w:rPr>
        <w:t xml:space="preserve">ndations </w:t>
      </w:r>
      <w:r w:rsidR="00BF687C" w:rsidRPr="00E72ABD">
        <w:rPr>
          <w:lang w:eastAsia="en-GB"/>
        </w:rPr>
        <w:t>made by</w:t>
      </w:r>
      <w:r w:rsidR="00703A17" w:rsidRPr="00E72ABD">
        <w:rPr>
          <w:lang w:eastAsia="en-GB"/>
        </w:rPr>
        <w:t xml:space="preserve"> the</w:t>
      </w:r>
      <w:r w:rsidRPr="00E72ABD">
        <w:rPr>
          <w:lang w:eastAsia="en-GB"/>
        </w:rPr>
        <w:t xml:space="preserve"> Commission</w:t>
      </w:r>
      <w:r w:rsidR="001A1D29" w:rsidRPr="00E72ABD">
        <w:t>**</w:t>
      </w:r>
      <w:r w:rsidR="000427CC" w:rsidRPr="00E72ABD">
        <w:tab/>
      </w:r>
      <w:r w:rsidR="000427CC" w:rsidRPr="00E72ABD">
        <w:tab/>
        <w:t>152</w:t>
      </w:r>
    </w:p>
    <w:p w14:paraId="6647E0BE" w14:textId="39EC455B" w:rsidR="00D678AB" w:rsidRPr="00E72ABD" w:rsidRDefault="00D678AB" w:rsidP="00D678AB">
      <w:pPr>
        <w:tabs>
          <w:tab w:val="right" w:pos="850"/>
          <w:tab w:val="left" w:pos="1134"/>
          <w:tab w:val="left" w:pos="1559"/>
          <w:tab w:val="left" w:pos="1984"/>
          <w:tab w:val="left" w:leader="dot" w:pos="8929"/>
          <w:tab w:val="right" w:pos="9638"/>
        </w:tabs>
        <w:spacing w:after="120"/>
        <w:ind w:left="1559" w:hanging="1559"/>
      </w:pPr>
      <w:r w:rsidRPr="00E72ABD">
        <w:tab/>
      </w:r>
      <w:r w:rsidRPr="00E72ABD">
        <w:tab/>
        <w:t>IV.</w:t>
      </w:r>
      <w:r w:rsidRPr="00E72ABD">
        <w:tab/>
      </w:r>
      <w:r w:rsidR="00BF687C" w:rsidRPr="00E72ABD">
        <w:t xml:space="preserve">Common risk factors indicators </w:t>
      </w:r>
      <w:r w:rsidRPr="00E72ABD">
        <w:rPr>
          <w:lang w:eastAsia="en-GB"/>
        </w:rPr>
        <w:t>identifi</w:t>
      </w:r>
      <w:r w:rsidR="00BF687C" w:rsidRPr="00E72ABD">
        <w:rPr>
          <w:lang w:eastAsia="en-GB"/>
        </w:rPr>
        <w:t xml:space="preserve">ed in the </w:t>
      </w:r>
      <w:r w:rsidR="0038116A" w:rsidRPr="00E72ABD">
        <w:rPr>
          <w:lang w:eastAsia="en-GB"/>
        </w:rPr>
        <w:t xml:space="preserve">Framework of Analysis for Atrocity </w:t>
      </w:r>
      <w:proofErr w:type="gramStart"/>
      <w:r w:rsidR="0038116A" w:rsidRPr="00E72ABD">
        <w:rPr>
          <w:lang w:eastAsia="en-GB"/>
        </w:rPr>
        <w:t>Crimes</w:t>
      </w:r>
      <w:r w:rsidRPr="00E72ABD">
        <w:rPr>
          <w:lang w:eastAsia="en-GB"/>
        </w:rPr>
        <w:t>(</w:t>
      </w:r>
      <w:proofErr w:type="gramEnd"/>
      <w:r w:rsidRPr="00E72ABD">
        <w:rPr>
          <w:lang w:eastAsia="en-GB"/>
        </w:rPr>
        <w:t>A/70/741–S/2016/71)</w:t>
      </w:r>
      <w:r w:rsidR="001A1D29" w:rsidRPr="00E72ABD">
        <w:t xml:space="preserve"> **</w:t>
      </w:r>
      <w:r w:rsidR="000427CC" w:rsidRPr="00E72ABD">
        <w:tab/>
      </w:r>
      <w:r w:rsidR="000427CC" w:rsidRPr="00E72ABD">
        <w:tab/>
        <w:t>164</w:t>
      </w:r>
    </w:p>
    <w:p w14:paraId="7F533AE6" w14:textId="77777777" w:rsidR="00B878E2" w:rsidRPr="00E72ABD" w:rsidRDefault="00B878E2">
      <w:pPr>
        <w:suppressAutoHyphens w:val="0"/>
        <w:spacing w:line="240" w:lineRule="auto"/>
      </w:pPr>
    </w:p>
    <w:p w14:paraId="0C43528E" w14:textId="77777777" w:rsidR="00B878E2" w:rsidRPr="00E72ABD" w:rsidRDefault="00B878E2">
      <w:pPr>
        <w:suppressAutoHyphens w:val="0"/>
        <w:spacing w:line="240" w:lineRule="auto"/>
      </w:pPr>
    </w:p>
    <w:p w14:paraId="2F39726A" w14:textId="77777777" w:rsidR="00B878E2" w:rsidRPr="00E72ABD" w:rsidRDefault="00B878E2">
      <w:pPr>
        <w:suppressAutoHyphens w:val="0"/>
        <w:spacing w:line="240" w:lineRule="auto"/>
      </w:pPr>
    </w:p>
    <w:p w14:paraId="57D84FF6" w14:textId="77777777" w:rsidR="00B878E2" w:rsidRPr="00E72ABD" w:rsidRDefault="00B878E2">
      <w:pPr>
        <w:suppressAutoHyphens w:val="0"/>
        <w:spacing w:line="240" w:lineRule="auto"/>
      </w:pPr>
    </w:p>
    <w:p w14:paraId="3CA05FA2" w14:textId="77777777" w:rsidR="00B878E2" w:rsidRPr="00E72ABD" w:rsidRDefault="00B878E2">
      <w:pPr>
        <w:suppressAutoHyphens w:val="0"/>
        <w:spacing w:line="240" w:lineRule="auto"/>
      </w:pPr>
    </w:p>
    <w:p w14:paraId="57ED892E" w14:textId="77777777" w:rsidR="00B878E2" w:rsidRPr="00E72ABD" w:rsidRDefault="00B878E2">
      <w:pPr>
        <w:suppressAutoHyphens w:val="0"/>
        <w:spacing w:line="240" w:lineRule="auto"/>
      </w:pPr>
    </w:p>
    <w:p w14:paraId="3C1E5BE3" w14:textId="77777777" w:rsidR="00B878E2" w:rsidRPr="00E72ABD" w:rsidRDefault="00B878E2">
      <w:pPr>
        <w:suppressAutoHyphens w:val="0"/>
        <w:spacing w:line="240" w:lineRule="auto"/>
      </w:pPr>
    </w:p>
    <w:p w14:paraId="41847016" w14:textId="77777777" w:rsidR="00B878E2" w:rsidRPr="00E72ABD" w:rsidRDefault="00B878E2">
      <w:pPr>
        <w:suppressAutoHyphens w:val="0"/>
        <w:spacing w:line="240" w:lineRule="auto"/>
      </w:pPr>
    </w:p>
    <w:p w14:paraId="4C3292F6" w14:textId="77777777" w:rsidR="00B878E2" w:rsidRPr="00E72ABD" w:rsidRDefault="00B878E2">
      <w:pPr>
        <w:suppressAutoHyphens w:val="0"/>
        <w:spacing w:line="240" w:lineRule="auto"/>
      </w:pPr>
    </w:p>
    <w:p w14:paraId="239456ED" w14:textId="77777777" w:rsidR="00B878E2" w:rsidRPr="00E72ABD" w:rsidRDefault="00B878E2">
      <w:pPr>
        <w:suppressAutoHyphens w:val="0"/>
        <w:spacing w:line="240" w:lineRule="auto"/>
      </w:pPr>
    </w:p>
    <w:p w14:paraId="2F73A046" w14:textId="77777777" w:rsidR="00B878E2" w:rsidRPr="00E72ABD" w:rsidRDefault="00B878E2">
      <w:pPr>
        <w:suppressAutoHyphens w:val="0"/>
        <w:spacing w:line="240" w:lineRule="auto"/>
      </w:pPr>
    </w:p>
    <w:p w14:paraId="551ECF5A" w14:textId="77777777" w:rsidR="00B878E2" w:rsidRPr="00E72ABD" w:rsidRDefault="00B878E2">
      <w:pPr>
        <w:suppressAutoHyphens w:val="0"/>
        <w:spacing w:line="240" w:lineRule="auto"/>
      </w:pPr>
    </w:p>
    <w:p w14:paraId="5A9850B7" w14:textId="77777777" w:rsidR="00B878E2" w:rsidRPr="00E72ABD" w:rsidRDefault="00B878E2">
      <w:pPr>
        <w:suppressAutoHyphens w:val="0"/>
        <w:spacing w:line="240" w:lineRule="auto"/>
      </w:pPr>
    </w:p>
    <w:p w14:paraId="0B2A1C73" w14:textId="77777777" w:rsidR="00B878E2" w:rsidRPr="00E72ABD" w:rsidRDefault="00B878E2">
      <w:pPr>
        <w:suppressAutoHyphens w:val="0"/>
        <w:spacing w:line="240" w:lineRule="auto"/>
      </w:pPr>
    </w:p>
    <w:p w14:paraId="5681ECB5" w14:textId="77777777" w:rsidR="00B878E2" w:rsidRPr="00E72ABD" w:rsidRDefault="00B878E2">
      <w:pPr>
        <w:suppressAutoHyphens w:val="0"/>
        <w:spacing w:line="240" w:lineRule="auto"/>
      </w:pPr>
    </w:p>
    <w:p w14:paraId="7167FD16" w14:textId="77777777" w:rsidR="00B878E2" w:rsidRPr="00E72ABD" w:rsidRDefault="00B878E2">
      <w:pPr>
        <w:suppressAutoHyphens w:val="0"/>
        <w:spacing w:line="240" w:lineRule="auto"/>
      </w:pPr>
    </w:p>
    <w:p w14:paraId="1D4B3328" w14:textId="77777777" w:rsidR="00B878E2" w:rsidRPr="00E72ABD" w:rsidRDefault="00B878E2">
      <w:pPr>
        <w:suppressAutoHyphens w:val="0"/>
        <w:spacing w:line="240" w:lineRule="auto"/>
      </w:pPr>
    </w:p>
    <w:p w14:paraId="49B8F5A2" w14:textId="77777777" w:rsidR="00B878E2" w:rsidRPr="00E72ABD" w:rsidRDefault="00B878E2">
      <w:pPr>
        <w:suppressAutoHyphens w:val="0"/>
        <w:spacing w:line="240" w:lineRule="auto"/>
      </w:pPr>
      <w:r w:rsidRPr="00E72ABD">
        <w:t>__________________________________</w:t>
      </w:r>
    </w:p>
    <w:p w14:paraId="615C27F7" w14:textId="77777777" w:rsidR="00B878E2" w:rsidRPr="00E72ABD" w:rsidRDefault="00B878E2">
      <w:pPr>
        <w:suppressAutoHyphens w:val="0"/>
        <w:spacing w:line="240" w:lineRule="auto"/>
      </w:pPr>
      <w:r w:rsidRPr="00E72ABD">
        <w:t xml:space="preserve"> </w:t>
      </w:r>
    </w:p>
    <w:p w14:paraId="6E85C4B1" w14:textId="1E8E84F8" w:rsidR="00D678AB" w:rsidRPr="00E72ABD" w:rsidRDefault="00B878E2">
      <w:pPr>
        <w:suppressAutoHyphens w:val="0"/>
        <w:spacing w:line="240" w:lineRule="auto"/>
      </w:pPr>
      <w:r w:rsidRPr="00E72ABD">
        <w:t xml:space="preserve">** </w:t>
      </w:r>
      <w:r w:rsidR="002F2669" w:rsidRPr="00E72ABD">
        <w:t xml:space="preserve">Available in </w:t>
      </w:r>
      <w:r w:rsidR="00BF515F" w:rsidRPr="00E72ABD">
        <w:t>this translated version</w:t>
      </w:r>
      <w:r w:rsidR="00411E6D" w:rsidRPr="00E72ABD">
        <w:t xml:space="preserve"> </w:t>
      </w:r>
      <w:r w:rsidR="00D678AB" w:rsidRPr="00E72ABD">
        <w:br w:type="page"/>
      </w:r>
    </w:p>
    <w:p w14:paraId="1CD7BB2E" w14:textId="7E17B3D0" w:rsidR="005B3248" w:rsidRPr="00E72ABD" w:rsidRDefault="005B3248" w:rsidP="005B3248">
      <w:pPr>
        <w:pStyle w:val="HMG"/>
        <w:rPr>
          <w:lang w:eastAsia="fr-FR"/>
        </w:rPr>
      </w:pPr>
      <w:r w:rsidRPr="00E72ABD">
        <w:rPr>
          <w:lang w:eastAsia="fr-FR"/>
        </w:rPr>
        <w:lastRenderedPageBreak/>
        <w:t>Acronyms</w:t>
      </w:r>
    </w:p>
    <w:p w14:paraId="1B349760" w14:textId="77777777" w:rsidR="005B3248" w:rsidRPr="00E72ABD" w:rsidRDefault="005B3248" w:rsidP="005B3248">
      <w:pPr>
        <w:pStyle w:val="SingleTxtG"/>
      </w:pPr>
    </w:p>
    <w:p w14:paraId="4B9FF22D" w14:textId="3DE6B61A" w:rsidR="005B3248" w:rsidRPr="00E72ABD" w:rsidRDefault="005B3248" w:rsidP="005B3248">
      <w:pPr>
        <w:pStyle w:val="SingleTxtG"/>
        <w:rPr>
          <w:lang w:val="en-US"/>
        </w:rPr>
      </w:pPr>
      <w:r w:rsidRPr="00E72ABD">
        <w:rPr>
          <w:lang w:val="en-US"/>
        </w:rPr>
        <w:t>AMISOM</w:t>
      </w:r>
      <w:r w:rsidRPr="00E72ABD">
        <w:rPr>
          <w:lang w:val="en-US"/>
        </w:rPr>
        <w:tab/>
      </w:r>
      <w:r w:rsidRPr="00E72ABD">
        <w:rPr>
          <w:lang w:val="en-US"/>
        </w:rPr>
        <w:tab/>
      </w:r>
      <w:r w:rsidR="00ED2F55" w:rsidRPr="00E72ABD">
        <w:rPr>
          <w:lang w:val="en-US"/>
        </w:rPr>
        <w:t xml:space="preserve">African Union </w:t>
      </w:r>
      <w:r w:rsidRPr="00E72ABD">
        <w:rPr>
          <w:lang w:val="en-US"/>
        </w:rPr>
        <w:t xml:space="preserve">Mission </w:t>
      </w:r>
      <w:r w:rsidR="00ED2F55" w:rsidRPr="00E72ABD">
        <w:rPr>
          <w:lang w:val="en-US"/>
        </w:rPr>
        <w:t>in</w:t>
      </w:r>
      <w:r w:rsidRPr="00E72ABD">
        <w:rPr>
          <w:lang w:val="en-US"/>
        </w:rPr>
        <w:t xml:space="preserve"> </w:t>
      </w:r>
      <w:r w:rsidR="00ED2F55" w:rsidRPr="00E72ABD">
        <w:rPr>
          <w:lang w:val="en-US"/>
        </w:rPr>
        <w:t>Somalia</w:t>
      </w:r>
    </w:p>
    <w:p w14:paraId="521A79F2" w14:textId="458F6043" w:rsidR="005B3248" w:rsidRPr="00E72ABD" w:rsidRDefault="005B3248" w:rsidP="005B3248">
      <w:pPr>
        <w:pStyle w:val="SingleTxtG"/>
        <w:rPr>
          <w:lang w:val="en-US"/>
        </w:rPr>
      </w:pPr>
      <w:r w:rsidRPr="00E72ABD">
        <w:rPr>
          <w:lang w:val="en-US"/>
        </w:rPr>
        <w:t>A</w:t>
      </w:r>
      <w:r w:rsidR="00C27C54" w:rsidRPr="00E72ABD">
        <w:rPr>
          <w:lang w:val="en-US"/>
        </w:rPr>
        <w:t>CHPR</w:t>
      </w:r>
      <w:r w:rsidRPr="00E72ABD">
        <w:rPr>
          <w:lang w:val="en-US"/>
        </w:rPr>
        <w:tab/>
      </w:r>
      <w:r w:rsidRPr="00E72ABD">
        <w:rPr>
          <w:lang w:val="en-US"/>
        </w:rPr>
        <w:tab/>
      </w:r>
      <w:r w:rsidR="00C27C54" w:rsidRPr="00E72ABD">
        <w:rPr>
          <w:lang w:val="en-US"/>
        </w:rPr>
        <w:t xml:space="preserve">African Charter on Human and </w:t>
      </w:r>
      <w:r w:rsidR="005379F4" w:rsidRPr="00E72ABD">
        <w:rPr>
          <w:lang w:val="en-US"/>
        </w:rPr>
        <w:t>Peoples’ Rights</w:t>
      </w:r>
    </w:p>
    <w:p w14:paraId="4045AA01" w14:textId="77777777" w:rsidR="00ED2F55" w:rsidRPr="00FF5DC1" w:rsidRDefault="00ED2F55" w:rsidP="00ED2F55">
      <w:pPr>
        <w:pStyle w:val="SingleTxtG"/>
        <w:rPr>
          <w:lang w:val="fr-FR"/>
        </w:rPr>
      </w:pPr>
      <w:r w:rsidRPr="00FF5DC1">
        <w:rPr>
          <w:lang w:val="fr-FR"/>
        </w:rPr>
        <w:t>AU</w:t>
      </w:r>
      <w:r w:rsidRPr="00FF5DC1">
        <w:rPr>
          <w:lang w:val="fr-FR"/>
        </w:rPr>
        <w:tab/>
      </w:r>
      <w:r w:rsidRPr="00FF5DC1">
        <w:rPr>
          <w:lang w:val="fr-FR"/>
        </w:rPr>
        <w:tab/>
      </w:r>
      <w:r w:rsidRPr="00FF5DC1">
        <w:rPr>
          <w:lang w:val="fr-FR"/>
        </w:rPr>
        <w:tab/>
        <w:t xml:space="preserve">African Union </w:t>
      </w:r>
    </w:p>
    <w:p w14:paraId="0E50B497" w14:textId="269B4DA0" w:rsidR="005B3248" w:rsidRPr="00FF5DC1" w:rsidRDefault="005B3248" w:rsidP="00E00D78">
      <w:pPr>
        <w:pStyle w:val="SingleTxtG"/>
        <w:rPr>
          <w:lang w:val="fr-FR"/>
        </w:rPr>
      </w:pPr>
      <w:r w:rsidRPr="00FF5DC1">
        <w:rPr>
          <w:lang w:val="fr-FR"/>
        </w:rPr>
        <w:t>CENI</w:t>
      </w:r>
      <w:r w:rsidRPr="00FF5DC1">
        <w:rPr>
          <w:lang w:val="fr-FR"/>
        </w:rPr>
        <w:tab/>
      </w:r>
      <w:r w:rsidR="00ED2F55" w:rsidRPr="00FF5DC1">
        <w:rPr>
          <w:lang w:val="fr-FR"/>
        </w:rPr>
        <w:tab/>
      </w:r>
      <w:r w:rsidR="00ED2F55" w:rsidRPr="00FF5DC1">
        <w:rPr>
          <w:lang w:val="fr-FR"/>
        </w:rPr>
        <w:tab/>
      </w:r>
      <w:r w:rsidR="00C27C54" w:rsidRPr="00FF5DC1">
        <w:rPr>
          <w:lang w:val="fr-FR"/>
        </w:rPr>
        <w:t xml:space="preserve">Independent National Electoral </w:t>
      </w:r>
      <w:r w:rsidRPr="00FF5DC1">
        <w:rPr>
          <w:lang w:val="fr-FR"/>
        </w:rPr>
        <w:t xml:space="preserve">Commission </w:t>
      </w:r>
    </w:p>
    <w:p w14:paraId="492CD03C" w14:textId="77777777" w:rsidR="005B3248" w:rsidRPr="00DD0182" w:rsidRDefault="005B3248" w:rsidP="005B3248">
      <w:pPr>
        <w:pStyle w:val="SingleTxtG"/>
        <w:ind w:left="2829" w:hanging="1695"/>
        <w:rPr>
          <w:lang w:val="fr-FR"/>
        </w:rPr>
      </w:pPr>
      <w:r w:rsidRPr="00DD0182">
        <w:rPr>
          <w:lang w:val="fr-FR"/>
        </w:rPr>
        <w:t>CNARED</w:t>
      </w:r>
      <w:r w:rsidRPr="00DD0182">
        <w:rPr>
          <w:lang w:val="fr-FR"/>
        </w:rPr>
        <w:tab/>
      </w:r>
      <w:r w:rsidRPr="00DD0182">
        <w:rPr>
          <w:lang w:val="fr-FR"/>
        </w:rPr>
        <w:tab/>
        <w:t>Conseil national pour le respect de l’Accord d’Arusha et la restauration d’un État de droit au Burundi</w:t>
      </w:r>
    </w:p>
    <w:p w14:paraId="573D5D4B" w14:textId="7BBA6B80" w:rsidR="005B3248" w:rsidRPr="00DD0182" w:rsidRDefault="005B3248" w:rsidP="005B3248">
      <w:pPr>
        <w:pStyle w:val="SingleTxtG"/>
        <w:rPr>
          <w:lang w:val="fr-FR"/>
        </w:rPr>
      </w:pPr>
      <w:r w:rsidRPr="00DD0182">
        <w:rPr>
          <w:lang w:val="fr-FR"/>
        </w:rPr>
        <w:t>CNC</w:t>
      </w:r>
      <w:r w:rsidRPr="00DD0182">
        <w:rPr>
          <w:lang w:val="fr-FR"/>
        </w:rPr>
        <w:tab/>
      </w:r>
      <w:r w:rsidRPr="00DD0182">
        <w:rPr>
          <w:lang w:val="fr-FR"/>
        </w:rPr>
        <w:tab/>
      </w:r>
      <w:r w:rsidR="000410DE" w:rsidRPr="00DD0182">
        <w:rPr>
          <w:lang w:val="fr-FR"/>
        </w:rPr>
        <w:tab/>
      </w:r>
      <w:r w:rsidR="00C27C54" w:rsidRPr="00DD0182">
        <w:rPr>
          <w:lang w:val="fr-FR"/>
        </w:rPr>
        <w:t>National Communication Council</w:t>
      </w:r>
      <w:r w:rsidRPr="00DD0182">
        <w:rPr>
          <w:lang w:val="fr-FR"/>
        </w:rPr>
        <w:t xml:space="preserve"> </w:t>
      </w:r>
    </w:p>
    <w:p w14:paraId="6830FBBB" w14:textId="77777777" w:rsidR="005B3248" w:rsidRPr="00DD0182" w:rsidRDefault="005B3248" w:rsidP="005B3248">
      <w:pPr>
        <w:pStyle w:val="SingleTxtG"/>
        <w:rPr>
          <w:lang w:val="fr-FR"/>
        </w:rPr>
      </w:pPr>
      <w:r w:rsidRPr="00DD0182">
        <w:rPr>
          <w:lang w:val="fr-FR"/>
        </w:rPr>
        <w:t>CNL</w:t>
      </w:r>
      <w:r w:rsidRPr="00DD0182">
        <w:rPr>
          <w:lang w:val="fr-FR"/>
        </w:rPr>
        <w:tab/>
      </w:r>
      <w:r w:rsidRPr="00DD0182">
        <w:rPr>
          <w:lang w:val="fr-FR"/>
        </w:rPr>
        <w:tab/>
      </w:r>
      <w:r w:rsidR="000410DE" w:rsidRPr="00DD0182">
        <w:rPr>
          <w:lang w:val="fr-FR"/>
        </w:rPr>
        <w:tab/>
      </w:r>
      <w:r w:rsidRPr="00DD0182">
        <w:rPr>
          <w:lang w:val="fr-FR"/>
        </w:rPr>
        <w:t>Congrès national pour la liberté</w:t>
      </w:r>
    </w:p>
    <w:p w14:paraId="3A362DF2" w14:textId="77777777" w:rsidR="005B3248" w:rsidRPr="00DD0182" w:rsidRDefault="005B3248" w:rsidP="005B3248">
      <w:pPr>
        <w:pStyle w:val="SingleTxtG"/>
        <w:ind w:left="2829" w:hanging="1695"/>
        <w:rPr>
          <w:lang w:val="fr-FR"/>
        </w:rPr>
      </w:pPr>
      <w:r w:rsidRPr="00DD0182">
        <w:rPr>
          <w:lang w:val="fr-FR"/>
        </w:rPr>
        <w:t xml:space="preserve">CNDD-FDD </w:t>
      </w:r>
      <w:r w:rsidRPr="00DD0182">
        <w:rPr>
          <w:lang w:val="fr-FR"/>
        </w:rPr>
        <w:tab/>
      </w:r>
      <w:r w:rsidRPr="00DD0182">
        <w:rPr>
          <w:lang w:val="fr-FR"/>
        </w:rPr>
        <w:tab/>
        <w:t>Conseil national pour la défense de la démocratie-Forc</w:t>
      </w:r>
      <w:r w:rsidR="00A27D48" w:rsidRPr="00DD0182">
        <w:rPr>
          <w:lang w:val="fr-FR"/>
        </w:rPr>
        <w:t>es de défense de la démocratie</w:t>
      </w:r>
    </w:p>
    <w:p w14:paraId="4B8D5DCD" w14:textId="562699DD" w:rsidR="005B3248" w:rsidRPr="00E72ABD" w:rsidRDefault="005B3248" w:rsidP="005B3248">
      <w:pPr>
        <w:pStyle w:val="SingleTxtG"/>
        <w:rPr>
          <w:lang w:val="en-US"/>
        </w:rPr>
      </w:pPr>
      <w:r w:rsidRPr="00E72ABD">
        <w:rPr>
          <w:lang w:val="en-US"/>
        </w:rPr>
        <w:t>CNIDH</w:t>
      </w:r>
      <w:r w:rsidRPr="00E72ABD">
        <w:rPr>
          <w:lang w:val="en-US"/>
        </w:rPr>
        <w:tab/>
      </w:r>
      <w:r w:rsidRPr="00E72ABD">
        <w:rPr>
          <w:lang w:val="en-US"/>
        </w:rPr>
        <w:tab/>
      </w:r>
      <w:r w:rsidR="00C27C54" w:rsidRPr="00E72ABD">
        <w:rPr>
          <w:lang w:val="en-US"/>
        </w:rPr>
        <w:t xml:space="preserve">Independent National </w:t>
      </w:r>
      <w:r w:rsidRPr="00E72ABD">
        <w:rPr>
          <w:lang w:val="en-US"/>
        </w:rPr>
        <w:t xml:space="preserve">Commission </w:t>
      </w:r>
      <w:r w:rsidR="00C27C54" w:rsidRPr="00E72ABD">
        <w:rPr>
          <w:lang w:val="en-US"/>
        </w:rPr>
        <w:t>for Human Rights</w:t>
      </w:r>
    </w:p>
    <w:p w14:paraId="095466DB" w14:textId="21E99572" w:rsidR="005B3248" w:rsidRPr="00E72ABD" w:rsidRDefault="005B3248" w:rsidP="005B3248">
      <w:pPr>
        <w:pStyle w:val="SingleTxtG"/>
      </w:pPr>
      <w:r w:rsidRPr="00E72ABD">
        <w:t>CNS</w:t>
      </w:r>
      <w:r w:rsidRPr="00E72ABD">
        <w:tab/>
      </w:r>
      <w:r w:rsidRPr="00E72ABD">
        <w:tab/>
      </w:r>
      <w:r w:rsidR="000410DE" w:rsidRPr="00E72ABD">
        <w:tab/>
      </w:r>
      <w:r w:rsidR="00C27C54" w:rsidRPr="00E72ABD">
        <w:t>National Security Council</w:t>
      </w:r>
    </w:p>
    <w:p w14:paraId="05FA89D2" w14:textId="1916E7F2" w:rsidR="005B3248" w:rsidRPr="00E72ABD" w:rsidRDefault="005B3248" w:rsidP="005B3248">
      <w:pPr>
        <w:pStyle w:val="SingleTxtG"/>
        <w:rPr>
          <w:lang w:val="en-US"/>
        </w:rPr>
      </w:pPr>
      <w:r w:rsidRPr="00E72ABD">
        <w:rPr>
          <w:lang w:val="en-US"/>
        </w:rPr>
        <w:t>CVR</w:t>
      </w:r>
      <w:r w:rsidRPr="00E72ABD">
        <w:rPr>
          <w:lang w:val="en-US"/>
        </w:rPr>
        <w:tab/>
      </w:r>
      <w:r w:rsidRPr="00E72ABD">
        <w:rPr>
          <w:lang w:val="en-US"/>
        </w:rPr>
        <w:tab/>
      </w:r>
      <w:r w:rsidR="000410DE" w:rsidRPr="00E72ABD">
        <w:rPr>
          <w:lang w:val="en-US"/>
        </w:rPr>
        <w:tab/>
      </w:r>
      <w:r w:rsidR="00ED2F55" w:rsidRPr="00E72ABD">
        <w:rPr>
          <w:lang w:val="en-US"/>
        </w:rPr>
        <w:t xml:space="preserve">Truth and Reconciliation </w:t>
      </w:r>
      <w:r w:rsidRPr="00E72ABD">
        <w:rPr>
          <w:lang w:val="en-US"/>
        </w:rPr>
        <w:t>Co</w:t>
      </w:r>
      <w:r w:rsidR="002D419E" w:rsidRPr="00E72ABD">
        <w:rPr>
          <w:lang w:val="en-US"/>
        </w:rPr>
        <w:t>m</w:t>
      </w:r>
      <w:r w:rsidRPr="00E72ABD">
        <w:rPr>
          <w:lang w:val="en-US"/>
        </w:rPr>
        <w:t>mi</w:t>
      </w:r>
      <w:r w:rsidR="002D419E" w:rsidRPr="00E72ABD">
        <w:rPr>
          <w:lang w:val="en-US"/>
        </w:rPr>
        <w:t>ssion</w:t>
      </w:r>
      <w:r w:rsidRPr="00E72ABD">
        <w:rPr>
          <w:lang w:val="en-US"/>
        </w:rPr>
        <w:t xml:space="preserve"> </w:t>
      </w:r>
    </w:p>
    <w:p w14:paraId="3A7E06AB" w14:textId="77777777" w:rsidR="00ED2F55" w:rsidRPr="00E72ABD" w:rsidRDefault="00ED2F55" w:rsidP="00ED2F55">
      <w:pPr>
        <w:pStyle w:val="SingleTxtG"/>
        <w:rPr>
          <w:lang w:val="en-US"/>
        </w:rPr>
      </w:pPr>
      <w:r w:rsidRPr="00E72ABD">
        <w:rPr>
          <w:lang w:val="en-US"/>
        </w:rPr>
        <w:t>DRC</w:t>
      </w:r>
      <w:r w:rsidRPr="00E72ABD">
        <w:rPr>
          <w:lang w:val="en-US"/>
        </w:rPr>
        <w:tab/>
      </w:r>
      <w:r w:rsidRPr="00E72ABD">
        <w:rPr>
          <w:lang w:val="en-US"/>
        </w:rPr>
        <w:tab/>
      </w:r>
      <w:r w:rsidRPr="00E72ABD">
        <w:rPr>
          <w:lang w:val="en-US"/>
        </w:rPr>
        <w:tab/>
        <w:t>Democratic Republic of the Congo</w:t>
      </w:r>
    </w:p>
    <w:p w14:paraId="6DD4717B" w14:textId="77777777" w:rsidR="00ED2F55" w:rsidRPr="00E72ABD" w:rsidRDefault="00ED2F55" w:rsidP="005B3248">
      <w:pPr>
        <w:pStyle w:val="SingleTxtG"/>
        <w:rPr>
          <w:lang w:val="en-US"/>
        </w:rPr>
      </w:pPr>
      <w:r w:rsidRPr="00E72ABD">
        <w:rPr>
          <w:lang w:val="en-US"/>
        </w:rPr>
        <w:t>EAC</w:t>
      </w:r>
      <w:r w:rsidRPr="00E72ABD">
        <w:rPr>
          <w:lang w:val="en-US"/>
        </w:rPr>
        <w:tab/>
      </w:r>
      <w:r w:rsidRPr="00E72ABD">
        <w:rPr>
          <w:lang w:val="en-US"/>
        </w:rPr>
        <w:tab/>
      </w:r>
      <w:r w:rsidRPr="00E72ABD">
        <w:rPr>
          <w:lang w:val="en-US"/>
        </w:rPr>
        <w:tab/>
        <w:t>East- African Community</w:t>
      </w:r>
    </w:p>
    <w:p w14:paraId="1864792D" w14:textId="77777777" w:rsidR="00ED2F55" w:rsidRPr="00E72ABD" w:rsidRDefault="00ED2F55" w:rsidP="00ED2F55">
      <w:pPr>
        <w:pStyle w:val="SingleTxtG"/>
        <w:rPr>
          <w:lang w:val="en-US"/>
        </w:rPr>
      </w:pPr>
      <w:r w:rsidRPr="00E72ABD">
        <w:rPr>
          <w:lang w:val="en-US"/>
        </w:rPr>
        <w:t>EU</w:t>
      </w:r>
      <w:r w:rsidRPr="00E72ABD">
        <w:rPr>
          <w:lang w:val="en-US"/>
        </w:rPr>
        <w:tab/>
      </w:r>
      <w:r w:rsidRPr="00E72ABD">
        <w:rPr>
          <w:lang w:val="en-US"/>
        </w:rPr>
        <w:tab/>
      </w:r>
      <w:r w:rsidRPr="00E72ABD">
        <w:rPr>
          <w:lang w:val="en-US"/>
        </w:rPr>
        <w:tab/>
        <w:t xml:space="preserve">European Union </w:t>
      </w:r>
    </w:p>
    <w:p w14:paraId="778601D8" w14:textId="740A76A6" w:rsidR="005B3248" w:rsidRPr="00E72ABD" w:rsidRDefault="00ED2F55" w:rsidP="005B3248">
      <w:pPr>
        <w:pStyle w:val="SingleTxtG"/>
        <w:rPr>
          <w:lang w:val="en-US"/>
        </w:rPr>
      </w:pPr>
      <w:r w:rsidRPr="00E72ABD">
        <w:rPr>
          <w:lang w:val="en-US"/>
        </w:rPr>
        <w:t>Ex-</w:t>
      </w:r>
      <w:r w:rsidR="005B3248" w:rsidRPr="00E72ABD">
        <w:rPr>
          <w:lang w:val="en-US"/>
        </w:rPr>
        <w:t>FAB</w:t>
      </w:r>
      <w:r w:rsidR="005B3248" w:rsidRPr="00E72ABD">
        <w:rPr>
          <w:lang w:val="en-US"/>
        </w:rPr>
        <w:tab/>
      </w:r>
      <w:r w:rsidR="005B3248" w:rsidRPr="00E72ABD">
        <w:rPr>
          <w:lang w:val="en-US"/>
        </w:rPr>
        <w:tab/>
      </w:r>
      <w:r w:rsidRPr="00E72ABD">
        <w:rPr>
          <w:lang w:val="en-US"/>
        </w:rPr>
        <w:t xml:space="preserve">former </w:t>
      </w:r>
      <w:r w:rsidR="002E6630">
        <w:rPr>
          <w:lang w:val="en-US"/>
        </w:rPr>
        <w:t>Burundian</w:t>
      </w:r>
      <w:r w:rsidRPr="00E72ABD">
        <w:rPr>
          <w:lang w:val="en-US"/>
        </w:rPr>
        <w:t xml:space="preserve"> Armed Forces </w:t>
      </w:r>
    </w:p>
    <w:p w14:paraId="6B01C363" w14:textId="06984D51" w:rsidR="005B3248" w:rsidRPr="00E72ABD" w:rsidRDefault="005B3248" w:rsidP="005B3248">
      <w:pPr>
        <w:pStyle w:val="SingleTxtG"/>
        <w:rPr>
          <w:lang w:val="en-US"/>
        </w:rPr>
      </w:pPr>
      <w:r w:rsidRPr="00E72ABD">
        <w:rPr>
          <w:lang w:val="en-US"/>
        </w:rPr>
        <w:t>FDNB</w:t>
      </w:r>
      <w:r w:rsidRPr="00E72ABD">
        <w:rPr>
          <w:lang w:val="en-US"/>
        </w:rPr>
        <w:tab/>
      </w:r>
      <w:r w:rsidRPr="00E72ABD">
        <w:rPr>
          <w:lang w:val="en-US"/>
        </w:rPr>
        <w:tab/>
      </w:r>
      <w:r w:rsidR="000410DE" w:rsidRPr="00E72ABD">
        <w:rPr>
          <w:lang w:val="en-US"/>
        </w:rPr>
        <w:tab/>
      </w:r>
      <w:r w:rsidR="00ED2F55" w:rsidRPr="00E72ABD">
        <w:rPr>
          <w:lang w:val="en-US"/>
        </w:rPr>
        <w:t xml:space="preserve">National </w:t>
      </w:r>
      <w:r w:rsidR="005379F4" w:rsidRPr="00E72ABD">
        <w:rPr>
          <w:lang w:val="en-US"/>
        </w:rPr>
        <w:t>Defense</w:t>
      </w:r>
      <w:r w:rsidR="00ED2F55" w:rsidRPr="00E72ABD">
        <w:rPr>
          <w:lang w:val="en-US"/>
        </w:rPr>
        <w:t xml:space="preserve"> </w:t>
      </w:r>
      <w:r w:rsidRPr="00E72ABD">
        <w:rPr>
          <w:lang w:val="en-US"/>
        </w:rPr>
        <w:t xml:space="preserve">Forces </w:t>
      </w:r>
      <w:r w:rsidR="00ED2F55" w:rsidRPr="00E72ABD">
        <w:rPr>
          <w:lang w:val="en-US"/>
        </w:rPr>
        <w:t>of</w:t>
      </w:r>
      <w:r w:rsidRPr="00E72ABD">
        <w:rPr>
          <w:lang w:val="en-US"/>
        </w:rPr>
        <w:t xml:space="preserve"> Burundi</w:t>
      </w:r>
    </w:p>
    <w:p w14:paraId="3DB199FC" w14:textId="77777777" w:rsidR="005B3248" w:rsidRPr="00DD0182" w:rsidRDefault="005B3248" w:rsidP="005B3248">
      <w:pPr>
        <w:pStyle w:val="SingleTxtG"/>
        <w:rPr>
          <w:lang w:val="fr-FR"/>
        </w:rPr>
      </w:pPr>
      <w:r w:rsidRPr="00DD0182">
        <w:rPr>
          <w:lang w:val="fr-FR"/>
        </w:rPr>
        <w:t>FOREBU</w:t>
      </w:r>
      <w:r w:rsidRPr="00DD0182">
        <w:rPr>
          <w:lang w:val="fr-FR"/>
        </w:rPr>
        <w:tab/>
      </w:r>
      <w:r w:rsidRPr="00DD0182">
        <w:rPr>
          <w:lang w:val="fr-FR"/>
        </w:rPr>
        <w:tab/>
        <w:t>Forces républicaines du Burundi</w:t>
      </w:r>
    </w:p>
    <w:p w14:paraId="616D3D79" w14:textId="77777777" w:rsidR="005B3248" w:rsidRPr="00DD0182" w:rsidRDefault="005B3248" w:rsidP="005B3248">
      <w:pPr>
        <w:pStyle w:val="SingleTxtG"/>
        <w:rPr>
          <w:lang w:val="fr-FR"/>
        </w:rPr>
      </w:pPr>
      <w:r w:rsidRPr="00DD0182">
        <w:rPr>
          <w:lang w:val="fr-FR"/>
        </w:rPr>
        <w:t>FRODEBU</w:t>
      </w:r>
      <w:r w:rsidRPr="00DD0182">
        <w:rPr>
          <w:lang w:val="fr-FR"/>
        </w:rPr>
        <w:tab/>
      </w:r>
      <w:r w:rsidRPr="00DD0182">
        <w:rPr>
          <w:lang w:val="fr-FR"/>
        </w:rPr>
        <w:tab/>
        <w:t>Front pour la démocratie au Burundi</w:t>
      </w:r>
    </w:p>
    <w:p w14:paraId="36DC3E7F" w14:textId="77777777" w:rsidR="005B3248" w:rsidRPr="00FF5DC1" w:rsidRDefault="005B3248" w:rsidP="005B3248">
      <w:pPr>
        <w:pStyle w:val="SingleTxtG"/>
        <w:rPr>
          <w:lang w:val="fr-FR"/>
        </w:rPr>
      </w:pPr>
      <w:r w:rsidRPr="00FF5DC1">
        <w:rPr>
          <w:lang w:val="fr-FR"/>
        </w:rPr>
        <w:t>FNL</w:t>
      </w:r>
      <w:r w:rsidRPr="00FF5DC1">
        <w:rPr>
          <w:lang w:val="fr-FR"/>
        </w:rPr>
        <w:tab/>
      </w:r>
      <w:r w:rsidRPr="00FF5DC1">
        <w:rPr>
          <w:lang w:val="fr-FR"/>
        </w:rPr>
        <w:tab/>
      </w:r>
      <w:r w:rsidR="000410DE" w:rsidRPr="00FF5DC1">
        <w:rPr>
          <w:lang w:val="fr-FR"/>
        </w:rPr>
        <w:tab/>
      </w:r>
      <w:r w:rsidRPr="00FF5DC1">
        <w:rPr>
          <w:lang w:val="fr-FR"/>
        </w:rPr>
        <w:t>Forces nationales de lib</w:t>
      </w:r>
      <w:r w:rsidR="00A27D48" w:rsidRPr="00FF5DC1">
        <w:rPr>
          <w:lang w:val="fr-FR"/>
        </w:rPr>
        <w:t>ération</w:t>
      </w:r>
    </w:p>
    <w:p w14:paraId="349CC922" w14:textId="77777777" w:rsidR="005B3248" w:rsidRPr="00DD0182" w:rsidRDefault="005B3248" w:rsidP="005B3248">
      <w:pPr>
        <w:pStyle w:val="SingleTxtG"/>
        <w:rPr>
          <w:lang w:val="fr-FR"/>
        </w:rPr>
      </w:pPr>
      <w:r w:rsidRPr="00DD0182">
        <w:rPr>
          <w:lang w:val="fr-FR"/>
        </w:rPr>
        <w:t>MSD</w:t>
      </w:r>
      <w:r w:rsidRPr="00DD0182">
        <w:rPr>
          <w:lang w:val="fr-FR"/>
        </w:rPr>
        <w:tab/>
      </w:r>
      <w:r w:rsidRPr="00DD0182">
        <w:rPr>
          <w:lang w:val="fr-FR"/>
        </w:rPr>
        <w:tab/>
      </w:r>
      <w:r w:rsidR="000410DE" w:rsidRPr="00DD0182">
        <w:rPr>
          <w:lang w:val="fr-FR"/>
        </w:rPr>
        <w:tab/>
      </w:r>
      <w:r w:rsidRPr="00DD0182">
        <w:rPr>
          <w:lang w:val="fr-FR"/>
        </w:rPr>
        <w:t>Mouvement pour la solidarité et le développement</w:t>
      </w:r>
    </w:p>
    <w:p w14:paraId="7DDCFCCF" w14:textId="57AB9FA7" w:rsidR="005B3248" w:rsidRPr="00E72ABD" w:rsidRDefault="00ED2F55" w:rsidP="005B3248">
      <w:pPr>
        <w:pStyle w:val="SingleTxtG"/>
      </w:pPr>
      <w:r w:rsidRPr="00E72ABD">
        <w:t>NGO</w:t>
      </w:r>
      <w:r w:rsidR="005B3248" w:rsidRPr="00E72ABD">
        <w:tab/>
      </w:r>
      <w:r w:rsidR="005B3248" w:rsidRPr="00E72ABD">
        <w:tab/>
      </w:r>
      <w:r w:rsidR="000410DE" w:rsidRPr="00E72ABD">
        <w:tab/>
      </w:r>
      <w:r w:rsidRPr="00E72ABD">
        <w:t>Non-</w:t>
      </w:r>
      <w:r w:rsidR="007F5B89">
        <w:t>Government</w:t>
      </w:r>
      <w:r w:rsidRPr="00E72ABD">
        <w:t xml:space="preserve">al </w:t>
      </w:r>
      <w:r w:rsidR="005B3248" w:rsidRPr="00E72ABD">
        <w:t xml:space="preserve">Organisation </w:t>
      </w:r>
    </w:p>
    <w:p w14:paraId="0351E896" w14:textId="77777777" w:rsidR="00ED2F55" w:rsidRPr="00E72ABD" w:rsidRDefault="00ED2F55" w:rsidP="00ED2F55">
      <w:pPr>
        <w:pStyle w:val="SingleTxtG"/>
        <w:rPr>
          <w:lang w:val="en-US"/>
        </w:rPr>
      </w:pPr>
      <w:r w:rsidRPr="00E72ABD">
        <w:rPr>
          <w:lang w:val="en-US"/>
        </w:rPr>
        <w:t>OHCHR</w:t>
      </w:r>
      <w:r w:rsidRPr="00E72ABD">
        <w:rPr>
          <w:lang w:val="en-US"/>
        </w:rPr>
        <w:tab/>
      </w:r>
      <w:r w:rsidRPr="00E72ABD">
        <w:rPr>
          <w:lang w:val="en-US"/>
        </w:rPr>
        <w:tab/>
        <w:t>Office of the United Nations High-Commissioner for human rights</w:t>
      </w:r>
    </w:p>
    <w:p w14:paraId="7C01D538" w14:textId="77777777" w:rsidR="005B3248" w:rsidRPr="00DD0182" w:rsidRDefault="005B3248" w:rsidP="005B3248">
      <w:pPr>
        <w:pStyle w:val="SingleTxtG"/>
        <w:ind w:left="2829" w:hanging="1695"/>
        <w:rPr>
          <w:lang w:val="fr-FR"/>
        </w:rPr>
      </w:pPr>
      <w:r w:rsidRPr="00DD0182">
        <w:rPr>
          <w:lang w:val="fr-FR"/>
        </w:rPr>
        <w:t>PARCEM</w:t>
      </w:r>
      <w:r w:rsidRPr="00DD0182">
        <w:rPr>
          <w:lang w:val="fr-FR"/>
        </w:rPr>
        <w:tab/>
      </w:r>
      <w:r w:rsidRPr="00DD0182">
        <w:rPr>
          <w:lang w:val="fr-FR"/>
        </w:rPr>
        <w:tab/>
        <w:t>Parole et action pour le réveil des consciences et l’évolution des mentalités</w:t>
      </w:r>
    </w:p>
    <w:p w14:paraId="6D5DB6A2" w14:textId="7401CF38" w:rsidR="005B3248" w:rsidRPr="00FF5DC1" w:rsidRDefault="005B3248" w:rsidP="005B3248">
      <w:pPr>
        <w:pStyle w:val="SingleTxtG"/>
        <w:rPr>
          <w:lang w:val="fr-FR"/>
        </w:rPr>
      </w:pPr>
      <w:r w:rsidRPr="00FF5DC1">
        <w:rPr>
          <w:lang w:val="fr-FR"/>
        </w:rPr>
        <w:t>PNB</w:t>
      </w:r>
      <w:r w:rsidRPr="00FF5DC1">
        <w:rPr>
          <w:lang w:val="fr-FR"/>
        </w:rPr>
        <w:tab/>
      </w:r>
      <w:r w:rsidRPr="00FF5DC1">
        <w:rPr>
          <w:lang w:val="fr-FR"/>
        </w:rPr>
        <w:tab/>
      </w:r>
      <w:r w:rsidR="000410DE" w:rsidRPr="00FF5DC1">
        <w:rPr>
          <w:lang w:val="fr-FR"/>
        </w:rPr>
        <w:tab/>
      </w:r>
      <w:r w:rsidR="002E6630" w:rsidRPr="00FF5DC1">
        <w:rPr>
          <w:lang w:val="fr-FR"/>
        </w:rPr>
        <w:t>Burundian</w:t>
      </w:r>
      <w:r w:rsidR="00ED2F55" w:rsidRPr="00FF5DC1">
        <w:rPr>
          <w:lang w:val="fr-FR"/>
        </w:rPr>
        <w:t xml:space="preserve"> National </w:t>
      </w:r>
      <w:r w:rsidR="00A27D48" w:rsidRPr="00FF5DC1">
        <w:rPr>
          <w:lang w:val="fr-FR"/>
        </w:rPr>
        <w:t xml:space="preserve">Police </w:t>
      </w:r>
    </w:p>
    <w:p w14:paraId="5604B3A1" w14:textId="77777777" w:rsidR="005B3248" w:rsidRPr="00DD0182" w:rsidRDefault="005B3248" w:rsidP="005B3248">
      <w:pPr>
        <w:pStyle w:val="SingleTxtG"/>
        <w:rPr>
          <w:lang w:val="fr-FR"/>
        </w:rPr>
      </w:pPr>
      <w:r w:rsidRPr="00DD0182">
        <w:rPr>
          <w:lang w:val="fr-FR"/>
        </w:rPr>
        <w:t>RED-Tabara</w:t>
      </w:r>
      <w:r w:rsidRPr="00DD0182">
        <w:rPr>
          <w:lang w:val="fr-FR"/>
        </w:rPr>
        <w:tab/>
      </w:r>
      <w:r w:rsidR="000410DE" w:rsidRPr="00DD0182">
        <w:rPr>
          <w:lang w:val="fr-FR"/>
        </w:rPr>
        <w:tab/>
      </w:r>
      <w:r w:rsidRPr="00DD0182">
        <w:rPr>
          <w:lang w:val="fr-FR"/>
        </w:rPr>
        <w:t>Résistance pour un État de droit – Tabara</w:t>
      </w:r>
    </w:p>
    <w:p w14:paraId="0D6BFEDC" w14:textId="63A5661D" w:rsidR="005B3248" w:rsidRPr="00E72ABD" w:rsidRDefault="005B3248" w:rsidP="005B3248">
      <w:pPr>
        <w:pStyle w:val="SingleTxtG"/>
        <w:rPr>
          <w:lang w:val="en-US"/>
        </w:rPr>
      </w:pPr>
      <w:r w:rsidRPr="00E72ABD">
        <w:rPr>
          <w:lang w:val="en-US"/>
        </w:rPr>
        <w:t>RTNB</w:t>
      </w:r>
      <w:r w:rsidRPr="00E72ABD">
        <w:rPr>
          <w:lang w:val="en-US"/>
        </w:rPr>
        <w:tab/>
      </w:r>
      <w:r w:rsidRPr="00E72ABD">
        <w:rPr>
          <w:lang w:val="en-US"/>
        </w:rPr>
        <w:tab/>
      </w:r>
      <w:r w:rsidR="000410DE" w:rsidRPr="00E72ABD">
        <w:rPr>
          <w:lang w:val="en-US"/>
        </w:rPr>
        <w:tab/>
      </w:r>
      <w:r w:rsidR="00ED2F55" w:rsidRPr="00E72ABD">
        <w:rPr>
          <w:lang w:val="en-US"/>
        </w:rPr>
        <w:t xml:space="preserve">National </w:t>
      </w:r>
      <w:r w:rsidRPr="00E72ABD">
        <w:rPr>
          <w:lang w:val="en-US"/>
        </w:rPr>
        <w:t xml:space="preserve">Radio </w:t>
      </w:r>
      <w:r w:rsidR="00ED2F55" w:rsidRPr="00E72ABD">
        <w:rPr>
          <w:lang w:val="en-US"/>
        </w:rPr>
        <w:t>Television of</w:t>
      </w:r>
      <w:r w:rsidRPr="00E72ABD">
        <w:rPr>
          <w:lang w:val="en-US"/>
        </w:rPr>
        <w:t xml:space="preserve"> Burundi</w:t>
      </w:r>
    </w:p>
    <w:p w14:paraId="031CE976" w14:textId="5B4B52A8" w:rsidR="005B3248" w:rsidRPr="00E72ABD" w:rsidRDefault="005B3248" w:rsidP="005B3248">
      <w:pPr>
        <w:pStyle w:val="SingleTxtG"/>
      </w:pPr>
      <w:r w:rsidRPr="00E72ABD">
        <w:t>SNR</w:t>
      </w:r>
      <w:r w:rsidRPr="00E72ABD">
        <w:tab/>
      </w:r>
      <w:r w:rsidRPr="00E72ABD">
        <w:tab/>
      </w:r>
      <w:r w:rsidR="000410DE" w:rsidRPr="00E72ABD">
        <w:tab/>
      </w:r>
      <w:r w:rsidR="00ED2F55" w:rsidRPr="00E72ABD">
        <w:t xml:space="preserve">National Intelligence </w:t>
      </w:r>
      <w:r w:rsidRPr="00E72ABD">
        <w:t xml:space="preserve">Service </w:t>
      </w:r>
    </w:p>
    <w:p w14:paraId="2C250A93" w14:textId="77777777" w:rsidR="00ED2F55" w:rsidRPr="00E72ABD" w:rsidRDefault="00ED2F55" w:rsidP="00ED2F55">
      <w:pPr>
        <w:pStyle w:val="SingleTxtG"/>
        <w:ind w:left="2829" w:hanging="1695"/>
        <w:rPr>
          <w:lang w:val="en-US"/>
        </w:rPr>
      </w:pPr>
      <w:r w:rsidRPr="00E72ABD">
        <w:rPr>
          <w:lang w:val="en-US"/>
        </w:rPr>
        <w:t>UNHCR</w:t>
      </w:r>
      <w:r w:rsidRPr="00E72ABD">
        <w:rPr>
          <w:lang w:val="en-US"/>
        </w:rPr>
        <w:tab/>
      </w:r>
      <w:r w:rsidRPr="00E72ABD">
        <w:rPr>
          <w:lang w:val="en-US"/>
        </w:rPr>
        <w:tab/>
        <w:t>Office of the United Nations High-Commissioner for Refugees</w:t>
      </w:r>
    </w:p>
    <w:p w14:paraId="63CE8417" w14:textId="77777777" w:rsidR="005B3248" w:rsidRPr="00DD0182" w:rsidRDefault="005B3248" w:rsidP="005B3248">
      <w:pPr>
        <w:pStyle w:val="SingleTxtG"/>
        <w:rPr>
          <w:lang w:val="fr-FR"/>
        </w:rPr>
      </w:pPr>
      <w:r w:rsidRPr="00DD0182">
        <w:rPr>
          <w:lang w:val="fr-FR"/>
        </w:rPr>
        <w:t>UPD-Zigamibanga</w:t>
      </w:r>
      <w:r w:rsidRPr="00DD0182">
        <w:rPr>
          <w:lang w:val="fr-FR"/>
        </w:rPr>
        <w:tab/>
        <w:t>Union pour la paix et le développement-Zigamibanga</w:t>
      </w:r>
    </w:p>
    <w:p w14:paraId="04AE5C2F" w14:textId="77777777" w:rsidR="005B3248" w:rsidRPr="00DD0182" w:rsidRDefault="005B3248" w:rsidP="005B3248">
      <w:pPr>
        <w:suppressAutoHyphens w:val="0"/>
        <w:spacing w:line="240" w:lineRule="auto"/>
        <w:ind w:left="1134"/>
        <w:rPr>
          <w:lang w:val="fr-FR"/>
        </w:rPr>
      </w:pPr>
      <w:r w:rsidRPr="00DD0182">
        <w:rPr>
          <w:lang w:val="fr-FR"/>
        </w:rPr>
        <w:t>UPRONA</w:t>
      </w:r>
      <w:r w:rsidRPr="00DD0182">
        <w:rPr>
          <w:lang w:val="fr-FR"/>
        </w:rPr>
        <w:tab/>
      </w:r>
      <w:r w:rsidRPr="00DD0182">
        <w:rPr>
          <w:lang w:val="fr-FR"/>
        </w:rPr>
        <w:tab/>
        <w:t>Union pour le progrès national</w:t>
      </w:r>
    </w:p>
    <w:p w14:paraId="30132F92" w14:textId="77777777" w:rsidR="005B3248" w:rsidRPr="00DD0182" w:rsidRDefault="005B3248" w:rsidP="005B3248">
      <w:pPr>
        <w:suppressAutoHyphens w:val="0"/>
        <w:spacing w:line="240" w:lineRule="auto"/>
        <w:rPr>
          <w:lang w:val="fr-FR"/>
        </w:rPr>
      </w:pPr>
      <w:r w:rsidRPr="00DD0182">
        <w:rPr>
          <w:sz w:val="24"/>
          <w:szCs w:val="24"/>
          <w:lang w:val="fr-FR" w:eastAsia="fr-FR"/>
        </w:rPr>
        <w:br w:type="page"/>
      </w:r>
    </w:p>
    <w:p w14:paraId="6B14CC3A" w14:textId="77777777" w:rsidR="003E4FD2" w:rsidRPr="00E72ABD" w:rsidRDefault="003E4FD2" w:rsidP="003E4FD2">
      <w:pPr>
        <w:pStyle w:val="HChG"/>
      </w:pPr>
      <w:r w:rsidRPr="00DD0182">
        <w:rPr>
          <w:lang w:val="fr-FR"/>
        </w:rPr>
        <w:lastRenderedPageBreak/>
        <w:tab/>
      </w:r>
      <w:r w:rsidRPr="00E72ABD">
        <w:t>I.</w:t>
      </w:r>
      <w:r w:rsidRPr="00E72ABD">
        <w:tab/>
        <w:t>Introduction</w:t>
      </w:r>
    </w:p>
    <w:p w14:paraId="0C462AC5" w14:textId="0A051107" w:rsidR="003D5320" w:rsidRPr="00E72ABD" w:rsidRDefault="003D5320" w:rsidP="003D5320">
      <w:pPr>
        <w:spacing w:after="120"/>
        <w:ind w:left="1134" w:right="1134"/>
        <w:jc w:val="both"/>
      </w:pPr>
      <w:r w:rsidRPr="00E72ABD">
        <w:t>1.</w:t>
      </w:r>
      <w:r w:rsidRPr="00E72ABD">
        <w:tab/>
        <w:t xml:space="preserve">This report is the detailed version of the report A/HRC/42/49, presented at the forty-second session of the Human Rights Council pursuant to resolution 39/14, adopted on 28 </w:t>
      </w:r>
      <w:r w:rsidR="005379F4" w:rsidRPr="00E72ABD">
        <w:t>September</w:t>
      </w:r>
      <w:r w:rsidRPr="00E72ABD">
        <w:t xml:space="preserve"> 2018. It should be read in continuation of the two previous reports A/HRC/36/54 and A/HRC/39/63 that the Commission presented respectively during the thirty-six and thirty-nine sessions of the Human Rights Council, as well as the accompanying detailed reports A/HRC/36/CRP.1 and A/HRC/39/CRP.1</w:t>
      </w:r>
      <w:r w:rsidR="000D41DC" w:rsidRPr="00E72ABD">
        <w:t>.</w:t>
      </w:r>
    </w:p>
    <w:p w14:paraId="59618AFE" w14:textId="3967F093" w:rsidR="000D41DC" w:rsidRPr="00E72ABD" w:rsidRDefault="000D41DC" w:rsidP="003D5320">
      <w:pPr>
        <w:spacing w:after="120"/>
        <w:ind w:left="1134" w:right="1134"/>
        <w:jc w:val="both"/>
      </w:pPr>
      <w:r w:rsidRPr="00E72ABD">
        <w:t>[…]</w:t>
      </w:r>
    </w:p>
    <w:p w14:paraId="41AA9BB6" w14:textId="3CA0C64B" w:rsidR="00801145" w:rsidRPr="00E72ABD" w:rsidRDefault="00801145" w:rsidP="00801145">
      <w:pPr>
        <w:keepNext/>
        <w:keepLines/>
        <w:tabs>
          <w:tab w:val="right" w:pos="851"/>
        </w:tabs>
        <w:spacing w:before="360" w:after="240" w:line="300" w:lineRule="exact"/>
        <w:ind w:left="1134" w:right="1134" w:hanging="1134"/>
        <w:rPr>
          <w:b/>
          <w:sz w:val="28"/>
          <w:lang w:val="en-US"/>
        </w:rPr>
      </w:pPr>
      <w:bookmarkStart w:id="2" w:name="_Hlk25527245"/>
      <w:r w:rsidRPr="00E72ABD">
        <w:rPr>
          <w:b/>
          <w:sz w:val="28"/>
        </w:rPr>
        <w:tab/>
      </w:r>
      <w:r w:rsidRPr="00E72ABD">
        <w:rPr>
          <w:b/>
          <w:sz w:val="28"/>
          <w:lang w:val="en-US"/>
        </w:rPr>
        <w:t>II.</w:t>
      </w:r>
      <w:r w:rsidRPr="00E72ABD">
        <w:rPr>
          <w:b/>
          <w:sz w:val="28"/>
          <w:lang w:val="en-US"/>
        </w:rPr>
        <w:tab/>
      </w:r>
      <w:r w:rsidR="00256E19" w:rsidRPr="00E72ABD">
        <w:rPr>
          <w:b/>
          <w:sz w:val="28"/>
          <w:lang w:val="en-US"/>
        </w:rPr>
        <w:t>Human Rights Situation</w:t>
      </w:r>
      <w:r w:rsidRPr="00E72ABD">
        <w:rPr>
          <w:b/>
          <w:sz w:val="28"/>
          <w:lang w:val="en-US"/>
        </w:rPr>
        <w:t xml:space="preserve"> </w:t>
      </w:r>
    </w:p>
    <w:bookmarkEnd w:id="2"/>
    <w:p w14:paraId="58BCDA13" w14:textId="7187D7D1" w:rsidR="00E95A7B" w:rsidRPr="00E72ABD" w:rsidRDefault="00E95A7B" w:rsidP="000D41DC">
      <w:pPr>
        <w:spacing w:after="120"/>
        <w:ind w:left="1134" w:right="1134"/>
        <w:jc w:val="both"/>
        <w:rPr>
          <w:b/>
          <w:sz w:val="28"/>
        </w:rPr>
      </w:pPr>
      <w:r w:rsidRPr="00E72ABD">
        <w:t>54.</w:t>
      </w:r>
      <w:r w:rsidRPr="00E72ABD">
        <w:tab/>
        <w:t>As in the previous reports, the information presented in this section is directly taken from the investigations conducted by the Commission since the extension of its mandate in September 2018. It mainly covers the violations and abuses perpetrated between May 2018 and the publication date of this report</w:t>
      </w:r>
      <w:r w:rsidR="000D41DC" w:rsidRPr="00E72ABD">
        <w:t>.</w:t>
      </w:r>
      <w:r w:rsidRPr="00E72ABD">
        <w:rPr>
          <w:sz w:val="18"/>
          <w:vertAlign w:val="superscript"/>
          <w:lang w:val="fr-CH"/>
        </w:rPr>
        <w:footnoteReference w:id="3"/>
      </w:r>
      <w:r w:rsidRPr="00E72ABD">
        <w:t xml:space="preserve"> The combined reading of the Commission’s three reports provides an overall view of the human rights situation in Burundi since April 2015 and its evolution, especially concerning the operational methods, the profiles of the victims and the main perpetrators.</w:t>
      </w:r>
    </w:p>
    <w:p w14:paraId="143D7023" w14:textId="7200181E" w:rsidR="00801145" w:rsidRPr="00E72ABD" w:rsidRDefault="00B303AD" w:rsidP="000D41DC">
      <w:pPr>
        <w:pStyle w:val="ListParagraph"/>
        <w:keepNext/>
        <w:keepLines/>
        <w:numPr>
          <w:ilvl w:val="0"/>
          <w:numId w:val="36"/>
        </w:numPr>
        <w:tabs>
          <w:tab w:val="right" w:pos="851"/>
        </w:tabs>
        <w:spacing w:before="360" w:after="240" w:line="270" w:lineRule="exact"/>
        <w:ind w:right="1134"/>
        <w:rPr>
          <w:b/>
          <w:sz w:val="24"/>
        </w:rPr>
      </w:pPr>
      <w:r w:rsidRPr="00E72ABD">
        <w:rPr>
          <w:b/>
          <w:sz w:val="24"/>
        </w:rPr>
        <w:t>Main trends since June 2018</w:t>
      </w:r>
    </w:p>
    <w:p w14:paraId="20CFB841" w14:textId="220C74F1" w:rsidR="00E95A7B" w:rsidRPr="00E72ABD" w:rsidRDefault="00E95A7B" w:rsidP="00E95A7B">
      <w:pPr>
        <w:spacing w:after="120"/>
        <w:ind w:left="1134" w:right="1134"/>
        <w:jc w:val="both"/>
      </w:pPr>
      <w:r w:rsidRPr="00E72ABD">
        <w:t>55.</w:t>
      </w:r>
      <w:r w:rsidRPr="00E72ABD">
        <w:tab/>
        <w:t>The main human rights violations continue</w:t>
      </w:r>
      <w:r w:rsidR="000D41DC" w:rsidRPr="00E72ABD">
        <w:t xml:space="preserve"> </w:t>
      </w:r>
      <w:r w:rsidRPr="00E72ABD">
        <w:t xml:space="preserve">to </w:t>
      </w:r>
      <w:r w:rsidR="000D41DC" w:rsidRPr="00E72ABD">
        <w:t>have</w:t>
      </w:r>
      <w:r w:rsidRPr="00E72ABD">
        <w:t xml:space="preserve"> a political dimension and several were perpetrated in the wake of the May 2018 constitutional referendum or in the context of the preparation of the 2020 elections. With regards to civil and political rights, these violations </w:t>
      </w:r>
      <w:r w:rsidR="000D41DC" w:rsidRPr="00E72ABD">
        <w:t>concern</w:t>
      </w:r>
      <w:r w:rsidRPr="00E72ABD">
        <w:t xml:space="preserve"> the right to life, the right to liberty and security, the right not to be subjected to torture and ill-treatment, as well as cases of sexu</w:t>
      </w:r>
      <w:r w:rsidR="00FE110C">
        <w:t>al violence and violations of the main civil liberties</w:t>
      </w:r>
      <w:r w:rsidRPr="00E72ABD">
        <w:t>.</w:t>
      </w:r>
    </w:p>
    <w:p w14:paraId="5BDC4C3C" w14:textId="54AD5690" w:rsidR="00E95A7B" w:rsidRPr="00E72ABD" w:rsidRDefault="00E95A7B" w:rsidP="00E95A7B">
      <w:pPr>
        <w:spacing w:after="120"/>
        <w:ind w:left="1134" w:right="1134"/>
        <w:jc w:val="both"/>
      </w:pPr>
      <w:r w:rsidRPr="00E72ABD">
        <w:t>56.</w:t>
      </w:r>
      <w:r w:rsidRPr="00E72ABD">
        <w:tab/>
      </w:r>
      <w:r w:rsidR="000D41DC" w:rsidRPr="00E72ABD">
        <w:t>For the most part, the</w:t>
      </w:r>
      <w:r w:rsidRPr="00E72ABD">
        <w:t xml:space="preserve"> victims continue to be targeted for their support or their affiliation, alleged or actual, to a party other than the ruling party (</w:t>
      </w:r>
      <w:r w:rsidRPr="00E72ABD">
        <w:rPr>
          <w:i/>
        </w:rPr>
        <w:t>le Conseil national pour la défense de la démocratie-Forces pour la défense de la démocratie</w:t>
      </w:r>
      <w:r w:rsidRPr="00E72ABD">
        <w:t xml:space="preserve"> – CNDD-FDD), including in relation to certain activities carried out by other political parties such as the campaign for </w:t>
      </w:r>
      <w:proofErr w:type="gramStart"/>
      <w:r w:rsidRPr="00E72ABD">
        <w:t>a </w:t>
      </w:r>
      <w:r w:rsidR="007101CE">
        <w:t>”</w:t>
      </w:r>
      <w:proofErr w:type="gramEnd"/>
      <w:r w:rsidRPr="00E72ABD">
        <w:t> no </w:t>
      </w:r>
      <w:r w:rsidR="007101CE">
        <w:t>”</w:t>
      </w:r>
      <w:r w:rsidRPr="00E72ABD">
        <w:t xml:space="preserve"> vote during the constitutional referendum. Since the accreditation of the </w:t>
      </w:r>
      <w:r w:rsidRPr="00E72ABD">
        <w:rPr>
          <w:i/>
        </w:rPr>
        <w:t>Congrès national pour la liberté</w:t>
      </w:r>
      <w:r w:rsidRPr="00E72ABD">
        <w:t xml:space="preserve"> (CNL) on 14 February 2019, with Agathon Rwasa as president, its members have been subjected to </w:t>
      </w:r>
      <w:r w:rsidRPr="00E72ABD">
        <w:rPr>
          <w:lang w:val="en-US"/>
        </w:rPr>
        <w:t>various</w:t>
      </w:r>
      <w:r w:rsidRPr="00E72ABD">
        <w:t xml:space="preserve"> violations of their civil and political rights.</w:t>
      </w:r>
    </w:p>
    <w:p w14:paraId="2D658F19" w14:textId="420A7DBC" w:rsidR="00E95A7B" w:rsidRPr="00E72ABD" w:rsidRDefault="00E95A7B" w:rsidP="00E95A7B">
      <w:pPr>
        <w:spacing w:after="120"/>
        <w:ind w:left="1134" w:right="1134"/>
        <w:jc w:val="both"/>
      </w:pPr>
      <w:r w:rsidRPr="00E72ABD">
        <w:t>57.</w:t>
      </w:r>
      <w:r w:rsidRPr="00E72ABD">
        <w:tab/>
        <w:t xml:space="preserve">Young men, accused of supporting or belonging to armed opposition groups, often following a trip or stay abroad, or in relation to their involvement, actual or alleged, in the protest against </w:t>
      </w:r>
      <w:r w:rsidR="000D41DC" w:rsidRPr="00E72ABD">
        <w:t xml:space="preserve">President Nkurunziza’s </w:t>
      </w:r>
      <w:r w:rsidR="00077D82">
        <w:t>third term</w:t>
      </w:r>
      <w:r w:rsidR="000D41DC" w:rsidRPr="00E72ABD">
        <w:t xml:space="preserve"> </w:t>
      </w:r>
      <w:r w:rsidRPr="00E72ABD">
        <w:t xml:space="preserve">or </w:t>
      </w:r>
      <w:r w:rsidR="000D41DC" w:rsidRPr="00E72ABD">
        <w:t xml:space="preserve">in </w:t>
      </w:r>
      <w:r w:rsidRPr="00E72ABD">
        <w:t>the 2015 security incidents</w:t>
      </w:r>
      <w:r w:rsidR="000D41DC" w:rsidRPr="00E72ABD">
        <w:t xml:space="preserve">, </w:t>
      </w:r>
      <w:r w:rsidRPr="00E72ABD">
        <w:t xml:space="preserve">have continued to be specifically targeted. </w:t>
      </w:r>
    </w:p>
    <w:p w14:paraId="2C2F8674" w14:textId="77777777" w:rsidR="00E95A7B" w:rsidRPr="00E72ABD" w:rsidRDefault="00E95A7B" w:rsidP="00E95A7B">
      <w:pPr>
        <w:spacing w:after="120"/>
        <w:ind w:left="1134" w:right="1134"/>
        <w:jc w:val="both"/>
      </w:pPr>
      <w:r w:rsidRPr="00E72ABD">
        <w:t>58.</w:t>
      </w:r>
      <w:r w:rsidRPr="00E72ABD">
        <w:tab/>
        <w:t>Persons with no political affiliation or activities have also been targeted for refusing to join CNDD-FDD or its youth league, Imbonerakure, including in instances when their religious convictions prevented them from taking part in political affairs.</w:t>
      </w:r>
    </w:p>
    <w:p w14:paraId="3645D7D9" w14:textId="41205117" w:rsidR="00E95A7B" w:rsidRPr="00E72ABD" w:rsidRDefault="00E95A7B" w:rsidP="00E95A7B">
      <w:pPr>
        <w:spacing w:after="120"/>
        <w:ind w:left="1134" w:right="1134"/>
        <w:jc w:val="both"/>
      </w:pPr>
      <w:r w:rsidRPr="00E72ABD">
        <w:t>59.</w:t>
      </w:r>
      <w:r w:rsidRPr="00E72ABD">
        <w:tab/>
        <w:t xml:space="preserve">Similarly, persons suspected of not wanting to tow the </w:t>
      </w:r>
      <w:r w:rsidR="007F5B89">
        <w:t>Government</w:t>
      </w:r>
      <w:r w:rsidR="000D41DC" w:rsidRPr="00E72ABD">
        <w:t xml:space="preserve"> </w:t>
      </w:r>
      <w:r w:rsidRPr="00E72ABD">
        <w:t xml:space="preserve">line and that of CNDD-FDD with regards to the constitutional referendum, namely to vote in favour of the constitutional review, have also been targeted; as well as those who did not pay the mandatory financial contributions, mainly for the funding of the 2020 elections, even if this was due to lack of resources.  </w:t>
      </w:r>
    </w:p>
    <w:p w14:paraId="30767327" w14:textId="77777777" w:rsidR="00E95A7B" w:rsidRPr="00E72ABD" w:rsidRDefault="00E95A7B" w:rsidP="00E95A7B">
      <w:pPr>
        <w:spacing w:after="120"/>
        <w:ind w:left="1134" w:right="1134"/>
        <w:jc w:val="both"/>
      </w:pPr>
      <w:r w:rsidRPr="00E72ABD">
        <w:t>60.</w:t>
      </w:r>
      <w:r w:rsidRPr="00E72ABD">
        <w:tab/>
        <w:t xml:space="preserve">Family members and relatives of targeted persons have also been victims of violations, often deliberately, but at times accidentally or for opportunistic reasons, </w:t>
      </w:r>
      <w:r w:rsidRPr="00E72ABD">
        <w:lastRenderedPageBreak/>
        <w:t>specifically in cases of sexual violence against women and girls during nocturnal attacks on their home.</w:t>
      </w:r>
    </w:p>
    <w:p w14:paraId="4B2C7868" w14:textId="7831E7E1" w:rsidR="00E95A7B" w:rsidRPr="00E72ABD" w:rsidRDefault="00E95A7B" w:rsidP="00E95A7B">
      <w:pPr>
        <w:spacing w:after="120"/>
        <w:ind w:left="1134" w:right="1134"/>
        <w:jc w:val="both"/>
      </w:pPr>
      <w:r w:rsidRPr="00E72ABD">
        <w:t>61.</w:t>
      </w:r>
      <w:r w:rsidRPr="00E72ABD">
        <w:tab/>
      </w:r>
      <w:r w:rsidR="002E6630">
        <w:t>Burundian</w:t>
      </w:r>
      <w:r w:rsidRPr="00E72ABD">
        <w:t xml:space="preserve"> nationals who had fled abroad and returned home under the assistance programme for repatriation since the beginning of 2017 were also targeted. More generally, several of them, once they arrived in their </w:t>
      </w:r>
      <w:r w:rsidRPr="00E72ABD">
        <w:rPr>
          <w:i/>
        </w:rPr>
        <w:t>colline</w:t>
      </w:r>
      <w:r w:rsidRPr="00E72ABD">
        <w:t xml:space="preserve"> </w:t>
      </w:r>
      <w:r w:rsidR="00C02E9E" w:rsidRPr="00E72ABD">
        <w:t xml:space="preserve">of origin </w:t>
      </w:r>
      <w:r w:rsidRPr="00E72ABD">
        <w:t>faced widespread suspicion; at times real hostility from the local administrative authorities and Imbonerakure. A witness who had returned to Burundi after some time in exile</w:t>
      </w:r>
      <w:r w:rsidR="00C02E9E" w:rsidRPr="00E72ABD">
        <w:t>,</w:t>
      </w:r>
      <w:r w:rsidRPr="00E72ABD">
        <w:t xml:space="preserve"> said: </w:t>
      </w:r>
    </w:p>
    <w:p w14:paraId="04141470" w14:textId="1D9C7A7F" w:rsidR="00E95A7B" w:rsidRPr="00E72ABD" w:rsidRDefault="00B2289D" w:rsidP="00E95A7B">
      <w:pPr>
        <w:tabs>
          <w:tab w:val="left" w:pos="1701"/>
        </w:tabs>
        <w:spacing w:after="120"/>
        <w:ind w:left="1701" w:right="1134"/>
        <w:jc w:val="both"/>
        <w:rPr>
          <w:i/>
        </w:rPr>
      </w:pPr>
      <w:r>
        <w:rPr>
          <w:i/>
        </w:rPr>
        <w:t>“</w:t>
      </w:r>
      <w:r w:rsidR="00E95A7B" w:rsidRPr="00E72ABD">
        <w:rPr>
          <w:i/>
        </w:rPr>
        <w:t xml:space="preserve">Since our return, we live in insecurity. […] an </w:t>
      </w:r>
      <w:r w:rsidR="00FE110C">
        <w:rPr>
          <w:i/>
        </w:rPr>
        <w:t>official</w:t>
      </w:r>
      <w:r w:rsidR="00E95A7B" w:rsidRPr="00E72ABD">
        <w:rPr>
          <w:i/>
        </w:rPr>
        <w:t xml:space="preserve"> at the </w:t>
      </w:r>
      <w:r w:rsidR="00E95A7B" w:rsidRPr="00E72ABD">
        <w:t>colline</w:t>
      </w:r>
      <w:r w:rsidR="00E95A7B" w:rsidRPr="00E72ABD">
        <w:rPr>
          <w:i/>
        </w:rPr>
        <w:t xml:space="preserve"> level […] called a meeting to tell people to remain vigilant. […] </w:t>
      </w:r>
      <w:r w:rsidR="00FE110C">
        <w:rPr>
          <w:i/>
        </w:rPr>
        <w:t>Such</w:t>
      </w:r>
      <w:r w:rsidR="00E95A7B" w:rsidRPr="00E72ABD">
        <w:rPr>
          <w:i/>
        </w:rPr>
        <w:t xml:space="preserve"> meeting was organised every week […] the request to remain vigilant is especially directed at authorities and Imbonerakure who must keep an eye on those who are returning. [This </w:t>
      </w:r>
      <w:r w:rsidR="00FE110C">
        <w:rPr>
          <w:i/>
        </w:rPr>
        <w:t>local offiical</w:t>
      </w:r>
      <w:r>
        <w:rPr>
          <w:i/>
        </w:rPr>
        <w:t>] said: ‘</w:t>
      </w:r>
      <w:r w:rsidR="00E95A7B" w:rsidRPr="00E72ABD">
        <w:rPr>
          <w:i/>
        </w:rPr>
        <w:t>the traitors who are returning, we must follow them because we do not know what brings them back to the country</w:t>
      </w:r>
      <w:r>
        <w:rPr>
          <w:i/>
        </w:rPr>
        <w:t>’</w:t>
      </w:r>
      <w:r w:rsidR="00E95A7B" w:rsidRPr="00E72ABD">
        <w:rPr>
          <w:i/>
        </w:rPr>
        <w:t xml:space="preserve">. […] As part from this call to vigilance, we had to identify ourselves and explain why we came back but </w:t>
      </w:r>
      <w:r w:rsidR="00FE110C">
        <w:rPr>
          <w:i/>
        </w:rPr>
        <w:t xml:space="preserve">because of </w:t>
      </w:r>
      <w:r w:rsidR="00C02E9E" w:rsidRPr="00E72ABD">
        <w:rPr>
          <w:i/>
        </w:rPr>
        <w:t xml:space="preserve">such </w:t>
      </w:r>
      <w:r w:rsidR="00E95A7B" w:rsidRPr="00E72ABD">
        <w:rPr>
          <w:i/>
        </w:rPr>
        <w:t>identification we became targets for Imbonerakure</w:t>
      </w:r>
      <w:r w:rsidR="00C02E9E" w:rsidRPr="00E72ABD">
        <w:rPr>
          <w:i/>
        </w:rPr>
        <w:t>,</w:t>
      </w:r>
      <w:r w:rsidR="00E95A7B" w:rsidRPr="00E72ABD">
        <w:rPr>
          <w:i/>
        </w:rPr>
        <w:t xml:space="preserve"> whom we had to pay because they had stayed behind to build the country</w:t>
      </w:r>
      <w:r>
        <w:rPr>
          <w:i/>
        </w:rPr>
        <w:t>”</w:t>
      </w:r>
      <w:r w:rsidR="00C02E9E" w:rsidRPr="00E72ABD">
        <w:rPr>
          <w:i/>
        </w:rPr>
        <w:t>.</w:t>
      </w:r>
      <w:r w:rsidR="00E95A7B" w:rsidRPr="00E72ABD">
        <w:rPr>
          <w:sz w:val="18"/>
          <w:vertAlign w:val="superscript"/>
          <w:lang w:val="fr-CH"/>
        </w:rPr>
        <w:footnoteReference w:id="4"/>
      </w:r>
    </w:p>
    <w:p w14:paraId="1160BA52" w14:textId="63AD7D6E" w:rsidR="00E95A7B" w:rsidRPr="00E72ABD" w:rsidRDefault="00E95A7B" w:rsidP="00E95A7B">
      <w:pPr>
        <w:tabs>
          <w:tab w:val="left" w:pos="1701"/>
        </w:tabs>
        <w:spacing w:after="120"/>
        <w:ind w:left="1134" w:right="1134"/>
        <w:jc w:val="both"/>
      </w:pPr>
      <w:r w:rsidRPr="00E72ABD">
        <w:t>62.</w:t>
      </w:r>
      <w:r w:rsidRPr="00E72ABD">
        <w:tab/>
        <w:t xml:space="preserve">Several violations occurred in rural areas, in zones and </w:t>
      </w:r>
      <w:r w:rsidRPr="00E72ABD">
        <w:rPr>
          <w:i/>
        </w:rPr>
        <w:t>collines</w:t>
      </w:r>
      <w:r w:rsidRPr="00E72ABD">
        <w:t>, which are patrolled by the Imbonerakure who are working to control the whole population, particularly at the grassroots level, and compel their allegiance to CNDD-FDD. These efforts target primarily poor people, mostly farmers with limited means and formal education, whereas at the beginning of the crisis the repression was especially directed at political leaders</w:t>
      </w:r>
      <w:r w:rsidR="00C02E9E" w:rsidRPr="00E72ABD">
        <w:t>,</w:t>
      </w:r>
      <w:r w:rsidRPr="00E72ABD">
        <w:t xml:space="preserve"> civil society </w:t>
      </w:r>
      <w:r w:rsidR="00C02E9E" w:rsidRPr="00E72ABD">
        <w:t xml:space="preserve">representatives, </w:t>
      </w:r>
      <w:r w:rsidRPr="00E72ABD">
        <w:t>including human rights activists</w:t>
      </w:r>
      <w:r w:rsidR="00BE3FFB" w:rsidRPr="00E72ABD">
        <w:t>,</w:t>
      </w:r>
      <w:r w:rsidR="00C02E9E" w:rsidRPr="00E72ABD">
        <w:t xml:space="preserve"> and</w:t>
      </w:r>
      <w:r w:rsidRPr="00E72ABD">
        <w:t xml:space="preserve"> </w:t>
      </w:r>
      <w:r w:rsidR="00BE3FFB" w:rsidRPr="00E72ABD">
        <w:t xml:space="preserve">students, </w:t>
      </w:r>
      <w:r w:rsidRPr="00E72ABD">
        <w:t>who for the most part, resided in Bujumbura. However, human rights defenders remain targets as demonstrated by the confirmation on appeal, on 17 July 2019, of the 32-year prison sentence imposed on Germain Rukuki.</w:t>
      </w:r>
    </w:p>
    <w:p w14:paraId="46D8A704" w14:textId="11B1CD57" w:rsidR="00E95A7B" w:rsidRPr="00E72ABD" w:rsidRDefault="00E95A7B" w:rsidP="00E95A7B">
      <w:pPr>
        <w:spacing w:after="120"/>
        <w:ind w:left="1134" w:right="1134"/>
        <w:jc w:val="both"/>
      </w:pPr>
      <w:r w:rsidRPr="00E72ABD">
        <w:t>63.</w:t>
      </w:r>
      <w:r w:rsidRPr="00E72ABD">
        <w:tab/>
        <w:t xml:space="preserve">Violations can take multiple forms and are often </w:t>
      </w:r>
      <w:r w:rsidR="00C02E9E" w:rsidRPr="00E72ABD">
        <w:t xml:space="preserve">cumulative and </w:t>
      </w:r>
      <w:r w:rsidRPr="00E72ABD">
        <w:t>inflicted to the same household: summary executions, disappearances, including forced disappearances, arbitrary arrest and detention, torture and ill treatment, as well as sexual violence.</w:t>
      </w:r>
    </w:p>
    <w:p w14:paraId="008C2C62" w14:textId="6D1F370E" w:rsidR="00E95A7B" w:rsidRPr="00E72ABD" w:rsidRDefault="00E95A7B" w:rsidP="00E95A7B">
      <w:pPr>
        <w:spacing w:after="120"/>
        <w:ind w:left="1134" w:right="1134"/>
        <w:jc w:val="both"/>
      </w:pPr>
      <w:r w:rsidRPr="00E72ABD">
        <w:t>64.</w:t>
      </w:r>
      <w:r w:rsidRPr="00E72ABD">
        <w:tab/>
        <w:t xml:space="preserve">Imbonerakure, agents of the National Intelligence Service </w:t>
      </w:r>
      <w:r w:rsidR="00C02E9E" w:rsidRPr="00E72ABD">
        <w:t xml:space="preserve">(SNR) </w:t>
      </w:r>
      <w:r w:rsidRPr="00E72ABD">
        <w:t xml:space="preserve">and the police as well administrative officials in the </w:t>
      </w:r>
      <w:r w:rsidRPr="00E72ABD">
        <w:rPr>
          <w:i/>
          <w:iCs/>
        </w:rPr>
        <w:t>communes</w:t>
      </w:r>
      <w:r w:rsidRPr="00E72ABD">
        <w:t xml:space="preserve">, </w:t>
      </w:r>
      <w:r w:rsidRPr="00E72ABD">
        <w:rPr>
          <w:i/>
          <w:iCs/>
        </w:rPr>
        <w:t>zones</w:t>
      </w:r>
      <w:r w:rsidRPr="00E72ABD">
        <w:t xml:space="preserve"> and </w:t>
      </w:r>
      <w:r w:rsidRPr="00E72ABD">
        <w:rPr>
          <w:i/>
          <w:iCs/>
        </w:rPr>
        <w:t>collines</w:t>
      </w:r>
      <w:r w:rsidR="00C02E9E" w:rsidRPr="00E72ABD">
        <w:rPr>
          <w:i/>
          <w:iCs/>
        </w:rPr>
        <w:t>,</w:t>
      </w:r>
      <w:r w:rsidRPr="00E72ABD">
        <w:t xml:space="preserve"> have been identified as the main perpetrators of the violations documented by the Commission during the </w:t>
      </w:r>
      <w:r w:rsidR="00C02E9E" w:rsidRPr="00E72ABD">
        <w:t xml:space="preserve">current </w:t>
      </w:r>
      <w:r w:rsidRPr="00E72ABD">
        <w:t xml:space="preserve">term of its mandate. </w:t>
      </w:r>
    </w:p>
    <w:p w14:paraId="1C8F5C9B" w14:textId="16A53902" w:rsidR="00E95A7B" w:rsidRPr="00E72ABD" w:rsidRDefault="00E95A7B" w:rsidP="00E95A7B">
      <w:pPr>
        <w:spacing w:after="120"/>
        <w:ind w:left="1134" w:right="1134"/>
        <w:jc w:val="both"/>
      </w:pPr>
      <w:r w:rsidRPr="00E72ABD">
        <w:t>65.</w:t>
      </w:r>
      <w:r w:rsidRPr="00E72ABD">
        <w:tab/>
        <w:t xml:space="preserve">The victims and the witnesses often recognized the Imbonerakure who committed the violations since they lived in the same </w:t>
      </w:r>
      <w:r w:rsidRPr="00E72ABD">
        <w:rPr>
          <w:i/>
        </w:rPr>
        <w:t>commune</w:t>
      </w:r>
      <w:r w:rsidRPr="00E72ABD">
        <w:t xml:space="preserve">, </w:t>
      </w:r>
      <w:r w:rsidRPr="00E72ABD">
        <w:rPr>
          <w:i/>
        </w:rPr>
        <w:t>zone</w:t>
      </w:r>
      <w:r w:rsidRPr="00E72ABD">
        <w:t xml:space="preserve"> or </w:t>
      </w:r>
      <w:r w:rsidRPr="00E72ABD">
        <w:rPr>
          <w:i/>
        </w:rPr>
        <w:t>colline</w:t>
      </w:r>
      <w:r w:rsidRPr="00E72ABD">
        <w:t xml:space="preserve">, and they were known </w:t>
      </w:r>
      <w:r w:rsidR="00C02E9E" w:rsidRPr="00E72ABD">
        <w:t xml:space="preserve">as </w:t>
      </w:r>
      <w:r w:rsidRPr="00E72ABD">
        <w:t>members of the CNDD-FDD youth league. In other cases, they identified the Imbonerakure by their distinctive clothing</w:t>
      </w:r>
      <w:r w:rsidR="00C02E9E" w:rsidRPr="00E72ABD">
        <w:t>,</w:t>
      </w:r>
      <w:r w:rsidRPr="00E72ABD">
        <w:t xml:space="preserve"> which notably included parts of police or military uniforms or accessories</w:t>
      </w:r>
      <w:r w:rsidR="00C02E9E" w:rsidRPr="00E72ABD">
        <w:t>,</w:t>
      </w:r>
      <w:r w:rsidRPr="00E72ABD">
        <w:t xml:space="preserve"> and they generally had sticks and clubs. A victim of sexual violence testified: </w:t>
      </w:r>
    </w:p>
    <w:p w14:paraId="42E07835" w14:textId="464C9C81" w:rsidR="00E95A7B" w:rsidRPr="00E72ABD" w:rsidRDefault="00B2289D" w:rsidP="00E95A7B">
      <w:pPr>
        <w:spacing w:after="120"/>
        <w:ind w:left="1701" w:right="1134"/>
        <w:jc w:val="both"/>
      </w:pPr>
      <w:r w:rsidRPr="00B2289D">
        <w:rPr>
          <w:i/>
        </w:rPr>
        <w:t>“</w:t>
      </w:r>
      <w:r w:rsidR="00E95A7B" w:rsidRPr="00E72ABD">
        <w:rPr>
          <w:i/>
        </w:rPr>
        <w:t xml:space="preserve">I knew two of the four […] because they lived close to home. One went by the name of [X] and the other [Y]. The two that I knew were Imbonerakure. They were often with the </w:t>
      </w:r>
      <w:r w:rsidR="00E95A7B" w:rsidRPr="00E72ABD">
        <w:t>chef de zone</w:t>
      </w:r>
      <w:r>
        <w:rPr>
          <w:i/>
        </w:rPr>
        <w:t>”</w:t>
      </w:r>
      <w:r w:rsidR="00C02E9E" w:rsidRPr="00E72ABD">
        <w:t>.</w:t>
      </w:r>
      <w:r w:rsidR="00E95A7B" w:rsidRPr="00E72ABD">
        <w:rPr>
          <w:sz w:val="18"/>
          <w:vertAlign w:val="superscript"/>
          <w:lang w:val="fr-CH"/>
        </w:rPr>
        <w:footnoteReference w:id="5"/>
      </w:r>
    </w:p>
    <w:p w14:paraId="38705CB0" w14:textId="06E55C1F" w:rsidR="00E95A7B" w:rsidRPr="00E72ABD" w:rsidRDefault="00E95A7B" w:rsidP="00E95A7B">
      <w:pPr>
        <w:spacing w:after="120"/>
        <w:ind w:left="1134" w:right="1134"/>
        <w:jc w:val="both"/>
      </w:pPr>
      <w:r w:rsidRPr="00E72ABD">
        <w:t>66.</w:t>
      </w:r>
      <w:r w:rsidRPr="00E72ABD">
        <w:tab/>
        <w:t xml:space="preserve">Human rights violations have continued to be committed in a climate of widespread impunity, enabled by the </w:t>
      </w:r>
      <w:r w:rsidR="00073E7F">
        <w:t>dyfunctions</w:t>
      </w:r>
      <w:r w:rsidRPr="00E72ABD">
        <w:t xml:space="preserve"> of the judicial system</w:t>
      </w:r>
      <w:r w:rsidR="00C02E9E" w:rsidRPr="00E72ABD">
        <w:t>,</w:t>
      </w:r>
      <w:r w:rsidRPr="00E72ABD">
        <w:rPr>
          <w:rStyle w:val="FootnoteReference"/>
        </w:rPr>
        <w:footnoteReference w:id="6"/>
      </w:r>
      <w:r w:rsidRPr="00E72ABD">
        <w:t xml:space="preserve"> as well as the victims’ fear of reprisals or their general reluctance to submit complaints due </w:t>
      </w:r>
      <w:r w:rsidR="00073E7F">
        <w:t>to a lack of confidence in the J</w:t>
      </w:r>
      <w:r w:rsidRPr="00E72ABD">
        <w:t>udicia</w:t>
      </w:r>
      <w:r w:rsidR="00073E7F">
        <w:t>ry.</w:t>
      </w:r>
    </w:p>
    <w:p w14:paraId="49A09C69" w14:textId="77777777" w:rsidR="00E95A7B" w:rsidRPr="00E72ABD" w:rsidRDefault="00E95A7B" w:rsidP="00E95A7B">
      <w:pPr>
        <w:spacing w:after="120"/>
        <w:ind w:left="1134" w:right="1134"/>
        <w:jc w:val="both"/>
      </w:pPr>
      <w:r w:rsidRPr="00E72ABD">
        <w:t>67.</w:t>
      </w:r>
      <w:r w:rsidRPr="00E72ABD">
        <w:tab/>
        <w:t>This situation as well as the fact that these violations were mainly committed by the Imbonerakure in rural areas, makes it more complicated to corroborate the numerous allegations of violations received.</w:t>
      </w:r>
    </w:p>
    <w:p w14:paraId="319D4522" w14:textId="2A20ADDD" w:rsidR="00E95A7B" w:rsidRPr="00E72ABD" w:rsidRDefault="00E95A7B" w:rsidP="00E95A7B">
      <w:pPr>
        <w:spacing w:after="120"/>
        <w:ind w:left="1134" w:right="1134"/>
        <w:jc w:val="both"/>
      </w:pPr>
      <w:r w:rsidRPr="00E72ABD">
        <w:t>68.</w:t>
      </w:r>
      <w:r w:rsidRPr="00E72ABD">
        <w:tab/>
        <w:t xml:space="preserve">The violations of </w:t>
      </w:r>
      <w:r w:rsidR="00C02E9E" w:rsidRPr="00E72ABD">
        <w:t xml:space="preserve">civil </w:t>
      </w:r>
      <w:r w:rsidRPr="00E72ABD">
        <w:t>liberties, which were numerous and regular at the beginning of the crisis and have persisted since then, have been on the rise since 2019, and they contribute to the accelerati</w:t>
      </w:r>
      <w:r w:rsidR="00073E7F">
        <w:t>ed</w:t>
      </w:r>
      <w:r w:rsidRPr="00E72ABD">
        <w:t xml:space="preserve"> shrinking of democratic space</w:t>
      </w:r>
      <w:r w:rsidR="00C02E9E" w:rsidRPr="00E72ABD">
        <w:t>,</w:t>
      </w:r>
      <w:r w:rsidRPr="00E72ABD">
        <w:t xml:space="preserve"> which is very concerning on the eve of the </w:t>
      </w:r>
      <w:r w:rsidRPr="00E72ABD">
        <w:lastRenderedPageBreak/>
        <w:t>2020 elections. In fact, the violations of the rights pertaining to the freedom of expression, opinion, information, association and assembly, as well as the rights to the freedom of movement and religion</w:t>
      </w:r>
      <w:r w:rsidR="00C02E9E" w:rsidRPr="00E72ABD">
        <w:t>,</w:t>
      </w:r>
      <w:r w:rsidRPr="00E72ABD">
        <w:t xml:space="preserve"> have been numerous and some are directly linked to the laws governing different areas that were recently adopted. </w:t>
      </w:r>
    </w:p>
    <w:p w14:paraId="7971ECC9" w14:textId="585700CA" w:rsidR="00E95A7B" w:rsidRPr="00E72ABD" w:rsidRDefault="00E95A7B" w:rsidP="00E95A7B">
      <w:pPr>
        <w:spacing w:after="120"/>
        <w:ind w:left="1134" w:right="1134"/>
        <w:jc w:val="both"/>
      </w:pPr>
      <w:r w:rsidRPr="00E72ABD">
        <w:t>69.</w:t>
      </w:r>
      <w:r w:rsidRPr="00E72ABD">
        <w:tab/>
        <w:t xml:space="preserve">The violations of social and economic rights affect the entire </w:t>
      </w:r>
      <w:r w:rsidR="002E6630">
        <w:t>Burundian</w:t>
      </w:r>
      <w:r w:rsidRPr="00E72ABD">
        <w:t xml:space="preserve"> population, specifically in its right to a</w:t>
      </w:r>
      <w:r w:rsidR="00073E7F">
        <w:t>n</w:t>
      </w:r>
      <w:r w:rsidRPr="00E72ABD">
        <w:t xml:space="preserve"> </w:t>
      </w:r>
      <w:r w:rsidR="00073E7F">
        <w:t>adequtate</w:t>
      </w:r>
      <w:r w:rsidRPr="00E72ABD">
        <w:t xml:space="preserve"> standard of </w:t>
      </w:r>
      <w:r w:rsidR="00073E7F">
        <w:t>living</w:t>
      </w:r>
      <w:r w:rsidRPr="00E72ABD">
        <w:t xml:space="preserve">. However, the Commission noted that </w:t>
      </w:r>
      <w:r w:rsidR="002E6630">
        <w:t>Burundian</w:t>
      </w:r>
      <w:r w:rsidRPr="00E72ABD">
        <w:t xml:space="preserve"> authorities and the ruling party did not hesitate to use the enjoyment of some social and economic rights as a tool for political gains, particularly the right to work, health and education by subjecting it to a prerequisite such as membership to CNDD-FDD and/or Imbonerakure, or the payment of various contributions.</w:t>
      </w:r>
    </w:p>
    <w:p w14:paraId="5650A214" w14:textId="49C813A5" w:rsidR="00E95A7B" w:rsidRPr="00E72ABD" w:rsidRDefault="006B3004" w:rsidP="00E95A7B">
      <w:pPr>
        <w:keepNext/>
        <w:keepLines/>
        <w:tabs>
          <w:tab w:val="right" w:pos="851"/>
        </w:tabs>
        <w:spacing w:before="360" w:after="240" w:line="270" w:lineRule="exact"/>
        <w:ind w:left="1134" w:right="1134" w:hanging="1134"/>
        <w:rPr>
          <w:b/>
          <w:sz w:val="24"/>
        </w:rPr>
      </w:pPr>
      <w:r w:rsidRPr="00E72ABD">
        <w:rPr>
          <w:b/>
          <w:sz w:val="24"/>
        </w:rPr>
        <w:tab/>
      </w:r>
      <w:r w:rsidR="00E95A7B" w:rsidRPr="00E72ABD">
        <w:rPr>
          <w:b/>
          <w:sz w:val="24"/>
        </w:rPr>
        <w:t>B.</w:t>
      </w:r>
      <w:r w:rsidRPr="00E72ABD">
        <w:rPr>
          <w:b/>
          <w:sz w:val="24"/>
        </w:rPr>
        <w:tab/>
      </w:r>
      <w:r w:rsidR="00073E7F">
        <w:rPr>
          <w:b/>
          <w:sz w:val="24"/>
        </w:rPr>
        <w:tab/>
        <w:t>Responsibilities</w:t>
      </w:r>
    </w:p>
    <w:p w14:paraId="6E66BFFD" w14:textId="2F3CA0DE" w:rsidR="00E95A7B" w:rsidRPr="00E72ABD" w:rsidRDefault="00E95A7B" w:rsidP="00E95A7B">
      <w:pPr>
        <w:keepNext/>
        <w:keepLines/>
        <w:tabs>
          <w:tab w:val="right" w:pos="851"/>
        </w:tabs>
        <w:spacing w:before="240" w:after="120" w:line="240" w:lineRule="exact"/>
        <w:ind w:left="1134" w:right="1134" w:hanging="1134"/>
        <w:rPr>
          <w:b/>
        </w:rPr>
      </w:pPr>
      <w:r w:rsidRPr="00E72ABD">
        <w:rPr>
          <w:b/>
        </w:rPr>
        <w:tab/>
        <w:t>1.</w:t>
      </w:r>
      <w:r w:rsidRPr="00E72ABD">
        <w:rPr>
          <w:b/>
        </w:rPr>
        <w:tab/>
        <w:t xml:space="preserve">Responsibility of the </w:t>
      </w:r>
      <w:r w:rsidR="002E6630">
        <w:rPr>
          <w:b/>
        </w:rPr>
        <w:t>Burundian</w:t>
      </w:r>
      <w:r w:rsidRPr="00E72ABD">
        <w:rPr>
          <w:b/>
        </w:rPr>
        <w:t xml:space="preserve"> State</w:t>
      </w:r>
    </w:p>
    <w:p w14:paraId="76E04E3C" w14:textId="1D1D6814" w:rsidR="00E95A7B" w:rsidRPr="00E72ABD" w:rsidRDefault="00E95A7B" w:rsidP="00E95A7B">
      <w:pPr>
        <w:spacing w:after="120"/>
        <w:ind w:left="1134" w:right="1134"/>
        <w:jc w:val="both"/>
      </w:pPr>
      <w:r w:rsidRPr="00E72ABD">
        <w:t>70.</w:t>
      </w:r>
      <w:r w:rsidRPr="00E72ABD">
        <w:tab/>
        <w:t xml:space="preserve">As in the </w:t>
      </w:r>
      <w:r w:rsidR="005379F4" w:rsidRPr="00E72ABD">
        <w:t>past</w:t>
      </w:r>
      <w:r w:rsidR="00B2289D">
        <w:t>,</w:t>
      </w:r>
      <w:r w:rsidRPr="00E72ABD">
        <w:rPr>
          <w:sz w:val="18"/>
          <w:vertAlign w:val="superscript"/>
        </w:rPr>
        <w:footnoteReference w:id="7"/>
      </w:r>
      <w:r w:rsidRPr="00E72ABD">
        <w:t xml:space="preserve"> the Commission is in a position to conclude that under international law, the </w:t>
      </w:r>
      <w:r w:rsidR="002E6630">
        <w:t>Burundian</w:t>
      </w:r>
      <w:r w:rsidRPr="00E72ABD">
        <w:t xml:space="preserve"> State </w:t>
      </w:r>
      <w:r w:rsidR="00A854AA" w:rsidRPr="00E72ABD">
        <w:t xml:space="preserve">can </w:t>
      </w:r>
      <w:r w:rsidRPr="00E72ABD">
        <w:t xml:space="preserve">be held accountable for </w:t>
      </w:r>
      <w:r w:rsidR="001B7097">
        <w:t>the acts</w:t>
      </w:r>
      <w:r w:rsidRPr="00E72ABD">
        <w:t xml:space="preserve"> and </w:t>
      </w:r>
      <w:r w:rsidR="001B7097">
        <w:t>sortcomings</w:t>
      </w:r>
      <w:r w:rsidRPr="00E72ABD">
        <w:t xml:space="preserve"> identified in this report, which </w:t>
      </w:r>
      <w:r w:rsidR="001B7097">
        <w:t xml:space="preserve">therefore </w:t>
      </w:r>
      <w:r w:rsidRPr="00E72ABD">
        <w:t>constitute human rights violations.</w:t>
      </w:r>
    </w:p>
    <w:p w14:paraId="1626416B" w14:textId="21945B90" w:rsidR="00E95A7B" w:rsidRPr="00E72ABD" w:rsidRDefault="00E95A7B" w:rsidP="00E95A7B">
      <w:pPr>
        <w:spacing w:after="120"/>
        <w:ind w:left="1134" w:right="1134"/>
        <w:jc w:val="both"/>
      </w:pPr>
      <w:r w:rsidRPr="00E72ABD">
        <w:t>71.</w:t>
      </w:r>
      <w:r w:rsidRPr="00E72ABD">
        <w:tab/>
      </w:r>
      <w:r w:rsidR="001B7097" w:rsidRPr="00E72ABD">
        <w:t xml:space="preserve">State </w:t>
      </w:r>
      <w:r w:rsidR="001B7097">
        <w:t>agents</w:t>
      </w:r>
      <w:r w:rsidRPr="00E72ABD">
        <w:t>, particularly from the National Intelligence Service and the police</w:t>
      </w:r>
      <w:r w:rsidR="00A854AA" w:rsidRPr="00E72ABD">
        <w:t>,</w:t>
      </w:r>
      <w:r w:rsidRPr="00E72ABD">
        <w:rPr>
          <w:sz w:val="18"/>
          <w:vertAlign w:val="superscript"/>
        </w:rPr>
        <w:footnoteReference w:id="8"/>
      </w:r>
      <w:r w:rsidRPr="00E72ABD">
        <w:t xml:space="preserve"> but </w:t>
      </w:r>
      <w:r w:rsidR="00A854AA" w:rsidRPr="00E72ABD">
        <w:t xml:space="preserve">also </w:t>
      </w:r>
      <w:r w:rsidRPr="00E72ABD">
        <w:t xml:space="preserve">administrative </w:t>
      </w:r>
      <w:r w:rsidR="001B7097">
        <w:t>officials</w:t>
      </w:r>
      <w:r w:rsidRPr="00E72ABD">
        <w:t xml:space="preserve"> that represent the State in the provinces, </w:t>
      </w:r>
      <w:r w:rsidRPr="00E72ABD">
        <w:rPr>
          <w:i/>
          <w:iCs/>
        </w:rPr>
        <w:t>communes</w:t>
      </w:r>
      <w:r w:rsidRPr="00E72ABD">
        <w:t xml:space="preserve">, </w:t>
      </w:r>
      <w:r w:rsidRPr="00E72ABD">
        <w:rPr>
          <w:i/>
          <w:iCs/>
        </w:rPr>
        <w:t>zones</w:t>
      </w:r>
      <w:r w:rsidRPr="00E72ABD">
        <w:t xml:space="preserve"> and </w:t>
      </w:r>
      <w:r w:rsidRPr="00E72ABD">
        <w:rPr>
          <w:i/>
          <w:iCs/>
        </w:rPr>
        <w:t>collines</w:t>
      </w:r>
      <w:r w:rsidRPr="00E72ABD">
        <w:t>, and to a lesser extent the defence forces, were the perpetrators of numerous violations documented by the Commission. Their actions are directly attributable to the State</w:t>
      </w:r>
      <w:r w:rsidR="001B7097">
        <w:t xml:space="preserve">of </w:t>
      </w:r>
      <w:proofErr w:type="gramStart"/>
      <w:r w:rsidR="001B7097">
        <w:t xml:space="preserve">Burundi </w:t>
      </w:r>
      <w:r w:rsidRPr="00E72ABD">
        <w:t>,</w:t>
      </w:r>
      <w:proofErr w:type="gramEnd"/>
      <w:r w:rsidRPr="00E72ABD">
        <w:t xml:space="preserve"> </w:t>
      </w:r>
      <w:r w:rsidR="001B7097">
        <w:t>pursuant to</w:t>
      </w:r>
      <w:r w:rsidRPr="00E72ABD">
        <w:t xml:space="preserve"> its obligation to respect human rights and </w:t>
      </w:r>
      <w:r w:rsidR="001B7097">
        <w:t xml:space="preserve">therefore to </w:t>
      </w:r>
      <w:r w:rsidRPr="00E72ABD">
        <w:t xml:space="preserve">ensure that its agents refrain from </w:t>
      </w:r>
      <w:r w:rsidR="001B7097">
        <w:t>breaching the rights of individuals under the State jurisdiction.</w:t>
      </w:r>
      <w:r w:rsidRPr="00E72ABD">
        <w:t xml:space="preserve"> </w:t>
      </w:r>
    </w:p>
    <w:p w14:paraId="54A875D2" w14:textId="1F51611F" w:rsidR="00E95A7B" w:rsidRPr="00E72ABD" w:rsidRDefault="00E95A7B" w:rsidP="00E95A7B">
      <w:pPr>
        <w:spacing w:after="120"/>
        <w:ind w:left="1134" w:right="1134"/>
        <w:jc w:val="both"/>
      </w:pPr>
      <w:r w:rsidRPr="00E72ABD">
        <w:t>72.</w:t>
      </w:r>
      <w:r w:rsidRPr="00E72ABD">
        <w:tab/>
        <w:t xml:space="preserve">Imbonerakure are the main perpetrators of the violations documented in this report. They often act alone or sometimes in the presence of representatives of </w:t>
      </w:r>
      <w:r w:rsidR="001B7097">
        <w:t>law enforcement officials. Th</w:t>
      </w:r>
      <w:r w:rsidRPr="00E72ABD">
        <w:t xml:space="preserve">ey enjoy </w:t>
      </w:r>
      <w:r w:rsidR="001B7097">
        <w:t xml:space="preserve">a considerable freedom of action </w:t>
      </w:r>
      <w:r w:rsidR="009C4CD2">
        <w:t xml:space="preserve">that is </w:t>
      </w:r>
      <w:r w:rsidR="001B7097">
        <w:t>granted to</w:t>
      </w:r>
      <w:r w:rsidRPr="00E72ABD">
        <w:t xml:space="preserve"> them by the </w:t>
      </w:r>
      <w:r w:rsidR="002E6630">
        <w:t>Burundian</w:t>
      </w:r>
      <w:r w:rsidRPr="00E72ABD">
        <w:t xml:space="preserve"> authorities</w:t>
      </w:r>
      <w:r w:rsidR="001B7097">
        <w:t>,</w:t>
      </w:r>
      <w:r w:rsidR="00BE3FFB" w:rsidRPr="00E72ABD">
        <w:t xml:space="preserve"> </w:t>
      </w:r>
      <w:r w:rsidR="009C4CD2">
        <w:t>since these authorities</w:t>
      </w:r>
      <w:r w:rsidRPr="00E72ABD">
        <w:t xml:space="preserve"> have the means to control effectively </w:t>
      </w:r>
      <w:r w:rsidR="009C4CD2">
        <w:t xml:space="preserve">the Imbonerakure </w:t>
      </w:r>
      <w:r w:rsidRPr="00E72ABD">
        <w:t xml:space="preserve">should they choose to do so. The Imbonerakure also enjoy near total impunity. Imbonerakure are still regularly – indeed, almost routinely – used to supplement or replace the security forces, particularly in rural areas, at the request or with the consent of members, including senior officials, of the National Intelligence Service, the police, the Office of the President and local authorities. Some have military material and equipment </w:t>
      </w:r>
      <w:r w:rsidR="00A854AA" w:rsidRPr="00E72ABD">
        <w:t>reserved in principle</w:t>
      </w:r>
      <w:r w:rsidRPr="00E72ABD">
        <w:t xml:space="preserve"> for the defence and security forces, such as </w:t>
      </w:r>
      <w:r w:rsidR="00A854AA" w:rsidRPr="00E72ABD">
        <w:t xml:space="preserve">items of </w:t>
      </w:r>
      <w:r w:rsidRPr="00E72ABD">
        <w:t>military uniform</w:t>
      </w:r>
      <w:r w:rsidR="00A854AA" w:rsidRPr="00E72ABD">
        <w:t>,</w:t>
      </w:r>
      <w:r w:rsidRPr="00E72ABD">
        <w:rPr>
          <w:sz w:val="18"/>
          <w:vertAlign w:val="superscript"/>
        </w:rPr>
        <w:footnoteReference w:id="9"/>
      </w:r>
      <w:r w:rsidRPr="00E72ABD">
        <w:t xml:space="preserve"> and accessories such as </w:t>
      </w:r>
      <w:r w:rsidR="005379F4" w:rsidRPr="00E72ABD">
        <w:t>military headgear</w:t>
      </w:r>
      <w:r w:rsidRPr="00E72ABD">
        <w:t xml:space="preserve"> and boots</w:t>
      </w:r>
      <w:r w:rsidR="00A854AA" w:rsidRPr="00E72ABD">
        <w:t>,</w:t>
      </w:r>
      <w:r w:rsidR="00A854AA" w:rsidRPr="00E72ABD">
        <w:rPr>
          <w:sz w:val="18"/>
          <w:vertAlign w:val="superscript"/>
        </w:rPr>
        <w:footnoteReference w:id="10"/>
      </w:r>
      <w:r w:rsidR="00A854AA" w:rsidRPr="00E72ABD">
        <w:t xml:space="preserve"> </w:t>
      </w:r>
      <w:r w:rsidRPr="00E72ABD">
        <w:t xml:space="preserve">which </w:t>
      </w:r>
      <w:r w:rsidR="00A854AA" w:rsidRPr="00E72ABD">
        <w:t>attest to</w:t>
      </w:r>
      <w:r w:rsidRPr="00E72ABD">
        <w:t xml:space="preserve"> their central role within the formal and informal security structures of the </w:t>
      </w:r>
      <w:r w:rsidR="002E6630">
        <w:t>Burundian</w:t>
      </w:r>
      <w:r w:rsidRPr="00E72ABD">
        <w:t xml:space="preserve"> State. When the conduct of the Imbonerakure is acknowledged and adopted by agents of the State,</w:t>
      </w:r>
      <w:r w:rsidRPr="00E72ABD">
        <w:rPr>
          <w:sz w:val="18"/>
          <w:vertAlign w:val="superscript"/>
        </w:rPr>
        <w:footnoteReference w:id="11"/>
      </w:r>
      <w:r w:rsidRPr="00E72ABD">
        <w:t xml:space="preserve"> when they act on the instructions of such agents</w:t>
      </w:r>
      <w:r w:rsidRPr="00E72ABD">
        <w:rPr>
          <w:sz w:val="18"/>
          <w:vertAlign w:val="superscript"/>
        </w:rPr>
        <w:footnoteReference w:id="12"/>
      </w:r>
      <w:r w:rsidRPr="00E72ABD">
        <w:t xml:space="preserve"> or when they act in “complete dependence” on or under the </w:t>
      </w:r>
      <w:r w:rsidRPr="00E72ABD">
        <w:lastRenderedPageBreak/>
        <w:t>“effective control” of such agents,</w:t>
      </w:r>
      <w:r w:rsidR="00A854AA" w:rsidRPr="00E72ABD">
        <w:rPr>
          <w:sz w:val="18"/>
          <w:vertAlign w:val="superscript"/>
        </w:rPr>
        <w:footnoteReference w:id="13"/>
      </w:r>
      <w:r w:rsidRPr="00E72ABD">
        <w:t xml:space="preserve"> the </w:t>
      </w:r>
      <w:r w:rsidR="002E6630">
        <w:t>Burundian</w:t>
      </w:r>
      <w:r w:rsidRPr="00E72ABD">
        <w:t xml:space="preserve"> State is directly responsible for their actions, </w:t>
      </w:r>
      <w:r w:rsidR="00A854AA" w:rsidRPr="00E72ABD">
        <w:t xml:space="preserve">still </w:t>
      </w:r>
      <w:r w:rsidRPr="00E72ABD">
        <w:t xml:space="preserve">in virtue of its obligation to respect human rights. </w:t>
      </w:r>
    </w:p>
    <w:p w14:paraId="5DBCCBDC" w14:textId="1EEC0A80" w:rsidR="00E95A7B" w:rsidRPr="000450BF" w:rsidRDefault="00E95A7B" w:rsidP="00E95A7B">
      <w:pPr>
        <w:spacing w:after="120"/>
        <w:ind w:left="1134" w:right="1134"/>
        <w:jc w:val="both"/>
      </w:pPr>
      <w:r w:rsidRPr="000450BF">
        <w:t>73.</w:t>
      </w:r>
      <w:r w:rsidRPr="000450BF">
        <w:tab/>
        <w:t xml:space="preserve">In the rare cases in which Imbonerakure reportedly acted outside these scenarios, the general impunity they enjoy following their acts also means that the responsibility of the </w:t>
      </w:r>
      <w:r w:rsidR="002E6630" w:rsidRPr="000450BF">
        <w:t>Burundian</w:t>
      </w:r>
      <w:r w:rsidRPr="000450BF">
        <w:t xml:space="preserve"> State is engaged, in conformity with its obligation to protect human rights. Indeed, the State must, when it is aware or should have been aware of violations or abuses committed by third parties, undertake effective investigations and prosecutions, which has not </w:t>
      </w:r>
      <w:r w:rsidR="00A854AA" w:rsidRPr="000450BF">
        <w:t xml:space="preserve">generally </w:t>
      </w:r>
      <w:r w:rsidRPr="000450BF">
        <w:t>been the case.</w:t>
      </w:r>
    </w:p>
    <w:p w14:paraId="2EE59735" w14:textId="77777777" w:rsidR="00E95A7B" w:rsidRPr="000450BF" w:rsidRDefault="00E95A7B" w:rsidP="00E95A7B">
      <w:pPr>
        <w:keepNext/>
        <w:keepLines/>
        <w:tabs>
          <w:tab w:val="right" w:pos="851"/>
        </w:tabs>
        <w:spacing w:before="240" w:after="120" w:line="240" w:lineRule="exact"/>
        <w:ind w:left="1134" w:right="1134" w:hanging="1134"/>
        <w:rPr>
          <w:b/>
        </w:rPr>
      </w:pPr>
      <w:r w:rsidRPr="000450BF">
        <w:rPr>
          <w:b/>
        </w:rPr>
        <w:tab/>
        <w:t>2.</w:t>
      </w:r>
      <w:r w:rsidRPr="000450BF">
        <w:rPr>
          <w:b/>
        </w:rPr>
        <w:tab/>
        <w:t>Responsibility of armed groups and opposition political parties</w:t>
      </w:r>
    </w:p>
    <w:p w14:paraId="38E68F64" w14:textId="61C3A266" w:rsidR="00E95A7B" w:rsidRPr="000450BF" w:rsidRDefault="00E95A7B" w:rsidP="00E95A7B">
      <w:pPr>
        <w:spacing w:after="120"/>
        <w:ind w:left="1134" w:right="1134"/>
        <w:jc w:val="both"/>
      </w:pPr>
      <w:r w:rsidRPr="000450BF">
        <w:t>74.</w:t>
      </w:r>
      <w:r w:rsidRPr="000450BF">
        <w:tab/>
        <w:t xml:space="preserve">The Commission reiterated its requests to the </w:t>
      </w:r>
      <w:r w:rsidR="002E6630" w:rsidRPr="000450BF">
        <w:t>Burundian</w:t>
      </w:r>
      <w:r w:rsidRPr="000450BF">
        <w:t xml:space="preserve"> </w:t>
      </w:r>
      <w:r w:rsidR="007F5B89">
        <w:t>Government</w:t>
      </w:r>
      <w:r w:rsidRPr="000450BF">
        <w:t xml:space="preserve"> for relevant information on incidents in which the involvement or the responsibility of armed opposition groups were suspected. The </w:t>
      </w:r>
      <w:r w:rsidR="007F5B89">
        <w:t>Government</w:t>
      </w:r>
      <w:r w:rsidR="00A854AA" w:rsidRPr="000450BF">
        <w:t xml:space="preserve"> </w:t>
      </w:r>
      <w:r w:rsidRPr="000450BF">
        <w:t xml:space="preserve">has persisted in its refusal to cooperate with the Commission. Consequently, and due to lack of access to victims and the repeated refusal of the </w:t>
      </w:r>
      <w:r w:rsidR="007F5B89">
        <w:t>Government</w:t>
      </w:r>
      <w:r w:rsidRPr="000450BF">
        <w:t xml:space="preserve"> to provide information, the Commission was not in a position to corroborate allegations received on the involvement of armed groups in human rights </w:t>
      </w:r>
      <w:r w:rsidR="00480C37">
        <w:t>abuses</w:t>
      </w:r>
      <w:r w:rsidRPr="000450BF">
        <w:t xml:space="preserve">. The lack of access to the victims of these </w:t>
      </w:r>
      <w:r w:rsidR="00480C37">
        <w:t>abuses</w:t>
      </w:r>
      <w:r w:rsidRPr="000450BF">
        <w:t xml:space="preserve"> is not due to the impossibility of the Commission to access the </w:t>
      </w:r>
      <w:r w:rsidR="002E6630" w:rsidRPr="000450BF">
        <w:t>Burundian</w:t>
      </w:r>
      <w:r w:rsidRPr="000450BF">
        <w:t xml:space="preserve"> territory, but rather to the fact that the victims are mostly people who are close to the authorities or hold functions within the </w:t>
      </w:r>
      <w:r w:rsidR="00A854AA" w:rsidRPr="000450BF">
        <w:t xml:space="preserve">State </w:t>
      </w:r>
      <w:r w:rsidRPr="000450BF">
        <w:t xml:space="preserve">apparatus or within CNDD-FDD. Given the categorical refusal of the </w:t>
      </w:r>
      <w:r w:rsidR="007F5B89">
        <w:t>Government</w:t>
      </w:r>
      <w:r w:rsidR="00A854AA" w:rsidRPr="000450BF">
        <w:t xml:space="preserve"> </w:t>
      </w:r>
      <w:r w:rsidRPr="000450BF">
        <w:t xml:space="preserve">to cooperate with the Commission, these victims do not seek to contact or to share information with the latter. </w:t>
      </w:r>
    </w:p>
    <w:p w14:paraId="2381F32F" w14:textId="6A9FB310" w:rsidR="008E4E71" w:rsidRDefault="008E4E71" w:rsidP="008E4E71">
      <w:pPr>
        <w:pStyle w:val="H1G"/>
      </w:pPr>
      <w:r w:rsidRPr="000450BF">
        <w:tab/>
        <w:t>C.</w:t>
      </w:r>
      <w:r w:rsidRPr="000450BF">
        <w:tab/>
        <w:t>Violations of civil and political rights</w:t>
      </w:r>
    </w:p>
    <w:p w14:paraId="0BA568F9" w14:textId="36CBBF1C" w:rsidR="009C4CD2" w:rsidRPr="009C4CD2" w:rsidRDefault="009C4CD2" w:rsidP="009C4CD2">
      <w:pPr>
        <w:spacing w:after="120"/>
        <w:ind w:left="1134" w:right="1134"/>
        <w:jc w:val="both"/>
      </w:pPr>
      <w:r w:rsidRPr="000450BF">
        <w:t>[…]</w:t>
      </w:r>
    </w:p>
    <w:p w14:paraId="4B5B05B3" w14:textId="77777777" w:rsidR="008E4E71" w:rsidRPr="000450BF" w:rsidRDefault="008E4E71" w:rsidP="008E4E71">
      <w:pPr>
        <w:pStyle w:val="H23G"/>
      </w:pPr>
      <w:r w:rsidRPr="000450BF">
        <w:tab/>
        <w:t>5.</w:t>
      </w:r>
      <w:r w:rsidRPr="000450BF">
        <w:tab/>
        <w:t>Civil liberties</w:t>
      </w:r>
    </w:p>
    <w:p w14:paraId="7DF683A2" w14:textId="77777777" w:rsidR="008E4E71" w:rsidRPr="000450BF" w:rsidRDefault="008E4E71" w:rsidP="008E4E71">
      <w:pPr>
        <w:pStyle w:val="H4G"/>
      </w:pPr>
      <w:r w:rsidRPr="000450BF">
        <w:tab/>
        <w:t>a)</w:t>
      </w:r>
      <w:r w:rsidRPr="000450BF">
        <w:tab/>
        <w:t>Freedom of expression and information</w:t>
      </w:r>
    </w:p>
    <w:p w14:paraId="7524D55C" w14:textId="262B0B49" w:rsidR="008E4E71" w:rsidRPr="000450BF" w:rsidRDefault="008E4E71" w:rsidP="008E4E71">
      <w:pPr>
        <w:pStyle w:val="SingleTxtG"/>
      </w:pPr>
      <w:r w:rsidRPr="000450BF">
        <w:t>213.</w:t>
      </w:r>
      <w:r w:rsidRPr="000450BF">
        <w:tab/>
        <w:t>As per the past</w:t>
      </w:r>
      <w:r w:rsidR="00B2289D">
        <w:t>,</w:t>
      </w:r>
      <w:r w:rsidRPr="000450BF">
        <w:rPr>
          <w:rStyle w:val="FootnoteReference"/>
        </w:rPr>
        <w:footnoteReference w:id="14"/>
      </w:r>
      <w:r w:rsidRPr="000450BF">
        <w:t xml:space="preserve"> most of the human rights violations committed since 2018 happened in a general context of indoctrination </w:t>
      </w:r>
      <w:r w:rsidR="00CE2729">
        <w:t xml:space="preserve">and control </w:t>
      </w:r>
      <w:r w:rsidRPr="000450BF">
        <w:t xml:space="preserve">of the population aimed at silencing the opponents and suppressing any dissenting voice in relation to the policies and political line of the </w:t>
      </w:r>
      <w:r w:rsidR="007F5B89">
        <w:t>Government</w:t>
      </w:r>
      <w:r w:rsidRPr="000450BF">
        <w:t xml:space="preserve"> and CNDD-FDD</w:t>
      </w:r>
      <w:r w:rsidR="00B2289D">
        <w:t>.</w:t>
      </w:r>
      <w:r w:rsidRPr="000450BF">
        <w:rPr>
          <w:rStyle w:val="FootnoteReference"/>
        </w:rPr>
        <w:footnoteReference w:id="15"/>
      </w:r>
      <w:r w:rsidRPr="000450BF">
        <w:t xml:space="preserve"> Consequently, </w:t>
      </w:r>
      <w:r w:rsidR="000F07D3" w:rsidRPr="000450BF">
        <w:t xml:space="preserve">almost </w:t>
      </w:r>
      <w:r w:rsidRPr="000450BF">
        <w:t xml:space="preserve">all these violations can be </w:t>
      </w:r>
      <w:r w:rsidR="000F07D3" w:rsidRPr="000450BF">
        <w:t>analysed</w:t>
      </w:r>
      <w:r w:rsidRPr="000450BF">
        <w:t xml:space="preserve"> from the perspective of freedom of expression. However, in order to avoid repetition, this section will focus on the violations of the freedom of expression that targeted the media and journalists, as well as those that took the shape of hate speech and incitement to violence.</w:t>
      </w:r>
    </w:p>
    <w:p w14:paraId="211A1FD6" w14:textId="77777777" w:rsidR="008E4E71" w:rsidRPr="000450BF" w:rsidRDefault="008E4E71" w:rsidP="008E4E71">
      <w:pPr>
        <w:pStyle w:val="H56G"/>
      </w:pPr>
      <w:r w:rsidRPr="000450BF">
        <w:tab/>
      </w:r>
      <w:r w:rsidRPr="000450BF">
        <w:tab/>
        <w:t>(i)</w:t>
      </w:r>
      <w:r w:rsidRPr="000450BF">
        <w:tab/>
        <w:t>Control and censure of independent media</w:t>
      </w:r>
    </w:p>
    <w:p w14:paraId="02442080" w14:textId="6C4DD60C" w:rsidR="008E4E71" w:rsidRPr="000450BF" w:rsidRDefault="008E4E71" w:rsidP="008E4E71">
      <w:pPr>
        <w:pStyle w:val="SingleTxtG"/>
      </w:pPr>
      <w:r w:rsidRPr="000450BF">
        <w:t>214.</w:t>
      </w:r>
      <w:r w:rsidRPr="000450BF">
        <w:tab/>
        <w:t xml:space="preserve">According to the </w:t>
      </w:r>
      <w:r w:rsidR="002E6630" w:rsidRPr="000450BF">
        <w:t>Burundian</w:t>
      </w:r>
      <w:r w:rsidRPr="000450BF">
        <w:t xml:space="preserve"> Senate</w:t>
      </w:r>
      <w:r w:rsidR="00B2289D">
        <w:t>: “</w:t>
      </w:r>
      <w:r w:rsidRPr="000450BF">
        <w:t>Burundi has a good tradition of respecting the freedom of expression and a very active civil society. Therefore, more than 20 public and private local radios, 5 community radios, 10 radio-television stations, 17 local news and communication agencies, 24 public and private per</w:t>
      </w:r>
      <w:r w:rsidR="000F07D3" w:rsidRPr="000450BF">
        <w:t>iodicals, 26 internet sites, 8 w</w:t>
      </w:r>
      <w:r w:rsidRPr="000450BF">
        <w:t xml:space="preserve">eb TV stations, 4 magazines and 12 professional press associations and bodies are operational. In addition to the local private radio stations, 4 foreign radio stations are authorised to broadcast freely in Burundi. In short, the total number of </w:t>
      </w:r>
      <w:proofErr w:type="gramStart"/>
      <w:r w:rsidR="00750C2C" w:rsidRPr="000450BF">
        <w:t>medias</w:t>
      </w:r>
      <w:proofErr w:type="gramEnd"/>
      <w:r w:rsidRPr="000450BF">
        <w:t xml:space="preserve"> increased from 94 in 2015 to 122 in 2018, which translates to a substantial increase </w:t>
      </w:r>
      <w:r w:rsidR="00750C2C" w:rsidRPr="000450BF">
        <w:t>of 28</w:t>
      </w:r>
      <w:r w:rsidR="00B2289D">
        <w:t xml:space="preserve"> media entities in 3 years”.</w:t>
      </w:r>
      <w:r w:rsidRPr="000450BF">
        <w:rPr>
          <w:rStyle w:val="FootnoteReference"/>
        </w:rPr>
        <w:footnoteReference w:id="16"/>
      </w:r>
      <w:r w:rsidRPr="000450BF">
        <w:t xml:space="preserve"> However, these numbers do not reflect </w:t>
      </w:r>
      <w:r w:rsidR="000F07D3" w:rsidRPr="000450BF">
        <w:t>independe</w:t>
      </w:r>
      <w:r w:rsidRPr="000450BF">
        <w:t xml:space="preserve">nce </w:t>
      </w:r>
      <w:r w:rsidR="00CE2729">
        <w:t xml:space="preserve">of the media </w:t>
      </w:r>
      <w:r w:rsidRPr="000450BF">
        <w:t xml:space="preserve">nor their capacity to work freely in </w:t>
      </w:r>
      <w:r w:rsidRPr="000450BF">
        <w:lastRenderedPageBreak/>
        <w:t>searching and disseminating information, sinc</w:t>
      </w:r>
      <w:r w:rsidR="00006FFF" w:rsidRPr="000450BF">
        <w:t xml:space="preserve">e the media </w:t>
      </w:r>
      <w:r w:rsidR="00CE2729">
        <w:t>are</w:t>
      </w:r>
      <w:r w:rsidR="00006FFF" w:rsidRPr="000450BF">
        <w:t xml:space="preserve"> subject to real </w:t>
      </w:r>
      <w:r w:rsidRPr="000450BF">
        <w:t xml:space="preserve">censure which led to the suspension and the closing of several independent radio stations. </w:t>
      </w:r>
    </w:p>
    <w:p w14:paraId="0A9F741E" w14:textId="169065D9" w:rsidR="008E4E71" w:rsidRPr="000450BF" w:rsidRDefault="008E4E71" w:rsidP="008E4E71">
      <w:pPr>
        <w:pStyle w:val="SingleTxtG"/>
      </w:pPr>
      <w:r w:rsidRPr="000450BF">
        <w:t>215.</w:t>
      </w:r>
      <w:r w:rsidRPr="000450BF">
        <w:tab/>
        <w:t xml:space="preserve">Since the beginning of the 2015 crisis, private and independent </w:t>
      </w:r>
      <w:proofErr w:type="gramStart"/>
      <w:r w:rsidRPr="000450BF">
        <w:t>medias</w:t>
      </w:r>
      <w:proofErr w:type="gramEnd"/>
      <w:r w:rsidRPr="000450BF">
        <w:t xml:space="preserve"> have regularly been closed or suspended, and the few that stayed active are subject to excessive controls and restrictions by the authorities. Journalists </w:t>
      </w:r>
      <w:r w:rsidR="00CE2729">
        <w:t>have been</w:t>
      </w:r>
      <w:r w:rsidRPr="000450BF">
        <w:t xml:space="preserve"> subject</w:t>
      </w:r>
      <w:r w:rsidR="00CE2729">
        <w:t>ed</w:t>
      </w:r>
      <w:r w:rsidRPr="000450BF">
        <w:t xml:space="preserve"> to pressure, threats and violence</w:t>
      </w:r>
      <w:r w:rsidR="00CE2729">
        <w:t>,</w:t>
      </w:r>
      <w:r w:rsidRPr="000450BF">
        <w:t xml:space="preserve"> some </w:t>
      </w:r>
      <w:r w:rsidR="00CE2729">
        <w:t>have</w:t>
      </w:r>
      <w:r w:rsidRPr="000450BF">
        <w:t xml:space="preserve"> also </w:t>
      </w:r>
      <w:r w:rsidR="00CE2729">
        <w:t xml:space="preserve">been </w:t>
      </w:r>
      <w:r w:rsidRPr="000450BF">
        <w:t>victims o</w:t>
      </w:r>
      <w:r w:rsidR="00CE2729">
        <w:t>f arbitrary arrest</w:t>
      </w:r>
      <w:r w:rsidRPr="000450BF">
        <w:t xml:space="preserve"> and detentio</w:t>
      </w:r>
      <w:r w:rsidR="00CE2729">
        <w:t>n</w:t>
      </w:r>
      <w:r w:rsidR="004E1E2C" w:rsidRPr="000450BF">
        <w:t xml:space="preserve"> and enforced disappearance</w:t>
      </w:r>
      <w:r w:rsidR="00CE2729">
        <w:t>, and many of them</w:t>
      </w:r>
      <w:r w:rsidRPr="000450BF">
        <w:t xml:space="preserve"> have been forced into exile</w:t>
      </w:r>
      <w:r w:rsidR="00B2289D">
        <w:t>.</w:t>
      </w:r>
      <w:r w:rsidRPr="000450BF">
        <w:rPr>
          <w:rStyle w:val="FootnoteReference"/>
        </w:rPr>
        <w:footnoteReference w:id="17"/>
      </w:r>
      <w:r w:rsidRPr="000450BF">
        <w:t xml:space="preserve"> In </w:t>
      </w:r>
      <w:r w:rsidR="004E1E2C" w:rsidRPr="000450BF">
        <w:t xml:space="preserve">July 2019, in </w:t>
      </w:r>
      <w:r w:rsidRPr="000450BF">
        <w:t>an effort to in</w:t>
      </w:r>
      <w:r w:rsidR="004E1E2C" w:rsidRPr="000450BF">
        <w:t xml:space="preserve">crease the control on media, </w:t>
      </w:r>
      <w:r w:rsidRPr="000450BF">
        <w:t>the Head of State appointed Brigadier General Emm</w:t>
      </w:r>
      <w:r w:rsidR="004E1E2C" w:rsidRPr="000450BF">
        <w:t>anuel Miburo, President of the B</w:t>
      </w:r>
      <w:r w:rsidR="00B2289D">
        <w:t>oard of A</w:t>
      </w:r>
      <w:r w:rsidRPr="000450BF">
        <w:t>dministrat</w:t>
      </w:r>
      <w:r w:rsidR="004E1E2C" w:rsidRPr="000450BF">
        <w:t xml:space="preserve">ion of the </w:t>
      </w:r>
      <w:r w:rsidR="002E6630" w:rsidRPr="000450BF">
        <w:t>Burundian</w:t>
      </w:r>
      <w:r w:rsidR="00B2289D">
        <w:t xml:space="preserve"> National Radio and T</w:t>
      </w:r>
      <w:r w:rsidRPr="000450BF">
        <w:t>elevision (RTNB) ; Eric Nshimirimana, former he</w:t>
      </w:r>
      <w:r w:rsidR="00B2289D">
        <w:t xml:space="preserve">ad of Imbonerakure, as the RTNB </w:t>
      </w:r>
      <w:r w:rsidRPr="000450BF">
        <w:t>Directo</w:t>
      </w:r>
      <w:r w:rsidR="00B2289D">
        <w:t>r-</w:t>
      </w:r>
      <w:r w:rsidR="004E1E2C" w:rsidRPr="000450BF">
        <w:t>General and Secretary of its B</w:t>
      </w:r>
      <w:r w:rsidRPr="000450BF">
        <w:t xml:space="preserve">oard of </w:t>
      </w:r>
      <w:r w:rsidR="00B2289D">
        <w:t>A</w:t>
      </w:r>
      <w:r w:rsidRPr="000450BF">
        <w:t xml:space="preserve">dministration; and OPC1 Alfred Innocent Museremu, who had been appointed as the SNR security advisor on 29 </w:t>
      </w:r>
      <w:r w:rsidR="00750C2C" w:rsidRPr="000450BF">
        <w:t>December</w:t>
      </w:r>
      <w:r w:rsidRPr="000450BF">
        <w:t xml:space="preserve"> 2017, was appointed as a simp</w:t>
      </w:r>
      <w:r w:rsidR="00CE2729">
        <w:t>le member of the RTNB Board of A</w:t>
      </w:r>
      <w:r w:rsidRPr="000450BF">
        <w:t>dministration</w:t>
      </w:r>
      <w:r w:rsidR="00B2289D">
        <w:t>.</w:t>
      </w:r>
      <w:r w:rsidRPr="000450BF">
        <w:rPr>
          <w:rStyle w:val="FootnoteReference"/>
        </w:rPr>
        <w:footnoteReference w:id="18"/>
      </w:r>
    </w:p>
    <w:p w14:paraId="22365D6C" w14:textId="6E8D8C49" w:rsidR="008E4E71" w:rsidRPr="000450BF" w:rsidRDefault="008E4E71" w:rsidP="008E4E71">
      <w:pPr>
        <w:pStyle w:val="SingleTxtG"/>
      </w:pPr>
      <w:r w:rsidRPr="000450BF">
        <w:t>216.</w:t>
      </w:r>
      <w:r w:rsidRPr="000450BF">
        <w:tab/>
        <w:t>The violations of the right to freedom of information, an essential component of the right to freedom of expression</w:t>
      </w:r>
      <w:r w:rsidR="00F65BF9" w:rsidRPr="000450BF">
        <w:t>,</w:t>
      </w:r>
      <w:r w:rsidRPr="000450BF">
        <w:t xml:space="preserve"> </w:t>
      </w:r>
      <w:r w:rsidR="00F65BF9" w:rsidRPr="000450BF">
        <w:t xml:space="preserve">have therefore persisted in </w:t>
      </w:r>
      <w:r w:rsidRPr="000450BF">
        <w:t xml:space="preserve">Burundi. </w:t>
      </w:r>
      <w:r w:rsidR="00F65BF9" w:rsidRPr="000450BF">
        <w:t>Since 2018, Burundi is ranked 159</w:t>
      </w:r>
      <w:r w:rsidR="00F65BF9" w:rsidRPr="000450BF">
        <w:rPr>
          <w:vertAlign w:val="superscript"/>
        </w:rPr>
        <w:t>th</w:t>
      </w:r>
      <w:r w:rsidR="00F65BF9" w:rsidRPr="000450BF">
        <w:t xml:space="preserve"> out of 188 countries in the global press freedom index released </w:t>
      </w:r>
      <w:r w:rsidR="00CE2729" w:rsidRPr="000450BF">
        <w:t xml:space="preserve">every year </w:t>
      </w:r>
      <w:r w:rsidR="00F65BF9" w:rsidRPr="000450BF">
        <w:t>by Reporters without Borders</w:t>
      </w:r>
      <w:r w:rsidR="00B2289D">
        <w:t>.</w:t>
      </w:r>
      <w:r w:rsidRPr="000450BF">
        <w:rPr>
          <w:rStyle w:val="FootnoteReference"/>
        </w:rPr>
        <w:footnoteReference w:id="19"/>
      </w:r>
    </w:p>
    <w:p w14:paraId="1AAABD63" w14:textId="377ED32F" w:rsidR="008E4E71" w:rsidRPr="000450BF" w:rsidRDefault="008E4E71" w:rsidP="008E4E71">
      <w:pPr>
        <w:pStyle w:val="H4G"/>
      </w:pPr>
      <w:r w:rsidRPr="000450BF">
        <w:tab/>
        <w:t>-</w:t>
      </w:r>
      <w:r w:rsidRPr="000450BF">
        <w:tab/>
        <w:t xml:space="preserve">New </w:t>
      </w:r>
      <w:r w:rsidR="00B2289D">
        <w:t>l</w:t>
      </w:r>
      <w:r w:rsidR="00CE2729">
        <w:t xml:space="preserve">aw on the </w:t>
      </w:r>
      <w:r w:rsidR="00B2289D">
        <w:t>P</w:t>
      </w:r>
      <w:r w:rsidRPr="000450BF">
        <w:t xml:space="preserve">ress </w:t>
      </w:r>
    </w:p>
    <w:p w14:paraId="23303C4C" w14:textId="60EF6C29" w:rsidR="008E4E71" w:rsidRPr="000450BF" w:rsidRDefault="008E4E71" w:rsidP="008E4E71">
      <w:pPr>
        <w:pStyle w:val="SingleTxtG"/>
      </w:pPr>
      <w:r w:rsidRPr="000450BF">
        <w:t>217.</w:t>
      </w:r>
      <w:r w:rsidRPr="000450BF">
        <w:tab/>
      </w:r>
      <w:r w:rsidR="009569E9" w:rsidRPr="000450BF">
        <w:t xml:space="preserve">The controls and restrictions imposed on media are </w:t>
      </w:r>
      <w:r w:rsidR="004E1E2C" w:rsidRPr="000450BF">
        <w:t>aggravated</w:t>
      </w:r>
      <w:r w:rsidR="009569E9" w:rsidRPr="000450BF">
        <w:t xml:space="preserve"> with the new</w:t>
      </w:r>
      <w:r w:rsidR="00CE2729">
        <w:t xml:space="preserve"> law on the</w:t>
      </w:r>
      <w:r w:rsidR="009569E9" w:rsidRPr="000450BF">
        <w:t xml:space="preserve"> </w:t>
      </w:r>
      <w:r w:rsidR="00B2289D">
        <w:t>p</w:t>
      </w:r>
      <w:r w:rsidR="002E5D48" w:rsidRPr="000450BF">
        <w:t xml:space="preserve">ress </w:t>
      </w:r>
      <w:r w:rsidRPr="000450BF">
        <w:t>n</w:t>
      </w:r>
      <w:r w:rsidR="0051332E" w:rsidRPr="000450BF">
        <w:t xml:space="preserve">o. </w:t>
      </w:r>
      <w:r w:rsidRPr="000450BF">
        <w:t xml:space="preserve">1/19 </w:t>
      </w:r>
      <w:r w:rsidR="008C51AC" w:rsidRPr="000450BF">
        <w:t>regulating the media, which was promulgated on 14 Sept</w:t>
      </w:r>
      <w:r w:rsidR="002E5D48" w:rsidRPr="000450BF">
        <w:t>ember 2018</w:t>
      </w:r>
      <w:r w:rsidRPr="000450BF">
        <w:rPr>
          <w:rStyle w:val="FootnoteReference"/>
        </w:rPr>
        <w:footnoteReference w:id="20"/>
      </w:r>
      <w:r w:rsidRPr="000450BF">
        <w:t xml:space="preserve">, </w:t>
      </w:r>
      <w:r w:rsidR="002E5D48" w:rsidRPr="000450BF">
        <w:t xml:space="preserve">in order to replace </w:t>
      </w:r>
      <w:r w:rsidR="00B2289D">
        <w:t>l</w:t>
      </w:r>
      <w:r w:rsidR="00CD3958">
        <w:t>aw</w:t>
      </w:r>
      <w:r w:rsidR="002E5D48" w:rsidRPr="000450BF">
        <w:t xml:space="preserve"> </w:t>
      </w:r>
      <w:r w:rsidRPr="000450BF">
        <w:t>n</w:t>
      </w:r>
      <w:r w:rsidR="0051332E" w:rsidRPr="000450BF">
        <w:t xml:space="preserve">o. </w:t>
      </w:r>
      <w:r w:rsidRPr="000450BF">
        <w:t xml:space="preserve">1/15 </w:t>
      </w:r>
      <w:r w:rsidR="00CD3958">
        <w:t>of</w:t>
      </w:r>
      <w:r w:rsidR="004E1E2C" w:rsidRPr="000450BF">
        <w:t xml:space="preserve"> 9 M</w:t>
      </w:r>
      <w:r w:rsidR="0051332E" w:rsidRPr="000450BF">
        <w:t>ay</w:t>
      </w:r>
      <w:r w:rsidRPr="000450BF">
        <w:t xml:space="preserve"> 2015. </w:t>
      </w:r>
      <w:r w:rsidR="0051332E" w:rsidRPr="000450BF">
        <w:t>The new law has provisions on the acquisition of the press card which limits access to the prof</w:t>
      </w:r>
      <w:r w:rsidR="004E1E2C" w:rsidRPr="000450BF">
        <w:t>ession of journalism</w:t>
      </w:r>
      <w:r w:rsidR="0051332E" w:rsidRPr="000450BF">
        <w:t xml:space="preserve">. It imposes strict conditions </w:t>
      </w:r>
      <w:r w:rsidR="00C978A2" w:rsidRPr="000450BF">
        <w:t xml:space="preserve">on the required level of education to obtain a press </w:t>
      </w:r>
      <w:r w:rsidR="00CD3958">
        <w:t>card</w:t>
      </w:r>
      <w:r w:rsidR="00C978A2" w:rsidRPr="000450BF">
        <w:t xml:space="preserve">, namely </w:t>
      </w:r>
      <w:r w:rsidR="00B2289D">
        <w:t>“</w:t>
      </w:r>
      <w:r w:rsidR="00334D7C" w:rsidRPr="000450BF">
        <w:t xml:space="preserve">at least a diploma at the </w:t>
      </w:r>
      <w:r w:rsidR="00750C2C" w:rsidRPr="000450BF">
        <w:t>baccalaureate</w:t>
      </w:r>
      <w:r w:rsidR="00334D7C" w:rsidRPr="000450BF">
        <w:t xml:space="preserve"> level, issued by a school or a training institute in </w:t>
      </w:r>
      <w:r w:rsidR="00750C2C" w:rsidRPr="000450BF">
        <w:t>journalism;</w:t>
      </w:r>
      <w:r w:rsidR="00334D7C" w:rsidRPr="000450BF">
        <w:t xml:space="preserve"> legally recognised with at least six months of practical professional experience in the media industry</w:t>
      </w:r>
      <w:r w:rsidR="00B2289D">
        <w:t>”.</w:t>
      </w:r>
      <w:r w:rsidRPr="000450BF">
        <w:rPr>
          <w:rStyle w:val="FootnoteReference"/>
        </w:rPr>
        <w:footnoteReference w:id="21"/>
      </w:r>
      <w:r w:rsidR="00334D7C" w:rsidRPr="000450BF">
        <w:t xml:space="preserve"> It shall be recalled that there are no specialised school</w:t>
      </w:r>
      <w:r w:rsidR="00260839" w:rsidRPr="000450BF">
        <w:t>s</w:t>
      </w:r>
      <w:r w:rsidR="00334D7C" w:rsidRPr="000450BF">
        <w:t xml:space="preserve"> or training in </w:t>
      </w:r>
      <w:r w:rsidRPr="000450BF">
        <w:t>journalism</w:t>
      </w:r>
      <w:r w:rsidR="00334D7C" w:rsidRPr="000450BF">
        <w:t xml:space="preserve"> in B</w:t>
      </w:r>
      <w:r w:rsidRPr="000450BF">
        <w:t xml:space="preserve">urundi. </w:t>
      </w:r>
      <w:r w:rsidR="007D35D9" w:rsidRPr="000450BF">
        <w:t xml:space="preserve">Holders of a diploma </w:t>
      </w:r>
      <w:r w:rsidR="004E1E2C" w:rsidRPr="000450BF">
        <w:t>at the b</w:t>
      </w:r>
      <w:r w:rsidR="007D35D9" w:rsidRPr="000450BF">
        <w:t>accalaureate level combined with a certified training in a media entity or with three years of professional experience can also be recognised as professional journalists</w:t>
      </w:r>
      <w:r w:rsidR="00B2289D">
        <w:t>.</w:t>
      </w:r>
      <w:r w:rsidR="00190E4B" w:rsidRPr="000450BF">
        <w:rPr>
          <w:rStyle w:val="FootnoteReference"/>
        </w:rPr>
        <w:footnoteReference w:id="22"/>
      </w:r>
      <w:r w:rsidR="007D35D9" w:rsidRPr="000450BF">
        <w:t xml:space="preserve"> In comparison, the 2015 law provided that journalist</w:t>
      </w:r>
      <w:r w:rsidR="004E1E2C" w:rsidRPr="000450BF">
        <w:t>s</w:t>
      </w:r>
      <w:r w:rsidR="007D35D9" w:rsidRPr="000450BF">
        <w:t xml:space="preserve"> must have a diploma equivalent to a baccalaureate </w:t>
      </w:r>
      <w:r w:rsidR="004E1E2C" w:rsidRPr="000450BF">
        <w:t>and</w:t>
      </w:r>
      <w:r w:rsidR="007D35D9" w:rsidRPr="000450BF">
        <w:t xml:space="preserve"> a</w:t>
      </w:r>
      <w:r w:rsidR="00190E4B" w:rsidRPr="000450BF">
        <w:t xml:space="preserve"> two-year professional</w:t>
      </w:r>
      <w:r w:rsidR="007D35D9" w:rsidRPr="000450BF">
        <w:t xml:space="preserve"> training </w:t>
      </w:r>
      <w:r w:rsidR="00190E4B" w:rsidRPr="000450BF">
        <w:t>or experience</w:t>
      </w:r>
      <w:r w:rsidR="00B2289D">
        <w:t>.</w:t>
      </w:r>
      <w:r w:rsidR="00190E4B" w:rsidRPr="000450BF">
        <w:rPr>
          <w:rStyle w:val="FootnoteReference"/>
        </w:rPr>
        <w:footnoteReference w:id="23"/>
      </w:r>
    </w:p>
    <w:p w14:paraId="0C85E9B8" w14:textId="6D665042" w:rsidR="008E4E71" w:rsidRPr="000450BF" w:rsidRDefault="00190E4B" w:rsidP="008E4E71">
      <w:pPr>
        <w:pStyle w:val="SingleTxtG"/>
      </w:pPr>
      <w:r w:rsidRPr="000450BF">
        <w:t>218.</w:t>
      </w:r>
      <w:r w:rsidRPr="000450BF">
        <w:tab/>
        <w:t>With regards to publication and dissemination of information, the 2018 law imposes an outcome to journalist</w:t>
      </w:r>
      <w:r w:rsidR="008E4E71" w:rsidRPr="000450BF">
        <w:t xml:space="preserve">s, </w:t>
      </w:r>
      <w:r w:rsidRPr="000450BF">
        <w:t xml:space="preserve">who must only </w:t>
      </w:r>
      <w:r w:rsidR="00B2289D">
        <w:t>“</w:t>
      </w:r>
      <w:r w:rsidR="008E4E71" w:rsidRPr="000450BF">
        <w:t>publi</w:t>
      </w:r>
      <w:r w:rsidRPr="000450BF">
        <w:t xml:space="preserve">sh balanced information </w:t>
      </w:r>
      <w:r w:rsidR="008E4E71" w:rsidRPr="000450BF">
        <w:t xml:space="preserve">[…] </w:t>
      </w:r>
      <w:r w:rsidRPr="000450BF">
        <w:t>whose source, origin, veracity and accuracy must be established and carefully verified</w:t>
      </w:r>
      <w:r w:rsidR="00B2289D">
        <w:t>”,</w:t>
      </w:r>
      <w:r w:rsidR="008E4E71" w:rsidRPr="000450BF">
        <w:rPr>
          <w:rStyle w:val="FootnoteReference"/>
        </w:rPr>
        <w:footnoteReference w:id="24"/>
      </w:r>
      <w:r w:rsidR="008E4E71" w:rsidRPr="000450BF">
        <w:t xml:space="preserve"> </w:t>
      </w:r>
      <w:r w:rsidRPr="000450BF">
        <w:t xml:space="preserve">with no reference to </w:t>
      </w:r>
      <w:r w:rsidR="006D2B9C" w:rsidRPr="000450BF">
        <w:t xml:space="preserve">the </w:t>
      </w:r>
      <w:r w:rsidRPr="000450BF">
        <w:t xml:space="preserve">ethics or </w:t>
      </w:r>
      <w:r w:rsidR="006D2B9C" w:rsidRPr="000450BF">
        <w:t>professional conduct of journalism</w:t>
      </w:r>
      <w:r w:rsidR="008E4E71" w:rsidRPr="000450BF">
        <w:rPr>
          <w:rStyle w:val="FootnoteReference"/>
        </w:rPr>
        <w:footnoteReference w:id="25"/>
      </w:r>
      <w:r w:rsidR="00B2289D">
        <w:t>.</w:t>
      </w:r>
      <w:r w:rsidR="008E4E71" w:rsidRPr="000450BF">
        <w:t xml:space="preserve"> </w:t>
      </w:r>
      <w:r w:rsidRPr="000450BF">
        <w:t>The o</w:t>
      </w:r>
      <w:r w:rsidR="008E4E71" w:rsidRPr="000450BF">
        <w:t xml:space="preserve">bligation </w:t>
      </w:r>
      <w:r w:rsidR="00B2289D">
        <w:t>to present “</w:t>
      </w:r>
      <w:r w:rsidRPr="000450BF">
        <w:t>balanced</w:t>
      </w:r>
      <w:r w:rsidR="00B2289D">
        <w:t>”</w:t>
      </w:r>
      <w:r w:rsidRPr="000450BF">
        <w:t xml:space="preserve"> </w:t>
      </w:r>
      <w:r w:rsidR="008E4E71" w:rsidRPr="000450BF">
        <w:t xml:space="preserve">information </w:t>
      </w:r>
      <w:r w:rsidRPr="000450BF">
        <w:t xml:space="preserve">is an extremely vague notion </w:t>
      </w:r>
      <w:r w:rsidR="006D2B9C" w:rsidRPr="000450BF">
        <w:t xml:space="preserve">for </w:t>
      </w:r>
      <w:r w:rsidRPr="000450BF">
        <w:t xml:space="preserve">which </w:t>
      </w:r>
      <w:r w:rsidR="006D2B9C" w:rsidRPr="000450BF">
        <w:t>there is no definition nor precise criteria</w:t>
      </w:r>
      <w:r w:rsidR="008E4E71" w:rsidRPr="000450BF">
        <w:t xml:space="preserve">, </w:t>
      </w:r>
      <w:r w:rsidR="006D2B9C" w:rsidRPr="000450BF">
        <w:t xml:space="preserve">and which is not recognised by international standards established by the </w:t>
      </w:r>
      <w:r w:rsidR="008E4E71" w:rsidRPr="000450BF">
        <w:t>profession</w:t>
      </w:r>
      <w:r w:rsidR="00B2289D">
        <w:t>.</w:t>
      </w:r>
      <w:r w:rsidR="008E4E71" w:rsidRPr="000450BF">
        <w:rPr>
          <w:rStyle w:val="FootnoteReference"/>
        </w:rPr>
        <w:footnoteReference w:id="26"/>
      </w:r>
      <w:r w:rsidR="008E4E71" w:rsidRPr="000450BF">
        <w:t xml:space="preserve"> </w:t>
      </w:r>
      <w:r w:rsidR="006D2B9C" w:rsidRPr="000450BF">
        <w:t xml:space="preserve">It is precisely this legal provision that the </w:t>
      </w:r>
      <w:r w:rsidR="002E6630" w:rsidRPr="000450BF">
        <w:t>Burundian</w:t>
      </w:r>
      <w:r w:rsidR="006D2B9C" w:rsidRPr="000450BF">
        <w:t xml:space="preserve"> authorities have regularly used in an abusive manner to sanction the last independent media</w:t>
      </w:r>
      <w:r w:rsidR="00B2289D">
        <w:t>.</w:t>
      </w:r>
      <w:r w:rsidR="008E4E71" w:rsidRPr="000450BF">
        <w:rPr>
          <w:rStyle w:val="FootnoteReference"/>
        </w:rPr>
        <w:footnoteReference w:id="27"/>
      </w:r>
    </w:p>
    <w:p w14:paraId="0863F939" w14:textId="65EAE963" w:rsidR="008E4E71" w:rsidRPr="000450BF" w:rsidRDefault="008E4E71" w:rsidP="008E4E71">
      <w:pPr>
        <w:pStyle w:val="SingleTxtG"/>
      </w:pPr>
      <w:r w:rsidRPr="000450BF">
        <w:t>219.</w:t>
      </w:r>
      <w:r w:rsidRPr="000450BF">
        <w:tab/>
      </w:r>
      <w:r w:rsidR="00CD3958">
        <w:t xml:space="preserve">The new </w:t>
      </w:r>
      <w:r w:rsidR="00B2289D">
        <w:t>l</w:t>
      </w:r>
      <w:r w:rsidR="00CD3958">
        <w:t>aw</w:t>
      </w:r>
      <w:r w:rsidR="00A75819" w:rsidRPr="000450BF">
        <w:t xml:space="preserve"> </w:t>
      </w:r>
      <w:r w:rsidR="00B2289D">
        <w:t xml:space="preserve">on the Press </w:t>
      </w:r>
      <w:r w:rsidR="00A75819" w:rsidRPr="000450BF">
        <w:t>does not mention the</w:t>
      </w:r>
      <w:r w:rsidRPr="000450BF">
        <w:t xml:space="preserve"> </w:t>
      </w:r>
      <w:r w:rsidR="00B2289D">
        <w:t>“</w:t>
      </w:r>
      <w:r w:rsidR="00A75819" w:rsidRPr="000450BF">
        <w:t>right of passage</w:t>
      </w:r>
      <w:r w:rsidR="00B2289D">
        <w:t>”</w:t>
      </w:r>
      <w:r w:rsidRPr="000450BF">
        <w:t xml:space="preserve"> </w:t>
      </w:r>
      <w:r w:rsidR="00A75819" w:rsidRPr="000450BF">
        <w:t xml:space="preserve">which was until now </w:t>
      </w:r>
      <w:r w:rsidR="000B612E" w:rsidRPr="000450BF">
        <w:t>given</w:t>
      </w:r>
      <w:r w:rsidR="00A75819" w:rsidRPr="000450BF">
        <w:t xml:space="preserve"> to press </w:t>
      </w:r>
      <w:r w:rsidR="00CD3958">
        <w:t>card</w:t>
      </w:r>
      <w:r w:rsidR="00A75819" w:rsidRPr="000450BF">
        <w:t xml:space="preserve"> holders </w:t>
      </w:r>
      <w:r w:rsidR="00403F30" w:rsidRPr="000450BF">
        <w:t>in all the</w:t>
      </w:r>
      <w:r w:rsidR="00B2289D">
        <w:t xml:space="preserve"> “</w:t>
      </w:r>
      <w:r w:rsidR="00403F30" w:rsidRPr="000450BF">
        <w:t xml:space="preserve">places they are called to </w:t>
      </w:r>
      <w:r w:rsidR="00750C2C" w:rsidRPr="000450BF">
        <w:t>fulfil</w:t>
      </w:r>
      <w:r w:rsidR="000B612E" w:rsidRPr="000450BF">
        <w:t xml:space="preserve"> their mission to inform;</w:t>
      </w:r>
      <w:r w:rsidR="00403F30" w:rsidRPr="000450BF">
        <w:t xml:space="preserve"> notably access to areas reserved for the press, in stadiums, </w:t>
      </w:r>
      <w:r w:rsidR="00D5217A" w:rsidRPr="000450BF">
        <w:t xml:space="preserve">at </w:t>
      </w:r>
      <w:r w:rsidR="00403F30" w:rsidRPr="000450BF">
        <w:t xml:space="preserve">airports and </w:t>
      </w:r>
      <w:r w:rsidR="00D5217A" w:rsidRPr="000450BF">
        <w:t xml:space="preserve">in </w:t>
      </w:r>
      <w:r w:rsidR="00403F30" w:rsidRPr="000450BF">
        <w:t>c</w:t>
      </w:r>
      <w:r w:rsidR="00D5217A" w:rsidRPr="000450BF">
        <w:t xml:space="preserve">ourtrooms and generally to cover all </w:t>
      </w:r>
      <w:r w:rsidR="000B612E" w:rsidRPr="000450BF">
        <w:t>official or public activities</w:t>
      </w:r>
      <w:r w:rsidR="00B2289D">
        <w:t>”.</w:t>
      </w:r>
      <w:r w:rsidRPr="000450BF">
        <w:rPr>
          <w:rStyle w:val="FootnoteReference"/>
        </w:rPr>
        <w:footnoteReference w:id="28"/>
      </w:r>
    </w:p>
    <w:p w14:paraId="7E5CB278" w14:textId="2AB1AF0A" w:rsidR="008E4E71" w:rsidRPr="000450BF" w:rsidRDefault="008E4E71" w:rsidP="008E4E71">
      <w:pPr>
        <w:pStyle w:val="SingleTxtG"/>
      </w:pPr>
      <w:r w:rsidRPr="000450BF">
        <w:t>220.</w:t>
      </w:r>
      <w:r w:rsidRPr="000450BF">
        <w:tab/>
      </w:r>
      <w:r w:rsidR="002F78A3" w:rsidRPr="000450BF">
        <w:t>The sc</w:t>
      </w:r>
      <w:r w:rsidR="00CD3958">
        <w:t xml:space="preserve">ope of application of the 2018 </w:t>
      </w:r>
      <w:r w:rsidR="00B2289D">
        <w:t>l</w:t>
      </w:r>
      <w:r w:rsidR="002F78A3" w:rsidRPr="000450BF">
        <w:t xml:space="preserve">aw covers </w:t>
      </w:r>
      <w:r w:rsidR="00BB26E8" w:rsidRPr="000450BF">
        <w:t xml:space="preserve">all press houses, </w:t>
      </w:r>
      <w:r w:rsidR="00750C2C" w:rsidRPr="000450BF">
        <w:t>audio-visual</w:t>
      </w:r>
      <w:r w:rsidR="00BB26E8" w:rsidRPr="000450BF">
        <w:t xml:space="preserve"> and communication companies, all media including web based media as well as cinematographic companies present in Burundi even if their headquarters are outside the country</w:t>
      </w:r>
      <w:r w:rsidRPr="000450BF">
        <w:t>.</w:t>
      </w:r>
      <w:r w:rsidRPr="000450BF">
        <w:rPr>
          <w:rStyle w:val="FootnoteReference"/>
        </w:rPr>
        <w:footnoteReference w:id="29"/>
      </w:r>
      <w:r w:rsidRPr="000450BF">
        <w:t xml:space="preserve"> </w:t>
      </w:r>
      <w:r w:rsidR="00B2289D">
        <w:t>The l</w:t>
      </w:r>
      <w:r w:rsidR="00BB26E8" w:rsidRPr="000450BF">
        <w:t xml:space="preserve">aw also stipulates that </w:t>
      </w:r>
      <w:r w:rsidR="00B2289D">
        <w:t>“</w:t>
      </w:r>
      <w:r w:rsidR="00BB26E8" w:rsidRPr="000450BF">
        <w:t xml:space="preserve">no foreign newspaper or written periodicals can be created, published or printed without obtaining prior authorisation from the </w:t>
      </w:r>
      <w:r w:rsidR="004C209C">
        <w:t>National Communication C</w:t>
      </w:r>
      <w:r w:rsidR="00BB26E8" w:rsidRPr="000450BF">
        <w:t>ouncil after submitting a written request</w:t>
      </w:r>
      <w:r w:rsidR="00B2289D">
        <w:t>”</w:t>
      </w:r>
      <w:r w:rsidRPr="000450BF">
        <w:t>.</w:t>
      </w:r>
      <w:r w:rsidRPr="000450BF">
        <w:rPr>
          <w:rStyle w:val="FootnoteReference"/>
        </w:rPr>
        <w:footnoteReference w:id="30"/>
      </w:r>
      <w:r w:rsidRPr="000450BF">
        <w:t xml:space="preserve"> </w:t>
      </w:r>
      <w:r w:rsidR="00BB26E8" w:rsidRPr="000450BF">
        <w:t>Similarly</w:t>
      </w:r>
      <w:r w:rsidR="001232F7" w:rsidRPr="000450BF">
        <w:t>,</w:t>
      </w:r>
      <w:r w:rsidR="00BB26E8" w:rsidRPr="000450BF">
        <w:t xml:space="preserve"> any </w:t>
      </w:r>
      <w:r w:rsidR="00C31701" w:rsidRPr="000450BF">
        <w:t xml:space="preserve">film broadcast </w:t>
      </w:r>
      <w:r w:rsidR="00BB26E8" w:rsidRPr="000450BF">
        <w:t xml:space="preserve">on the </w:t>
      </w:r>
      <w:r w:rsidR="002E6630" w:rsidRPr="000450BF">
        <w:t>Burundian</w:t>
      </w:r>
      <w:r w:rsidR="00BB26E8" w:rsidRPr="000450BF">
        <w:t xml:space="preserve"> territory is henceforth </w:t>
      </w:r>
      <w:r w:rsidR="00B2289D">
        <w:t>“</w:t>
      </w:r>
      <w:r w:rsidR="00BB26E8" w:rsidRPr="000450BF">
        <w:t xml:space="preserve">subject </w:t>
      </w:r>
      <w:r w:rsidR="00C31701" w:rsidRPr="000450BF">
        <w:t>to</w:t>
      </w:r>
      <w:r w:rsidR="00BB26E8" w:rsidRPr="000450BF">
        <w:t xml:space="preserve"> prior authorisation by the </w:t>
      </w:r>
      <w:r w:rsidR="004C209C">
        <w:t>National C</w:t>
      </w:r>
      <w:r w:rsidR="00BB26E8" w:rsidRPr="000450BF">
        <w:t xml:space="preserve">ommunication </w:t>
      </w:r>
      <w:r w:rsidR="004C209C">
        <w:t>C</w:t>
      </w:r>
      <w:r w:rsidR="00BB26E8" w:rsidRPr="000450BF">
        <w:t>ouncil</w:t>
      </w:r>
      <w:r w:rsidR="00B2289D">
        <w:t>”.</w:t>
      </w:r>
      <w:r w:rsidRPr="000450BF">
        <w:rPr>
          <w:rStyle w:val="FootnoteReference"/>
        </w:rPr>
        <w:footnoteReference w:id="31"/>
      </w:r>
      <w:r w:rsidR="00BB26E8" w:rsidRPr="000450BF">
        <w:t xml:space="preserve"> </w:t>
      </w:r>
      <w:r w:rsidR="00C31701" w:rsidRPr="000450BF">
        <w:t>In</w:t>
      </w:r>
      <w:r w:rsidR="00BB26E8" w:rsidRPr="000450BF">
        <w:t xml:space="preserve"> fact</w:t>
      </w:r>
      <w:r w:rsidR="00C31701" w:rsidRPr="000450BF">
        <w:t xml:space="preserve">, </w:t>
      </w:r>
      <w:r w:rsidR="00BB26E8" w:rsidRPr="000450BF">
        <w:t>during the session before the Senate in August 2019</w:t>
      </w:r>
      <w:r w:rsidR="004C209C">
        <w:t xml:space="preserve"> to consider this draft </w:t>
      </w:r>
      <w:r w:rsidR="00B2289D">
        <w:t>l</w:t>
      </w:r>
      <w:r w:rsidR="004C209C" w:rsidRPr="000450BF">
        <w:t>aw</w:t>
      </w:r>
      <w:r w:rsidR="004C209C">
        <w:t>,</w:t>
      </w:r>
      <w:r w:rsidR="004C209C" w:rsidRPr="000450BF">
        <w:t xml:space="preserve"> </w:t>
      </w:r>
      <w:r w:rsidR="00C31701" w:rsidRPr="000450BF">
        <w:t xml:space="preserve">discussions </w:t>
      </w:r>
      <w:r w:rsidR="000B612E" w:rsidRPr="000450BF">
        <w:t xml:space="preserve">were held </w:t>
      </w:r>
      <w:r w:rsidR="00C31701" w:rsidRPr="000450BF">
        <w:t xml:space="preserve">on </w:t>
      </w:r>
      <w:r w:rsidR="00BB26E8" w:rsidRPr="000450BF">
        <w:t>the necessity</w:t>
      </w:r>
      <w:r w:rsidR="00C31701" w:rsidRPr="000450BF">
        <w:t xml:space="preserve"> </w:t>
      </w:r>
      <w:r w:rsidR="00B2289D">
        <w:t>“</w:t>
      </w:r>
      <w:r w:rsidR="00BB26E8" w:rsidRPr="000450BF">
        <w:t>to put in place a policy to prot</w:t>
      </w:r>
      <w:r w:rsidR="004C209C">
        <w:t xml:space="preserve">ect the country against programs </w:t>
      </w:r>
      <w:r w:rsidR="00BB26E8" w:rsidRPr="000450BF">
        <w:t xml:space="preserve">that </w:t>
      </w:r>
      <w:r w:rsidR="004C209C">
        <w:t>are</w:t>
      </w:r>
      <w:r w:rsidR="00BB26E8" w:rsidRPr="000450BF">
        <w:t xml:space="preserve"> contrary to the </w:t>
      </w:r>
      <w:r w:rsidR="002E6630" w:rsidRPr="000450BF">
        <w:t>Burundian</w:t>
      </w:r>
      <w:r w:rsidR="00BB26E8" w:rsidRPr="000450BF">
        <w:t xml:space="preserve"> culture</w:t>
      </w:r>
      <w:r w:rsidR="00C31701" w:rsidRPr="000450BF">
        <w:t xml:space="preserve"> </w:t>
      </w:r>
      <w:r w:rsidR="00BB26E8" w:rsidRPr="000450BF">
        <w:t xml:space="preserve">but also </w:t>
      </w:r>
      <w:r w:rsidR="00C31701" w:rsidRPr="000450BF">
        <w:t xml:space="preserve">against </w:t>
      </w:r>
      <w:r w:rsidR="00BB26E8" w:rsidRPr="000450BF">
        <w:t>information provided by radio</w:t>
      </w:r>
      <w:r w:rsidR="00C31701" w:rsidRPr="000450BF">
        <w:t xml:space="preserve"> stations </w:t>
      </w:r>
      <w:r w:rsidR="00BB26E8" w:rsidRPr="000450BF">
        <w:t xml:space="preserve">such as </w:t>
      </w:r>
      <w:r w:rsidRPr="000450BF">
        <w:rPr>
          <w:i/>
        </w:rPr>
        <w:t>Humura</w:t>
      </w:r>
      <w:r w:rsidRPr="000450BF">
        <w:t xml:space="preserve"> </w:t>
      </w:r>
      <w:r w:rsidR="00C31701" w:rsidRPr="000450BF">
        <w:t>and</w:t>
      </w:r>
      <w:r w:rsidRPr="000450BF">
        <w:t xml:space="preserve"> </w:t>
      </w:r>
      <w:r w:rsidRPr="000450BF">
        <w:rPr>
          <w:i/>
        </w:rPr>
        <w:t>Inzamba</w:t>
      </w:r>
      <w:r w:rsidRPr="000450BF">
        <w:t xml:space="preserve"> </w:t>
      </w:r>
      <w:r w:rsidR="00C31701" w:rsidRPr="000450BF">
        <w:t xml:space="preserve">that are not recognised by the </w:t>
      </w:r>
      <w:r w:rsidR="002E6630" w:rsidRPr="000450BF">
        <w:t>Burundian</w:t>
      </w:r>
      <w:r w:rsidR="00C31701" w:rsidRPr="000450BF">
        <w:t xml:space="preserve"> legislation</w:t>
      </w:r>
      <w:r w:rsidR="00B2289D">
        <w:t>”.</w:t>
      </w:r>
      <w:r w:rsidRPr="000450BF">
        <w:rPr>
          <w:rStyle w:val="FootnoteReference"/>
        </w:rPr>
        <w:footnoteReference w:id="32"/>
      </w:r>
    </w:p>
    <w:p w14:paraId="453794FA" w14:textId="3B29D21F" w:rsidR="008E4E71" w:rsidRPr="000450BF" w:rsidRDefault="008E4E71" w:rsidP="008E4E71">
      <w:pPr>
        <w:pStyle w:val="H4G"/>
      </w:pPr>
      <w:r w:rsidRPr="000450BF">
        <w:tab/>
      </w:r>
      <w:r w:rsidRPr="000450BF">
        <w:tab/>
      </w:r>
      <w:r w:rsidR="00C31701" w:rsidRPr="000450BF">
        <w:t xml:space="preserve">Media </w:t>
      </w:r>
      <w:r w:rsidRPr="000450BF">
        <w:t xml:space="preserve">censure </w:t>
      </w:r>
      <w:r w:rsidR="00C31701" w:rsidRPr="000450BF">
        <w:t xml:space="preserve">by the </w:t>
      </w:r>
      <w:r w:rsidR="004C209C">
        <w:t>N</w:t>
      </w:r>
      <w:r w:rsidR="00C31701" w:rsidRPr="000450BF">
        <w:t xml:space="preserve">ational </w:t>
      </w:r>
      <w:r w:rsidR="004C209C">
        <w:t>C</w:t>
      </w:r>
      <w:r w:rsidRPr="000450BF">
        <w:t>ommunication</w:t>
      </w:r>
      <w:r w:rsidR="004C209C">
        <w:t xml:space="preserve"> C</w:t>
      </w:r>
      <w:r w:rsidR="00C31701" w:rsidRPr="000450BF">
        <w:t xml:space="preserve">ouncil </w:t>
      </w:r>
    </w:p>
    <w:p w14:paraId="005B01EE" w14:textId="36686DA1" w:rsidR="008E4E71" w:rsidRPr="000450BF" w:rsidRDefault="008E4E71" w:rsidP="008E4E71">
      <w:pPr>
        <w:pStyle w:val="SingleTxtG"/>
      </w:pPr>
      <w:r w:rsidRPr="000450BF">
        <w:t>221.</w:t>
      </w:r>
      <w:r w:rsidRPr="000450BF">
        <w:tab/>
      </w:r>
      <w:r w:rsidR="004C209C">
        <w:t>The National Communication C</w:t>
      </w:r>
      <w:r w:rsidR="00C31701" w:rsidRPr="000450BF">
        <w:t xml:space="preserve">ouncil </w:t>
      </w:r>
      <w:r w:rsidRPr="000450BF">
        <w:t>(CNC),</w:t>
      </w:r>
      <w:r w:rsidR="004D5B30" w:rsidRPr="000450BF">
        <w:t xml:space="preserve"> </w:t>
      </w:r>
      <w:r w:rsidR="000B612E" w:rsidRPr="000450BF">
        <w:t xml:space="preserve">which is </w:t>
      </w:r>
      <w:r w:rsidR="00C31701" w:rsidRPr="000450BF">
        <w:t>supposed to be a</w:t>
      </w:r>
      <w:r w:rsidR="004D5B30" w:rsidRPr="000450BF">
        <w:t xml:space="preserve">n </w:t>
      </w:r>
      <w:r w:rsidR="00750C2C" w:rsidRPr="000450BF">
        <w:t>independent</w:t>
      </w:r>
      <w:r w:rsidR="00C31701" w:rsidRPr="000450BF">
        <w:t xml:space="preserve"> regulatory body for media</w:t>
      </w:r>
      <w:r w:rsidR="004D5B30" w:rsidRPr="000450BF">
        <w:t>,</w:t>
      </w:r>
      <w:r w:rsidR="00C31701" w:rsidRPr="000450BF">
        <w:t xml:space="preserve"> is in fact a censorship tool </w:t>
      </w:r>
      <w:r w:rsidR="004D5B30" w:rsidRPr="000450BF">
        <w:t xml:space="preserve">for the </w:t>
      </w:r>
      <w:r w:rsidR="007F5B89">
        <w:t>Government</w:t>
      </w:r>
      <w:r w:rsidR="004D5B30" w:rsidRPr="000450BF">
        <w:t xml:space="preserve"> as its role is to control the media and the press and it has the capacity to impose heavy sanctions; such as suspension or license withdrawal against any m</w:t>
      </w:r>
      <w:r w:rsidR="009A744B">
        <w:t>edia that has broadcasted any “</w:t>
      </w:r>
      <w:r w:rsidR="004D5B30" w:rsidRPr="000450BF">
        <w:t>unbalanced</w:t>
      </w:r>
      <w:r w:rsidR="009A744B">
        <w:t xml:space="preserve">” </w:t>
      </w:r>
      <w:r w:rsidR="00CC7ADE">
        <w:t>information</w:t>
      </w:r>
      <w:r w:rsidR="004D5B30" w:rsidRPr="000450BF">
        <w:t>, n</w:t>
      </w:r>
      <w:r w:rsidR="00994FD7" w:rsidRPr="000450BF">
        <w:t>amely</w:t>
      </w:r>
      <w:r w:rsidR="004D5B30" w:rsidRPr="000450BF">
        <w:t xml:space="preserve"> information that do</w:t>
      </w:r>
      <w:r w:rsidR="00CC7ADE">
        <w:t>es</w:t>
      </w:r>
      <w:r w:rsidR="004D5B30" w:rsidRPr="000450BF">
        <w:t xml:space="preserve"> not espouse the </w:t>
      </w:r>
      <w:r w:rsidR="007F5B89">
        <w:t>Government</w:t>
      </w:r>
      <w:r w:rsidR="004D5B30" w:rsidRPr="000450BF">
        <w:t xml:space="preserve"> line or that </w:t>
      </w:r>
      <w:r w:rsidR="00CC7ADE">
        <w:t xml:space="preserve">is perceived to be </w:t>
      </w:r>
      <w:r w:rsidR="004D5B30" w:rsidRPr="000450BF">
        <w:t>criticis</w:t>
      </w:r>
      <w:r w:rsidR="00CC7ADE">
        <w:t>ing</w:t>
      </w:r>
      <w:r w:rsidR="004D5B30" w:rsidRPr="000450BF">
        <w:t xml:space="preserve"> the latter, n</w:t>
      </w:r>
      <w:r w:rsidR="00ED0DA8" w:rsidRPr="000450BF">
        <w:t>otably</w:t>
      </w:r>
      <w:r w:rsidR="004D5B30" w:rsidRPr="000450BF">
        <w:t xml:space="preserve"> the mention of human rights violations committed in Burundi</w:t>
      </w:r>
      <w:r w:rsidR="009A744B">
        <w:t>.</w:t>
      </w:r>
      <w:r w:rsidRPr="000450BF">
        <w:rPr>
          <w:rStyle w:val="FootnoteReference"/>
        </w:rPr>
        <w:footnoteReference w:id="33"/>
      </w:r>
      <w:r w:rsidRPr="000450BF">
        <w:t xml:space="preserve"> </w:t>
      </w:r>
    </w:p>
    <w:p w14:paraId="3E65C966" w14:textId="2BCF83B2" w:rsidR="008E4E71" w:rsidRPr="000450BF" w:rsidRDefault="008E4E71" w:rsidP="008E4E71">
      <w:pPr>
        <w:pStyle w:val="SingleTxtG"/>
      </w:pPr>
      <w:r w:rsidRPr="000450BF">
        <w:t>222.</w:t>
      </w:r>
      <w:r w:rsidRPr="000450BF">
        <w:tab/>
      </w:r>
      <w:r w:rsidR="004D5B30" w:rsidRPr="000450BF">
        <w:t xml:space="preserve">On </w:t>
      </w:r>
      <w:r w:rsidRPr="000450BF">
        <w:t xml:space="preserve">29 </w:t>
      </w:r>
      <w:r w:rsidR="004D5B30" w:rsidRPr="000450BF">
        <w:t xml:space="preserve">March </w:t>
      </w:r>
      <w:r w:rsidRPr="000450BF">
        <w:t xml:space="preserve">2019, CNC </w:t>
      </w:r>
      <w:r w:rsidR="004D5B30" w:rsidRPr="000450BF">
        <w:t xml:space="preserve">withdrew </w:t>
      </w:r>
      <w:r w:rsidR="00260D0C" w:rsidRPr="000450BF">
        <w:t>the</w:t>
      </w:r>
      <w:r w:rsidRPr="000450BF">
        <w:t xml:space="preserve"> licence </w:t>
      </w:r>
      <w:r w:rsidR="00260D0C" w:rsidRPr="000450BF">
        <w:t xml:space="preserve">of the </w:t>
      </w:r>
      <w:r w:rsidRPr="000450BF">
        <w:t>British Broadcasting Corporation (BBC)</w:t>
      </w:r>
      <w:r w:rsidRPr="000450BF">
        <w:rPr>
          <w:rStyle w:val="FootnoteReference"/>
        </w:rPr>
        <w:footnoteReference w:id="34"/>
      </w:r>
      <w:r w:rsidRPr="000450BF">
        <w:t xml:space="preserve"> </w:t>
      </w:r>
      <w:r w:rsidR="00260D0C" w:rsidRPr="000450BF">
        <w:t xml:space="preserve">radio </w:t>
      </w:r>
      <w:r w:rsidR="00894E62" w:rsidRPr="000450BF">
        <w:t xml:space="preserve">as a </w:t>
      </w:r>
      <w:r w:rsidR="00260D0C" w:rsidRPr="000450BF">
        <w:t xml:space="preserve">sanction </w:t>
      </w:r>
      <w:r w:rsidR="00894E62" w:rsidRPr="000450BF">
        <w:t xml:space="preserve">for broadcasting the documentary </w:t>
      </w:r>
      <w:r w:rsidRPr="000450BF">
        <w:rPr>
          <w:i/>
        </w:rPr>
        <w:t>Kamwe Kamwe</w:t>
      </w:r>
      <w:r w:rsidR="00CC7ADE">
        <w:t>, which</w:t>
      </w:r>
      <w:r w:rsidR="00D64165" w:rsidRPr="000450BF">
        <w:t xml:space="preserve"> r</w:t>
      </w:r>
      <w:r w:rsidR="00894E62" w:rsidRPr="000450BF">
        <w:t>eveal</w:t>
      </w:r>
      <w:r w:rsidR="00CC7ADE">
        <w:t>ed</w:t>
      </w:r>
      <w:r w:rsidR="00894E62" w:rsidRPr="000450BF">
        <w:t xml:space="preserve"> the existence of secret detention places throughout the country where illegally detained people had allegedly been tortured and then executed by </w:t>
      </w:r>
      <w:r w:rsidRPr="000450BF">
        <w:t>SNR</w:t>
      </w:r>
      <w:r w:rsidR="00D64165" w:rsidRPr="000450BF">
        <w:t xml:space="preserve"> members</w:t>
      </w:r>
      <w:r w:rsidRPr="000450BF">
        <w:t xml:space="preserve">. </w:t>
      </w:r>
      <w:r w:rsidR="00894E62" w:rsidRPr="000450BF">
        <w:t xml:space="preserve">According to </w:t>
      </w:r>
      <w:r w:rsidRPr="000450BF">
        <w:t xml:space="preserve">CNC, </w:t>
      </w:r>
      <w:r w:rsidR="00894E62" w:rsidRPr="000450BF">
        <w:t xml:space="preserve">this documentary was </w:t>
      </w:r>
      <w:r w:rsidR="009A744B">
        <w:t>“</w:t>
      </w:r>
      <w:r w:rsidR="00894E62" w:rsidRPr="000450BF">
        <w:t xml:space="preserve">untruthful, </w:t>
      </w:r>
      <w:r w:rsidR="00750C2C" w:rsidRPr="000450BF">
        <w:t>defamatory</w:t>
      </w:r>
      <w:r w:rsidR="00894E62" w:rsidRPr="000450BF">
        <w:t xml:space="preserve"> and scathing for </w:t>
      </w:r>
      <w:r w:rsidRPr="000450BF">
        <w:t>Burundi</w:t>
      </w:r>
      <w:r w:rsidR="009A744B">
        <w:t>”</w:t>
      </w:r>
      <w:r w:rsidRPr="000450BF">
        <w:t xml:space="preserve">. </w:t>
      </w:r>
      <w:r w:rsidR="00894E62" w:rsidRPr="000450BF">
        <w:t xml:space="preserve">The decision to revoke the licence of BBC followed its 6 months </w:t>
      </w:r>
      <w:r w:rsidR="00D64165" w:rsidRPr="000450BF">
        <w:t xml:space="preserve">suspension </w:t>
      </w:r>
      <w:r w:rsidR="00894E62" w:rsidRPr="000450BF">
        <w:t xml:space="preserve">from </w:t>
      </w:r>
      <w:r w:rsidR="00D64165" w:rsidRPr="000450BF">
        <w:t>4 M</w:t>
      </w:r>
      <w:r w:rsidRPr="000450BF">
        <w:t>a</w:t>
      </w:r>
      <w:r w:rsidR="00894E62" w:rsidRPr="000450BF">
        <w:t>y</w:t>
      </w:r>
      <w:r w:rsidRPr="000450BF">
        <w:t xml:space="preserve"> 2018</w:t>
      </w:r>
      <w:r w:rsidR="00A00EFF" w:rsidRPr="000450BF">
        <w:t xml:space="preserve"> after </w:t>
      </w:r>
      <w:r w:rsidR="00894E62" w:rsidRPr="000450BF">
        <w:t xml:space="preserve">the broadcasting of the program </w:t>
      </w:r>
      <w:r w:rsidR="000B7EC6" w:rsidRPr="000450BF">
        <w:t>Guest of the Week</w:t>
      </w:r>
      <w:r w:rsidRPr="000450BF">
        <w:t xml:space="preserve"> </w:t>
      </w:r>
      <w:r w:rsidR="00894E62" w:rsidRPr="000450BF">
        <w:t>with</w:t>
      </w:r>
      <w:r w:rsidRPr="000450BF">
        <w:t xml:space="preserve"> Pierre-Claver Mbonimpa</w:t>
      </w:r>
      <w:r w:rsidR="000B7EC6" w:rsidRPr="000450BF">
        <w:t>;</w:t>
      </w:r>
      <w:r w:rsidRPr="000450BF">
        <w:t xml:space="preserve"> </w:t>
      </w:r>
      <w:r w:rsidR="00894E62" w:rsidRPr="000450BF">
        <w:t>wh</w:t>
      </w:r>
      <w:r w:rsidR="00A00EFF" w:rsidRPr="000450BF">
        <w:t xml:space="preserve">ich </w:t>
      </w:r>
      <w:r w:rsidR="00894E62" w:rsidRPr="000450BF">
        <w:t>according to</w:t>
      </w:r>
      <w:r w:rsidR="00A00EFF" w:rsidRPr="000450BF">
        <w:t xml:space="preserve"> </w:t>
      </w:r>
      <w:r w:rsidRPr="000450BF">
        <w:t xml:space="preserve">CNC </w:t>
      </w:r>
      <w:r w:rsidR="00894E62" w:rsidRPr="000450BF">
        <w:t>had not respected the principles of balanced information and the rigorous verification of sources</w:t>
      </w:r>
      <w:r w:rsidR="009A744B">
        <w:t>.</w:t>
      </w:r>
      <w:r w:rsidRPr="000450BF">
        <w:rPr>
          <w:rStyle w:val="FootnoteReference"/>
        </w:rPr>
        <w:footnoteReference w:id="35"/>
      </w:r>
      <w:r w:rsidRPr="000450BF">
        <w:t xml:space="preserve"> </w:t>
      </w:r>
      <w:r w:rsidR="00A00EFF" w:rsidRPr="000450BF">
        <w:t>This</w:t>
      </w:r>
      <w:r w:rsidR="00894E62" w:rsidRPr="000450BF">
        <w:t xml:space="preserve"> suspension was itself preceded by a warning </w:t>
      </w:r>
      <w:r w:rsidR="00A00EFF" w:rsidRPr="000450BF">
        <w:t xml:space="preserve">following </w:t>
      </w:r>
      <w:r w:rsidR="00894E62" w:rsidRPr="000450BF">
        <w:t xml:space="preserve">the broadcasting of a documentary on the decision of the central committee of </w:t>
      </w:r>
      <w:r w:rsidRPr="000450BF">
        <w:t>CNDD-FDD</w:t>
      </w:r>
      <w:r w:rsidR="00A00EFF" w:rsidRPr="000450BF">
        <w:t xml:space="preserve"> to</w:t>
      </w:r>
      <w:r w:rsidR="00894E62" w:rsidRPr="000450BF">
        <w:t xml:space="preserve"> award the title </w:t>
      </w:r>
      <w:r w:rsidR="009A744B">
        <w:t>of “V</w:t>
      </w:r>
      <w:r w:rsidR="00A00EFF" w:rsidRPr="000450BF">
        <w:t>isionary</w:t>
      </w:r>
      <w:r w:rsidR="009A744B">
        <w:t>”</w:t>
      </w:r>
      <w:r w:rsidRPr="000450BF">
        <w:t xml:space="preserve"> </w:t>
      </w:r>
      <w:r w:rsidR="00A00EFF" w:rsidRPr="000450BF">
        <w:t>to President</w:t>
      </w:r>
      <w:r w:rsidRPr="000450BF">
        <w:t xml:space="preserve"> Nkurunziza</w:t>
      </w:r>
      <w:r w:rsidR="009A744B">
        <w:t>.</w:t>
      </w:r>
      <w:r w:rsidRPr="000450BF">
        <w:rPr>
          <w:rStyle w:val="FootnoteReference"/>
        </w:rPr>
        <w:footnoteReference w:id="36"/>
      </w:r>
    </w:p>
    <w:p w14:paraId="61EC21E6" w14:textId="453DE9BE" w:rsidR="008E4E71" w:rsidRPr="000450BF" w:rsidRDefault="008E4E71" w:rsidP="008E4E71">
      <w:pPr>
        <w:pStyle w:val="SingleTxtG"/>
      </w:pPr>
      <w:r w:rsidRPr="000450BF">
        <w:t>223.</w:t>
      </w:r>
      <w:r w:rsidRPr="000450BF">
        <w:tab/>
      </w:r>
      <w:r w:rsidR="00A00EFF" w:rsidRPr="000450BF">
        <w:t xml:space="preserve">On the same day, </w:t>
      </w:r>
      <w:r w:rsidRPr="000450BF">
        <w:t xml:space="preserve">CNC </w:t>
      </w:r>
      <w:r w:rsidR="00A00EFF" w:rsidRPr="000450BF">
        <w:t xml:space="preserve">also decided to suspend </w:t>
      </w:r>
      <w:r w:rsidRPr="000450BF">
        <w:t xml:space="preserve">radio Voice of America (VOA) </w:t>
      </w:r>
      <w:r w:rsidR="00A00EFF" w:rsidRPr="000450BF">
        <w:t xml:space="preserve">for an indefinite duration after having suspended it for 6 months from </w:t>
      </w:r>
      <w:r w:rsidR="000B7EC6" w:rsidRPr="000450BF">
        <w:t>M</w:t>
      </w:r>
      <w:r w:rsidR="00A00EFF" w:rsidRPr="000450BF">
        <w:t>ay</w:t>
      </w:r>
      <w:r w:rsidRPr="000450BF">
        <w:t xml:space="preserve"> 2018. </w:t>
      </w:r>
      <w:r w:rsidR="00A00EFF" w:rsidRPr="000450BF">
        <w:t xml:space="preserve">The decision was justified by the fact that </w:t>
      </w:r>
      <w:r w:rsidRPr="000450BF">
        <w:t xml:space="preserve">VOA </w:t>
      </w:r>
      <w:r w:rsidR="00A00EFF" w:rsidRPr="000450BF">
        <w:t xml:space="preserve">had continued to employ a </w:t>
      </w:r>
      <w:r w:rsidR="002E6630" w:rsidRPr="000450BF">
        <w:t>Burundian</w:t>
      </w:r>
      <w:r w:rsidR="00A00EFF" w:rsidRPr="000450BF">
        <w:t xml:space="preserve"> journalist; former director of the radio station </w:t>
      </w:r>
      <w:r w:rsidRPr="000450BF">
        <w:t xml:space="preserve">Bonesha </w:t>
      </w:r>
      <w:r w:rsidR="00750C2C" w:rsidRPr="000450BF">
        <w:t>FM;</w:t>
      </w:r>
      <w:r w:rsidRPr="000450BF">
        <w:t xml:space="preserve"> </w:t>
      </w:r>
      <w:r w:rsidR="00A00EFF" w:rsidRPr="000450BF">
        <w:t xml:space="preserve">who is officially wanted by the </w:t>
      </w:r>
      <w:r w:rsidR="002E6630" w:rsidRPr="000450BF">
        <w:t>Burundian</w:t>
      </w:r>
      <w:r w:rsidR="00A00EFF" w:rsidRPr="000450BF">
        <w:t xml:space="preserve"> </w:t>
      </w:r>
      <w:r w:rsidRPr="000450BF">
        <w:t xml:space="preserve">justice </w:t>
      </w:r>
      <w:r w:rsidR="00A00EFF" w:rsidRPr="000450BF">
        <w:t xml:space="preserve">for his alleged participation </w:t>
      </w:r>
      <w:r w:rsidR="009A744B">
        <w:t>“</w:t>
      </w:r>
      <w:r w:rsidR="00A00EFF" w:rsidRPr="000450BF">
        <w:t xml:space="preserve">in the murderous violence that preceded the failed </w:t>
      </w:r>
      <w:r w:rsidRPr="000450BF">
        <w:t xml:space="preserve">coup </w:t>
      </w:r>
      <w:r w:rsidR="00750C2C" w:rsidRPr="000450BF">
        <w:t>d’état</w:t>
      </w:r>
      <w:r w:rsidRPr="000450BF">
        <w:t xml:space="preserve"> </w:t>
      </w:r>
      <w:r w:rsidR="00A00EFF" w:rsidRPr="000450BF">
        <w:t xml:space="preserve">of </w:t>
      </w:r>
      <w:r w:rsidRPr="000450BF">
        <w:t xml:space="preserve">13 </w:t>
      </w:r>
      <w:r w:rsidR="000B7EC6" w:rsidRPr="000450BF">
        <w:t>M</w:t>
      </w:r>
      <w:r w:rsidR="00A00EFF" w:rsidRPr="000450BF">
        <w:t>ay</w:t>
      </w:r>
      <w:r w:rsidR="009A744B">
        <w:t xml:space="preserve"> 2015”</w:t>
      </w:r>
      <w:r w:rsidRPr="000450BF">
        <w:t>.</w:t>
      </w:r>
      <w:r w:rsidRPr="000450BF">
        <w:rPr>
          <w:vertAlign w:val="superscript"/>
        </w:rPr>
        <w:t xml:space="preserve"> </w:t>
      </w:r>
      <w:r w:rsidRPr="000450BF">
        <w:rPr>
          <w:rStyle w:val="FootnoteReference"/>
        </w:rPr>
        <w:footnoteReference w:id="37"/>
      </w:r>
      <w:r w:rsidRPr="000450BF">
        <w:t xml:space="preserve"> </w:t>
      </w:r>
    </w:p>
    <w:p w14:paraId="3ADD6699" w14:textId="0483550A" w:rsidR="008E4E71" w:rsidRPr="000450BF" w:rsidRDefault="008E4E71" w:rsidP="008E4E71">
      <w:pPr>
        <w:pStyle w:val="SingleTxtG"/>
      </w:pPr>
      <w:r w:rsidRPr="000450BF">
        <w:t>224.</w:t>
      </w:r>
      <w:r w:rsidRPr="000450BF">
        <w:tab/>
      </w:r>
      <w:r w:rsidR="00A00EFF" w:rsidRPr="000450BF">
        <w:t>According to the two decisions of</w:t>
      </w:r>
      <w:r w:rsidRPr="000450BF">
        <w:t xml:space="preserve"> CNC, </w:t>
      </w:r>
      <w:r w:rsidR="00A00EFF" w:rsidRPr="000450BF">
        <w:t xml:space="preserve">it </w:t>
      </w:r>
      <w:r w:rsidR="006E1984" w:rsidRPr="000450BF">
        <w:t xml:space="preserve">is </w:t>
      </w:r>
      <w:r w:rsidR="00971AA2" w:rsidRPr="000450BF">
        <w:t>henceforth</w:t>
      </w:r>
      <w:r w:rsidR="009A744B">
        <w:t xml:space="preserve"> “</w:t>
      </w:r>
      <w:r w:rsidR="00A00EFF" w:rsidRPr="000450BF">
        <w:t>strictly forbidden to any journalist</w:t>
      </w:r>
      <w:r w:rsidR="00971AA2" w:rsidRPr="000450BF">
        <w:t>,</w:t>
      </w:r>
      <w:r w:rsidR="00A00EFF" w:rsidRPr="000450BF">
        <w:t xml:space="preserve"> </w:t>
      </w:r>
      <w:r w:rsidR="002E6630" w:rsidRPr="000450BF">
        <w:t>Burundian</w:t>
      </w:r>
      <w:r w:rsidR="00971AA2" w:rsidRPr="000450BF">
        <w:t xml:space="preserve"> or </w:t>
      </w:r>
      <w:r w:rsidR="000B7EC6" w:rsidRPr="000450BF">
        <w:t xml:space="preserve">of </w:t>
      </w:r>
      <w:r w:rsidR="00971AA2" w:rsidRPr="000450BF">
        <w:t xml:space="preserve">foreign </w:t>
      </w:r>
      <w:r w:rsidR="00765FB0">
        <w:t xml:space="preserve">nationality, </w:t>
      </w:r>
      <w:r w:rsidR="00A00EFF" w:rsidRPr="000450BF">
        <w:t>operating on the national territory of Burundi</w:t>
      </w:r>
      <w:r w:rsidR="00971AA2" w:rsidRPr="000450BF">
        <w:t>,</w:t>
      </w:r>
      <w:r w:rsidR="00A00EFF" w:rsidRPr="000450BF">
        <w:t xml:space="preserve"> </w:t>
      </w:r>
      <w:r w:rsidR="00971AA2" w:rsidRPr="000450BF">
        <w:t xml:space="preserve">to provide directly or indirectly any information that can be broadcasted on </w:t>
      </w:r>
      <w:r w:rsidRPr="000450BF">
        <w:t xml:space="preserve">VOA </w:t>
      </w:r>
      <w:r w:rsidR="00971AA2" w:rsidRPr="000450BF">
        <w:t xml:space="preserve">or </w:t>
      </w:r>
      <w:r w:rsidRPr="000450BF">
        <w:t>BBC</w:t>
      </w:r>
      <w:r w:rsidR="009A744B">
        <w:t>”.</w:t>
      </w:r>
      <w:r w:rsidRPr="000450BF">
        <w:rPr>
          <w:rStyle w:val="FootnoteReference"/>
        </w:rPr>
        <w:footnoteReference w:id="38"/>
      </w:r>
    </w:p>
    <w:p w14:paraId="5AB5C097" w14:textId="1430A1C2" w:rsidR="008E4E71" w:rsidRPr="000450BF" w:rsidRDefault="008E4E71" w:rsidP="008E4E71">
      <w:pPr>
        <w:pStyle w:val="SingleTxtG"/>
      </w:pPr>
      <w:r w:rsidRPr="000450BF">
        <w:t>225.</w:t>
      </w:r>
      <w:r w:rsidRPr="000450BF">
        <w:tab/>
      </w:r>
      <w:r w:rsidR="00971AA2" w:rsidRPr="000450BF">
        <w:t xml:space="preserve">In June </w:t>
      </w:r>
      <w:r w:rsidRPr="000450BF">
        <w:t xml:space="preserve">2019, </w:t>
      </w:r>
      <w:r w:rsidR="00971AA2" w:rsidRPr="000450BF">
        <w:t>during a press conference, the</w:t>
      </w:r>
      <w:r w:rsidRPr="000450BF">
        <w:t xml:space="preserve"> </w:t>
      </w:r>
      <w:r w:rsidR="00971AA2" w:rsidRPr="000450BF">
        <w:t>President</w:t>
      </w:r>
      <w:r w:rsidRPr="000450BF">
        <w:t xml:space="preserve"> </w:t>
      </w:r>
      <w:r w:rsidR="00971AA2" w:rsidRPr="000450BF">
        <w:t xml:space="preserve">of </w:t>
      </w:r>
      <w:r w:rsidRPr="000450BF">
        <w:t xml:space="preserve">CNC, Nestor Bankumukunzi, </w:t>
      </w:r>
      <w:r w:rsidR="00971AA2" w:rsidRPr="000450BF">
        <w:t xml:space="preserve">advised that he was going to sanction the broadcasting on 2 June 2019 by Radio France Internationale (RFI) of an interview of a human rights activist, </w:t>
      </w:r>
      <w:r w:rsidRPr="000450BF">
        <w:t xml:space="preserve">Marguerite Barankitse, </w:t>
      </w:r>
      <w:r w:rsidR="00971AA2" w:rsidRPr="000450BF">
        <w:t>in which she denounced the human rights situation in the country</w:t>
      </w:r>
      <w:r w:rsidR="00D50017" w:rsidRPr="000450BF">
        <w:t xml:space="preserve"> and the responsibility of the H</w:t>
      </w:r>
      <w:r w:rsidR="00765FB0">
        <w:t>ead of S</w:t>
      </w:r>
      <w:r w:rsidR="00971AA2" w:rsidRPr="000450BF">
        <w:t>tate in that regard</w:t>
      </w:r>
      <w:r w:rsidRPr="000450BF">
        <w:t xml:space="preserve">. </w:t>
      </w:r>
      <w:r w:rsidR="00F04DA2" w:rsidRPr="000450BF">
        <w:t>According</w:t>
      </w:r>
      <w:r w:rsidR="00971AA2" w:rsidRPr="000450BF">
        <w:t xml:space="preserve"> to </w:t>
      </w:r>
      <w:r w:rsidRPr="000450BF">
        <w:t xml:space="preserve">CNC, </w:t>
      </w:r>
      <w:r w:rsidR="00F04DA2" w:rsidRPr="000450BF">
        <w:t xml:space="preserve">her </w:t>
      </w:r>
      <w:r w:rsidR="00971AA2" w:rsidRPr="000450BF">
        <w:t xml:space="preserve">statements were injurious to </w:t>
      </w:r>
      <w:r w:rsidR="00F04DA2" w:rsidRPr="000450BF">
        <w:t>President</w:t>
      </w:r>
      <w:r w:rsidRPr="000450BF">
        <w:t xml:space="preserve"> Nkurunziza</w:t>
      </w:r>
      <w:r w:rsidR="009A744B">
        <w:t>.</w:t>
      </w:r>
      <w:r w:rsidRPr="000450BF">
        <w:rPr>
          <w:rStyle w:val="FootnoteReference"/>
        </w:rPr>
        <w:footnoteReference w:id="39"/>
      </w:r>
    </w:p>
    <w:p w14:paraId="09AA45DD" w14:textId="73A1A585" w:rsidR="008E4E71" w:rsidRPr="000450BF" w:rsidRDefault="008E4E71" w:rsidP="008E4E71">
      <w:pPr>
        <w:pStyle w:val="SingleTxtG"/>
      </w:pPr>
      <w:r w:rsidRPr="000450BF">
        <w:t>226.</w:t>
      </w:r>
      <w:r w:rsidRPr="000450BF">
        <w:tab/>
      </w:r>
      <w:r w:rsidR="00F04DA2" w:rsidRPr="000450BF">
        <w:t>On</w:t>
      </w:r>
      <w:r w:rsidRPr="000450BF">
        <w:t xml:space="preserve"> 10 </w:t>
      </w:r>
      <w:r w:rsidR="00F04DA2" w:rsidRPr="000450BF">
        <w:t>July</w:t>
      </w:r>
      <w:r w:rsidRPr="000450BF">
        <w:t xml:space="preserve"> 2019, </w:t>
      </w:r>
      <w:r w:rsidR="00F04DA2" w:rsidRPr="000450BF">
        <w:t>the</w:t>
      </w:r>
      <w:r w:rsidRPr="000450BF">
        <w:t xml:space="preserve"> </w:t>
      </w:r>
      <w:r w:rsidR="000B7EC6" w:rsidRPr="000450BF">
        <w:t>President</w:t>
      </w:r>
      <w:r w:rsidRPr="000450BF">
        <w:t xml:space="preserve"> </w:t>
      </w:r>
      <w:r w:rsidR="00F04DA2" w:rsidRPr="000450BF">
        <w:t>of</w:t>
      </w:r>
      <w:r w:rsidRPr="000450BF">
        <w:t xml:space="preserve"> CNC </w:t>
      </w:r>
      <w:r w:rsidR="00F04DA2" w:rsidRPr="000450BF">
        <w:t>announced that a warning would be</w:t>
      </w:r>
      <w:r w:rsidR="009A744B">
        <w:t xml:space="preserve"> “i</w:t>
      </w:r>
      <w:r w:rsidR="000B7EC6" w:rsidRPr="000450BF">
        <w:t>ssue</w:t>
      </w:r>
      <w:r w:rsidR="00F04DA2" w:rsidRPr="000450BF">
        <w:t xml:space="preserve">d to </w:t>
      </w:r>
      <w:r w:rsidRPr="000450BF">
        <w:rPr>
          <w:i/>
        </w:rPr>
        <w:t xml:space="preserve">Journal Iwacu </w:t>
      </w:r>
      <w:r w:rsidR="000B7EC6" w:rsidRPr="000450BF">
        <w:t>f</w:t>
      </w:r>
      <w:r w:rsidR="00F04DA2" w:rsidRPr="000450BF">
        <w:t xml:space="preserve">ollowing the failings of the latter </w:t>
      </w:r>
      <w:r w:rsidR="000B7EC6" w:rsidRPr="000450BF">
        <w:t xml:space="preserve">media </w:t>
      </w:r>
      <w:r w:rsidR="00F04DA2" w:rsidRPr="000450BF">
        <w:t xml:space="preserve">in order </w:t>
      </w:r>
      <w:r w:rsidR="000B7EC6" w:rsidRPr="000450BF">
        <w:t xml:space="preserve">to ensure that </w:t>
      </w:r>
      <w:r w:rsidR="00F04DA2" w:rsidRPr="000450BF">
        <w:t>it complies with the law instead of persisting in it</w:t>
      </w:r>
      <w:r w:rsidR="000B7EC6" w:rsidRPr="000450BF">
        <w:t>s</w:t>
      </w:r>
      <w:r w:rsidR="00F04DA2" w:rsidRPr="000450BF">
        <w:t xml:space="preserve"> failures and remaining insens</w:t>
      </w:r>
      <w:r w:rsidR="000B7EC6" w:rsidRPr="000450BF">
        <w:t xml:space="preserve">itive to the advice provided by </w:t>
      </w:r>
      <w:r w:rsidR="009A744B">
        <w:t>CNC”.</w:t>
      </w:r>
      <w:r w:rsidRPr="000450BF">
        <w:rPr>
          <w:rStyle w:val="FootnoteReference"/>
        </w:rPr>
        <w:footnoteReference w:id="40"/>
      </w:r>
      <w:r w:rsidRPr="000450BF">
        <w:t xml:space="preserve"> </w:t>
      </w:r>
      <w:r w:rsidR="000B7EC6" w:rsidRPr="000450BF">
        <w:t>H</w:t>
      </w:r>
      <w:r w:rsidR="00F04DA2" w:rsidRPr="000450BF">
        <w:t>owever</w:t>
      </w:r>
      <w:r w:rsidR="000B7EC6" w:rsidRPr="000450BF">
        <w:t xml:space="preserve">, </w:t>
      </w:r>
      <w:r w:rsidR="00F04DA2" w:rsidRPr="000450BF">
        <w:t>no concrete detail</w:t>
      </w:r>
      <w:r w:rsidR="000B7EC6" w:rsidRPr="000450BF">
        <w:t>s</w:t>
      </w:r>
      <w:r w:rsidR="00F04DA2" w:rsidRPr="000450BF">
        <w:t xml:space="preserve"> or example</w:t>
      </w:r>
      <w:r w:rsidR="000B7EC6" w:rsidRPr="000450BF">
        <w:t>s</w:t>
      </w:r>
      <w:r w:rsidR="00F04DA2" w:rsidRPr="000450BF">
        <w:t xml:space="preserve"> w</w:t>
      </w:r>
      <w:r w:rsidR="000B7EC6" w:rsidRPr="000450BF">
        <w:t>ere</w:t>
      </w:r>
      <w:r w:rsidR="00F04DA2" w:rsidRPr="000450BF">
        <w:t xml:space="preserve"> provided on the so called failures of the </w:t>
      </w:r>
      <w:r w:rsidR="00F04DA2" w:rsidRPr="000450BF">
        <w:rPr>
          <w:i/>
        </w:rPr>
        <w:t>Journal</w:t>
      </w:r>
      <w:r w:rsidR="000B7EC6" w:rsidRPr="000450BF">
        <w:t xml:space="preserve">; </w:t>
      </w:r>
      <w:r w:rsidR="00F04DA2" w:rsidRPr="000450BF">
        <w:t xml:space="preserve">one of the last independent newspaper still </w:t>
      </w:r>
      <w:r w:rsidR="000B7EC6" w:rsidRPr="000450BF">
        <w:t>active</w:t>
      </w:r>
      <w:r w:rsidR="00F04DA2" w:rsidRPr="000450BF">
        <w:t xml:space="preserve"> in the country despite the exile of </w:t>
      </w:r>
      <w:r w:rsidR="000B7EC6" w:rsidRPr="000450BF">
        <w:t>its</w:t>
      </w:r>
      <w:r w:rsidR="00F04DA2" w:rsidRPr="000450BF">
        <w:t xml:space="preserve"> director</w:t>
      </w:r>
      <w:r w:rsidRPr="000450BF">
        <w:t xml:space="preserve">. </w:t>
      </w:r>
      <w:r w:rsidRPr="000450BF">
        <w:rPr>
          <w:i/>
        </w:rPr>
        <w:t>Iwacu</w:t>
      </w:r>
      <w:r w:rsidRPr="000450BF">
        <w:t xml:space="preserve"> </w:t>
      </w:r>
      <w:r w:rsidR="00F04DA2" w:rsidRPr="000450BF">
        <w:t xml:space="preserve">had already been sanctioned in April </w:t>
      </w:r>
      <w:r w:rsidRPr="000450BF">
        <w:t xml:space="preserve">2018 </w:t>
      </w:r>
      <w:r w:rsidR="00F04DA2" w:rsidRPr="000450BF">
        <w:t xml:space="preserve">for having turned a blind eye to a comment </w:t>
      </w:r>
      <w:r w:rsidR="000B7EC6" w:rsidRPr="000450BF">
        <w:t xml:space="preserve">of a </w:t>
      </w:r>
      <w:r w:rsidR="00F04DA2" w:rsidRPr="000450BF">
        <w:t xml:space="preserve">reader </w:t>
      </w:r>
      <w:r w:rsidR="009A744B">
        <w:t>“</w:t>
      </w:r>
      <w:r w:rsidR="00D50017" w:rsidRPr="000450BF">
        <w:t>defaming</w:t>
      </w:r>
      <w:r w:rsidR="009A744B">
        <w:t>”</w:t>
      </w:r>
      <w:r w:rsidR="00D50017" w:rsidRPr="000450BF">
        <w:t xml:space="preserve"> </w:t>
      </w:r>
      <w:r w:rsidR="00F04DA2" w:rsidRPr="000450BF">
        <w:t xml:space="preserve">the </w:t>
      </w:r>
      <w:r w:rsidR="002E6630" w:rsidRPr="000450BF">
        <w:t>Burundian</w:t>
      </w:r>
      <w:r w:rsidR="00F04DA2" w:rsidRPr="000450BF">
        <w:t xml:space="preserve"> national police by qualifying it as the </w:t>
      </w:r>
      <w:r w:rsidR="009A744B">
        <w:t>“</w:t>
      </w:r>
      <w:r w:rsidR="00D50017" w:rsidRPr="000450BF">
        <w:t xml:space="preserve">Presidential </w:t>
      </w:r>
      <w:r w:rsidR="009A744B">
        <w:t>police”</w:t>
      </w:r>
      <w:r w:rsidR="00765FB0">
        <w:t>,</w:t>
      </w:r>
      <w:r w:rsidRPr="000450BF">
        <w:t xml:space="preserve"> </w:t>
      </w:r>
      <w:r w:rsidR="00F04DA2" w:rsidRPr="000450BF">
        <w:t xml:space="preserve">as well as another comment qualifying </w:t>
      </w:r>
      <w:r w:rsidR="00D50017" w:rsidRPr="000450BF">
        <w:t>t</w:t>
      </w:r>
      <w:r w:rsidR="00F04DA2" w:rsidRPr="000450BF">
        <w:t xml:space="preserve">he Republic of Burundi as </w:t>
      </w:r>
      <w:r w:rsidR="00D50017" w:rsidRPr="000450BF">
        <w:t>a</w:t>
      </w:r>
      <w:r w:rsidR="009A744B">
        <w:t xml:space="preserve"> “</w:t>
      </w:r>
      <w:r w:rsidR="00F04DA2" w:rsidRPr="000450BF">
        <w:t>Ba</w:t>
      </w:r>
      <w:r w:rsidR="00D50017" w:rsidRPr="000450BF">
        <w:t>nana Republic with no education</w:t>
      </w:r>
      <w:r w:rsidR="009A744B">
        <w:t>”</w:t>
      </w:r>
      <w:r w:rsidRPr="000450BF">
        <w:t xml:space="preserve">. </w:t>
      </w:r>
      <w:r w:rsidR="00D50017" w:rsidRPr="000450BF">
        <w:t>T</w:t>
      </w:r>
      <w:r w:rsidR="00F04DA2" w:rsidRPr="000450BF">
        <w:t xml:space="preserve">hese facts had even been considered </w:t>
      </w:r>
      <w:r w:rsidR="00D50017" w:rsidRPr="000450BF">
        <w:t>by</w:t>
      </w:r>
      <w:r w:rsidRPr="000450BF">
        <w:t xml:space="preserve"> CNC </w:t>
      </w:r>
      <w:r w:rsidR="00F04DA2" w:rsidRPr="000450BF">
        <w:t xml:space="preserve">as constituting violations of the </w:t>
      </w:r>
      <w:r w:rsidR="00765FB0">
        <w:t>C</w:t>
      </w:r>
      <w:r w:rsidR="00F04DA2" w:rsidRPr="000450BF">
        <w:t>onstitution</w:t>
      </w:r>
      <w:r w:rsidRPr="000450BF">
        <w:t xml:space="preserve">, </w:t>
      </w:r>
      <w:r w:rsidR="00F04DA2" w:rsidRPr="000450BF">
        <w:t xml:space="preserve">and </w:t>
      </w:r>
      <w:r w:rsidRPr="000450BF">
        <w:rPr>
          <w:i/>
        </w:rPr>
        <w:t>Iwacu</w:t>
      </w:r>
      <w:r w:rsidRPr="000450BF">
        <w:t xml:space="preserve"> </w:t>
      </w:r>
      <w:r w:rsidR="00F04DA2" w:rsidRPr="000450BF">
        <w:t>had to close its comments page for 3 months</w:t>
      </w:r>
      <w:r w:rsidR="009A744B">
        <w:t>.</w:t>
      </w:r>
      <w:r w:rsidRPr="000450BF">
        <w:rPr>
          <w:rStyle w:val="FootnoteReference"/>
        </w:rPr>
        <w:footnoteReference w:id="41"/>
      </w:r>
    </w:p>
    <w:p w14:paraId="6446DD11" w14:textId="0437C89A" w:rsidR="008E4E71" w:rsidRPr="000450BF" w:rsidRDefault="008E4E71" w:rsidP="008E4E71">
      <w:pPr>
        <w:pStyle w:val="SingleTxtG"/>
      </w:pPr>
      <w:r w:rsidRPr="000450BF">
        <w:t>227.</w:t>
      </w:r>
      <w:r w:rsidRPr="000450BF">
        <w:tab/>
      </w:r>
      <w:r w:rsidR="007F2AF3" w:rsidRPr="000450BF">
        <w:t>Finally,</w:t>
      </w:r>
      <w:r w:rsidR="00F04DA2" w:rsidRPr="000450BF">
        <w:t xml:space="preserve"> on 6 July </w:t>
      </w:r>
      <w:r w:rsidRPr="000450BF">
        <w:t xml:space="preserve">2019, </w:t>
      </w:r>
      <w:r w:rsidR="00F04DA2" w:rsidRPr="000450BF">
        <w:t>in view of the 2020 elections</w:t>
      </w:r>
      <w:r w:rsidR="007F2AF3" w:rsidRPr="000450BF">
        <w:t xml:space="preserve">, </w:t>
      </w:r>
      <w:r w:rsidRPr="000450BF">
        <w:t xml:space="preserve">CNC </w:t>
      </w:r>
      <w:r w:rsidR="00765FB0">
        <w:t>established</w:t>
      </w:r>
      <w:r w:rsidR="00F04DA2" w:rsidRPr="000450BF">
        <w:t xml:space="preserve"> a </w:t>
      </w:r>
      <w:r w:rsidR="00765FB0">
        <w:t>hotline</w:t>
      </w:r>
      <w:r w:rsidR="00F04DA2" w:rsidRPr="000450BF">
        <w:t xml:space="preserve"> where </w:t>
      </w:r>
      <w:r w:rsidR="002E6630" w:rsidRPr="000450BF">
        <w:t>Burundian</w:t>
      </w:r>
      <w:r w:rsidR="007F2AF3" w:rsidRPr="000450BF">
        <w:t>s</w:t>
      </w:r>
      <w:r w:rsidR="00F04DA2" w:rsidRPr="000450BF">
        <w:t xml:space="preserve"> </w:t>
      </w:r>
      <w:r w:rsidR="00D50017" w:rsidRPr="000450BF">
        <w:t>can</w:t>
      </w:r>
      <w:r w:rsidR="00F04DA2" w:rsidRPr="000450BF">
        <w:t xml:space="preserve"> send </w:t>
      </w:r>
      <w:r w:rsidR="009A744B">
        <w:t>“</w:t>
      </w:r>
      <w:r w:rsidR="00F04DA2" w:rsidRPr="000450BF">
        <w:t xml:space="preserve">messages </w:t>
      </w:r>
      <w:r w:rsidR="007F2AF3" w:rsidRPr="000450BF">
        <w:t xml:space="preserve">evaluating the </w:t>
      </w:r>
      <w:r w:rsidR="00F04DA2" w:rsidRPr="000450BF">
        <w:t>service of different radio and television</w:t>
      </w:r>
      <w:r w:rsidR="007F2AF3" w:rsidRPr="000450BF">
        <w:t xml:space="preserve"> </w:t>
      </w:r>
      <w:r w:rsidR="00F04DA2" w:rsidRPr="000450BF">
        <w:t xml:space="preserve">stations working in Burundi </w:t>
      </w:r>
      <w:r w:rsidRPr="000450BF">
        <w:t xml:space="preserve">[…] </w:t>
      </w:r>
      <w:r w:rsidR="007F2AF3" w:rsidRPr="000450BF">
        <w:t xml:space="preserve">focusing on aspects that can be improved </w:t>
      </w:r>
      <w:r w:rsidRPr="000450BF">
        <w:t xml:space="preserve">[…] </w:t>
      </w:r>
      <w:r w:rsidR="007F2AF3" w:rsidRPr="000450BF">
        <w:t>in order to contribute to the strengthening of a free, professional and responsible press</w:t>
      </w:r>
      <w:r w:rsidR="009A744B">
        <w:t>”.</w:t>
      </w:r>
      <w:r w:rsidRPr="000450BF">
        <w:rPr>
          <w:rStyle w:val="FootnoteReference"/>
        </w:rPr>
        <w:footnoteReference w:id="42"/>
      </w:r>
    </w:p>
    <w:p w14:paraId="0D9BAE58" w14:textId="3F828731" w:rsidR="008E4E71" w:rsidRPr="000450BF" w:rsidRDefault="008E4E71" w:rsidP="008E4E71">
      <w:pPr>
        <w:pStyle w:val="SingleTxtG"/>
      </w:pPr>
      <w:r w:rsidRPr="000450BF">
        <w:t>228.</w:t>
      </w:r>
      <w:r w:rsidRPr="000450BF">
        <w:tab/>
        <w:t xml:space="preserve">CNC </w:t>
      </w:r>
      <w:r w:rsidR="00D50017" w:rsidRPr="000450BF">
        <w:t>i</w:t>
      </w:r>
      <w:r w:rsidR="007F2AF3" w:rsidRPr="000450BF">
        <w:t xml:space="preserve">s not an independent body as demonstrated by the </w:t>
      </w:r>
      <w:r w:rsidR="0015425B">
        <w:t>clumsiness</w:t>
      </w:r>
      <w:r w:rsidR="007F2AF3" w:rsidRPr="000450BF">
        <w:t xml:space="preserve"> that characterised the nomination decree for its members </w:t>
      </w:r>
      <w:r w:rsidR="00D50017" w:rsidRPr="000450BF">
        <w:t>in May</w:t>
      </w:r>
      <w:r w:rsidRPr="000450BF">
        <w:t xml:space="preserve"> 2019. </w:t>
      </w:r>
      <w:r w:rsidR="00D50017" w:rsidRPr="000450BF">
        <w:t>T</w:t>
      </w:r>
      <w:r w:rsidR="007F2AF3" w:rsidRPr="000450BF">
        <w:t xml:space="preserve">he original presidential decree </w:t>
      </w:r>
      <w:r w:rsidRPr="000450BF">
        <w:t xml:space="preserve">n°100/073 </w:t>
      </w:r>
      <w:r w:rsidR="00D50017" w:rsidRPr="000450BF">
        <w:t>of 15 May</w:t>
      </w:r>
      <w:r w:rsidRPr="000450BF">
        <w:t xml:space="preserve"> 2019 </w:t>
      </w:r>
      <w:r w:rsidR="007F2AF3" w:rsidRPr="000450BF">
        <w:t xml:space="preserve">appointing the 15 new </w:t>
      </w:r>
      <w:r w:rsidR="00D50017" w:rsidRPr="000450BF">
        <w:t xml:space="preserve">CNC </w:t>
      </w:r>
      <w:r w:rsidR="007F2AF3" w:rsidRPr="000450BF">
        <w:t>members</w:t>
      </w:r>
      <w:r w:rsidRPr="000450BF">
        <w:t xml:space="preserve">, </w:t>
      </w:r>
      <w:r w:rsidR="007F2AF3" w:rsidRPr="000450BF">
        <w:t xml:space="preserve">already had the </w:t>
      </w:r>
      <w:r w:rsidR="002E6630" w:rsidRPr="000450BF">
        <w:t xml:space="preserve">names of the </w:t>
      </w:r>
      <w:r w:rsidR="007F2AF3" w:rsidRPr="000450BF">
        <w:t xml:space="preserve">five members </w:t>
      </w:r>
      <w:r w:rsidR="002E6630" w:rsidRPr="000450BF">
        <w:t xml:space="preserve">that makeup its Bureau, </w:t>
      </w:r>
      <w:r w:rsidR="007F2AF3" w:rsidRPr="000450BF">
        <w:t xml:space="preserve">whereas according to </w:t>
      </w:r>
      <w:r w:rsidR="002E6630" w:rsidRPr="000450BF">
        <w:t xml:space="preserve">the </w:t>
      </w:r>
      <w:r w:rsidR="007F2AF3" w:rsidRPr="000450BF">
        <w:t xml:space="preserve">law </w:t>
      </w:r>
      <w:r w:rsidRPr="000450BF">
        <w:t xml:space="preserve">n°1/06 </w:t>
      </w:r>
      <w:r w:rsidR="002E6630" w:rsidRPr="000450BF">
        <w:t>of 8 March</w:t>
      </w:r>
      <w:r w:rsidRPr="000450BF">
        <w:t xml:space="preserve"> 2018 </w:t>
      </w:r>
      <w:r w:rsidR="007F2AF3" w:rsidRPr="000450BF">
        <w:t xml:space="preserve">on </w:t>
      </w:r>
      <w:r w:rsidR="002E6630" w:rsidRPr="000450BF">
        <w:t xml:space="preserve">the missions, </w:t>
      </w:r>
      <w:r w:rsidRPr="000450BF">
        <w:t xml:space="preserve">composition, organisation </w:t>
      </w:r>
      <w:r w:rsidR="002E6630" w:rsidRPr="000450BF">
        <w:t xml:space="preserve">and functioning of </w:t>
      </w:r>
      <w:r w:rsidRPr="000450BF">
        <w:t xml:space="preserve">CNC, </w:t>
      </w:r>
      <w:r w:rsidR="007F2AF3" w:rsidRPr="000450BF">
        <w:t>the latter must be nominated internally by its own members</w:t>
      </w:r>
      <w:r w:rsidRPr="000450BF">
        <w:t xml:space="preserve">. </w:t>
      </w:r>
      <w:r w:rsidR="002E6630" w:rsidRPr="000450BF">
        <w:t>T</w:t>
      </w:r>
      <w:r w:rsidR="007F2AF3" w:rsidRPr="000450BF">
        <w:t xml:space="preserve">he authorities tried to rectify this </w:t>
      </w:r>
      <w:r w:rsidR="002E6630" w:rsidRPr="000450BF">
        <w:t>blunder</w:t>
      </w:r>
      <w:r w:rsidR="007F2AF3" w:rsidRPr="000450BF">
        <w:t xml:space="preserve"> by publishing</w:t>
      </w:r>
      <w:r w:rsidR="002E6630" w:rsidRPr="000450BF">
        <w:t xml:space="preserve"> a new decree under the same code </w:t>
      </w:r>
      <w:r w:rsidRPr="000450BF">
        <w:t xml:space="preserve">n°100/073, </w:t>
      </w:r>
      <w:r w:rsidR="007F2AF3" w:rsidRPr="000450BF">
        <w:t xml:space="preserve">but dated </w:t>
      </w:r>
      <w:r w:rsidRPr="000450BF">
        <w:t xml:space="preserve">21 </w:t>
      </w:r>
      <w:r w:rsidR="002E6630" w:rsidRPr="000450BF">
        <w:t>May</w:t>
      </w:r>
      <w:r w:rsidRPr="000450BF">
        <w:t xml:space="preserve"> 2019, </w:t>
      </w:r>
      <w:r w:rsidR="007F2AF3" w:rsidRPr="000450BF">
        <w:t>without mentioning the members of its Bureau</w:t>
      </w:r>
      <w:r w:rsidR="009A744B">
        <w:t>.</w:t>
      </w:r>
      <w:r w:rsidRPr="000450BF">
        <w:rPr>
          <w:rStyle w:val="FootnoteReference"/>
        </w:rPr>
        <w:footnoteReference w:id="43"/>
      </w:r>
      <w:r w:rsidRPr="000450BF">
        <w:t xml:space="preserve"> </w:t>
      </w:r>
      <w:r w:rsidR="002E6630" w:rsidRPr="000450BF">
        <w:t>The</w:t>
      </w:r>
      <w:r w:rsidRPr="000450BF">
        <w:t xml:space="preserve"> </w:t>
      </w:r>
      <w:r w:rsidR="000B7EC6" w:rsidRPr="000450BF">
        <w:t>President</w:t>
      </w:r>
      <w:r w:rsidRPr="000450BF">
        <w:t xml:space="preserve"> </w:t>
      </w:r>
      <w:r w:rsidR="002E6630" w:rsidRPr="000450BF">
        <w:t xml:space="preserve">of </w:t>
      </w:r>
      <w:r w:rsidRPr="000450BF">
        <w:t xml:space="preserve">CNC, Nestor Bankumukunzi, </w:t>
      </w:r>
      <w:r w:rsidR="007F2AF3" w:rsidRPr="000450BF">
        <w:t>was the one who had b</w:t>
      </w:r>
      <w:r w:rsidR="002E6630" w:rsidRPr="000450BF">
        <w:t>een initially nominated by the H</w:t>
      </w:r>
      <w:r w:rsidR="007F2AF3" w:rsidRPr="000450BF">
        <w:t xml:space="preserve">ead of </w:t>
      </w:r>
      <w:r w:rsidR="0015425B">
        <w:t>S</w:t>
      </w:r>
      <w:r w:rsidR="007F2AF3" w:rsidRPr="000450BF">
        <w:t>tate</w:t>
      </w:r>
      <w:r w:rsidRPr="000450BF">
        <w:t xml:space="preserve">. </w:t>
      </w:r>
      <w:r w:rsidR="002E6630" w:rsidRPr="000450BF">
        <w:t>A</w:t>
      </w:r>
      <w:r w:rsidR="007F2AF3" w:rsidRPr="000450BF">
        <w:t xml:space="preserve">mong the new members of </w:t>
      </w:r>
      <w:r w:rsidRPr="000450BF">
        <w:t xml:space="preserve">CNC </w:t>
      </w:r>
      <w:r w:rsidR="007F2AF3" w:rsidRPr="000450BF">
        <w:t xml:space="preserve">was the spokesperson of the </w:t>
      </w:r>
      <w:r w:rsidR="002E6630" w:rsidRPr="000450BF">
        <w:t>Burundian</w:t>
      </w:r>
      <w:r w:rsidR="007F2AF3" w:rsidRPr="000450BF">
        <w:t xml:space="preserve"> police</w:t>
      </w:r>
      <w:r w:rsidRPr="000450BF">
        <w:t xml:space="preserve">, Pierre Nkurikiye. </w:t>
      </w:r>
      <w:r w:rsidR="007F2AF3" w:rsidRPr="000450BF">
        <w:t>In addition</w:t>
      </w:r>
      <w:r w:rsidR="002E6630" w:rsidRPr="000450BF">
        <w:t>,</w:t>
      </w:r>
      <w:r w:rsidR="007F2AF3" w:rsidRPr="000450BF">
        <w:t xml:space="preserve"> the budget of </w:t>
      </w:r>
      <w:r w:rsidRPr="000450BF">
        <w:t xml:space="preserve">CNC </w:t>
      </w:r>
      <w:r w:rsidR="002E6630" w:rsidRPr="000450BF">
        <w:t>is incorporated in the budget of the Office of the P</w:t>
      </w:r>
      <w:r w:rsidR="007F2AF3" w:rsidRPr="000450BF">
        <w:t>resident</w:t>
      </w:r>
      <w:r w:rsidR="002E6630" w:rsidRPr="000450BF">
        <w:t>. Therefore, th</w:t>
      </w:r>
      <w:r w:rsidR="0015425B">
        <w:t>is C</w:t>
      </w:r>
      <w:r w:rsidR="007F2AF3" w:rsidRPr="000450BF">
        <w:t>ouncil has no fin</w:t>
      </w:r>
      <w:r w:rsidR="002E6630" w:rsidRPr="000450BF">
        <w:t>ancial autonomy outside of the E</w:t>
      </w:r>
      <w:r w:rsidR="007F2AF3" w:rsidRPr="000450BF">
        <w:t>xecutive</w:t>
      </w:r>
      <w:r w:rsidRPr="000450BF">
        <w:t>.</w:t>
      </w:r>
    </w:p>
    <w:p w14:paraId="287C1F4A" w14:textId="320EDF60" w:rsidR="008E4E71" w:rsidRPr="000450BF" w:rsidRDefault="008E4E71" w:rsidP="008E4E71">
      <w:pPr>
        <w:pStyle w:val="SingleTxtG"/>
      </w:pPr>
      <w:r w:rsidRPr="000450BF">
        <w:t>229.</w:t>
      </w:r>
      <w:r w:rsidRPr="000450BF">
        <w:tab/>
      </w:r>
      <w:r w:rsidR="002E6630" w:rsidRPr="000450BF">
        <w:t>T</w:t>
      </w:r>
      <w:r w:rsidR="007F2AF3" w:rsidRPr="000450BF">
        <w:t xml:space="preserve">he suspicion and hostility of the </w:t>
      </w:r>
      <w:r w:rsidR="00097C6C" w:rsidRPr="000450BF">
        <w:t xml:space="preserve">representatives of the </w:t>
      </w:r>
      <w:r w:rsidR="007F5B89">
        <w:t>Government</w:t>
      </w:r>
      <w:r w:rsidR="007F2AF3" w:rsidRPr="000450BF">
        <w:t xml:space="preserve"> and the </w:t>
      </w:r>
      <w:r w:rsidR="00097C6C" w:rsidRPr="000450BF">
        <w:t xml:space="preserve">ruling </w:t>
      </w:r>
      <w:r w:rsidR="007F2AF3" w:rsidRPr="000450BF">
        <w:t xml:space="preserve">party </w:t>
      </w:r>
      <w:r w:rsidR="00097C6C" w:rsidRPr="000450BF">
        <w:t xml:space="preserve">CNDD-FDD </w:t>
      </w:r>
      <w:r w:rsidR="007F2AF3" w:rsidRPr="000450BF">
        <w:t>towards independent media is increasingly explicit</w:t>
      </w:r>
      <w:r w:rsidRPr="000450BF">
        <w:t xml:space="preserve">. </w:t>
      </w:r>
      <w:r w:rsidR="00097C6C" w:rsidRPr="000450BF">
        <w:t>For exa</w:t>
      </w:r>
      <w:r w:rsidRPr="000450BF">
        <w:t xml:space="preserve">mple, </w:t>
      </w:r>
      <w:r w:rsidR="00097C6C" w:rsidRPr="000450BF">
        <w:t>during a public meeting with registered political parties</w:t>
      </w:r>
      <w:r w:rsidR="004D3456" w:rsidRPr="000450BF">
        <w:t>,</w:t>
      </w:r>
      <w:r w:rsidR="00097C6C" w:rsidRPr="000450BF">
        <w:t xml:space="preserve"> civil society and religious confessions and in the presence of several journalists, Anastase Hicuburundi, </w:t>
      </w:r>
      <w:r w:rsidR="007F2AF3" w:rsidRPr="000450BF">
        <w:t xml:space="preserve">one of the members of the </w:t>
      </w:r>
      <w:r w:rsidR="00097C6C" w:rsidRPr="000450BF">
        <w:t xml:space="preserve">National Independent </w:t>
      </w:r>
      <w:r w:rsidR="007F2AF3" w:rsidRPr="000450BF">
        <w:t xml:space="preserve">Electoral Commission </w:t>
      </w:r>
      <w:r w:rsidRPr="000450BF">
        <w:t xml:space="preserve">(CENI), </w:t>
      </w:r>
      <w:r w:rsidR="007F2AF3" w:rsidRPr="000450BF">
        <w:t xml:space="preserve">a member of </w:t>
      </w:r>
      <w:r w:rsidRPr="000450BF">
        <w:t xml:space="preserve">CNDD-FDD, </w:t>
      </w:r>
      <w:r w:rsidR="007F2AF3" w:rsidRPr="000450BF">
        <w:t xml:space="preserve">who is the commissioner responsible for electoral operations and settlements, </w:t>
      </w:r>
      <w:r w:rsidR="00357341" w:rsidRPr="000450BF">
        <w:t xml:space="preserve">accused the media </w:t>
      </w:r>
      <w:r w:rsidR="007101CE">
        <w:t>“</w:t>
      </w:r>
      <w:r w:rsidR="00357341" w:rsidRPr="000450BF">
        <w:t xml:space="preserve">of having </w:t>
      </w:r>
      <w:r w:rsidR="00D6268A" w:rsidRPr="000450BF">
        <w:t>resumed their</w:t>
      </w:r>
      <w:r w:rsidR="00357341" w:rsidRPr="000450BF">
        <w:t xml:space="preserve"> </w:t>
      </w:r>
      <w:r w:rsidR="00D6268A" w:rsidRPr="000450BF">
        <w:t>de</w:t>
      </w:r>
      <w:r w:rsidR="00357341" w:rsidRPr="000450BF">
        <w:t xml:space="preserve">stabilisation efforts </w:t>
      </w:r>
      <w:r w:rsidR="00D6268A" w:rsidRPr="000450BF">
        <w:t>a year ahead of the general elections scheduled in 2020</w:t>
      </w:r>
      <w:r w:rsidR="007101CE">
        <w:t>”</w:t>
      </w:r>
      <w:r w:rsidRPr="000450BF">
        <w:t xml:space="preserve"> </w:t>
      </w:r>
      <w:r w:rsidR="00357341" w:rsidRPr="000450BF">
        <w:t>because they mentioned human rights violations and namely</w:t>
      </w:r>
      <w:r w:rsidR="00D6268A" w:rsidRPr="000450BF">
        <w:t>;</w:t>
      </w:r>
      <w:r w:rsidR="00357341" w:rsidRPr="000450BF">
        <w:t xml:space="preserve"> cases </w:t>
      </w:r>
      <w:r w:rsidR="00D6268A" w:rsidRPr="000450BF">
        <w:t>o</w:t>
      </w:r>
      <w:r w:rsidR="00357341" w:rsidRPr="000450BF">
        <w:t xml:space="preserve">f arrest and detention of </w:t>
      </w:r>
      <w:r w:rsidR="00D6268A" w:rsidRPr="000450BF">
        <w:t xml:space="preserve">CNL </w:t>
      </w:r>
      <w:r w:rsidR="00357341" w:rsidRPr="000450BF">
        <w:t>members</w:t>
      </w:r>
      <w:r w:rsidRPr="000450BF">
        <w:t xml:space="preserve">. </w:t>
      </w:r>
      <w:r w:rsidR="00D6268A" w:rsidRPr="000450BF">
        <w:t>H</w:t>
      </w:r>
      <w:r w:rsidR="00357341" w:rsidRPr="000450BF">
        <w:t xml:space="preserve">e even went as far as requesting </w:t>
      </w:r>
      <w:r w:rsidR="009A744B">
        <w:t>“</w:t>
      </w:r>
      <w:r w:rsidRPr="000450BF">
        <w:t xml:space="preserve">CNC </w:t>
      </w:r>
      <w:r w:rsidR="00357341" w:rsidRPr="000450BF">
        <w:t>to block the road</w:t>
      </w:r>
      <w:r w:rsidR="00D6268A" w:rsidRPr="000450BF">
        <w:t xml:space="preserve"> to these media who refused to tow the </w:t>
      </w:r>
      <w:r w:rsidR="007F5B89">
        <w:t>Government</w:t>
      </w:r>
      <w:r w:rsidR="00D6268A" w:rsidRPr="000450BF">
        <w:t xml:space="preserve"> line</w:t>
      </w:r>
      <w:r w:rsidR="009A744B">
        <w:t>”.</w:t>
      </w:r>
      <w:r w:rsidRPr="000450BF">
        <w:rPr>
          <w:rStyle w:val="FootnoteReference"/>
        </w:rPr>
        <w:footnoteReference w:id="44"/>
      </w:r>
    </w:p>
    <w:p w14:paraId="3CC93200" w14:textId="7B69F424" w:rsidR="008E4E71" w:rsidRPr="000450BF" w:rsidRDefault="008E4E71" w:rsidP="008E4E71">
      <w:pPr>
        <w:pStyle w:val="SingleTxtG"/>
      </w:pPr>
      <w:r w:rsidRPr="000450BF">
        <w:t>230.</w:t>
      </w:r>
      <w:r w:rsidRPr="000450BF">
        <w:tab/>
      </w:r>
      <w:r w:rsidR="00D6268A" w:rsidRPr="000450BF">
        <w:t>The</w:t>
      </w:r>
      <w:r w:rsidRPr="000450BF">
        <w:t xml:space="preserve"> restrictions </w:t>
      </w:r>
      <w:r w:rsidR="00357341" w:rsidRPr="000450BF">
        <w:t>to freedom of expression an</w:t>
      </w:r>
      <w:r w:rsidR="00D6268A" w:rsidRPr="000450BF">
        <w:t>d</w:t>
      </w:r>
      <w:r w:rsidR="00357341" w:rsidRPr="000450BF">
        <w:t xml:space="preserve"> information also impact statistics and data presented by international organi</w:t>
      </w:r>
      <w:r w:rsidR="00D6268A" w:rsidRPr="000450BF">
        <w:t>s</w:t>
      </w:r>
      <w:r w:rsidR="00357341" w:rsidRPr="000450BF">
        <w:t>ation</w:t>
      </w:r>
      <w:r w:rsidR="00D6268A" w:rsidRPr="000450BF">
        <w:t>s</w:t>
      </w:r>
      <w:r w:rsidR="00357341" w:rsidRPr="000450BF">
        <w:t xml:space="preserve"> which are rejected by authorities because they contradict the official </w:t>
      </w:r>
      <w:r w:rsidR="00D6268A" w:rsidRPr="000450BF">
        <w:t>position</w:t>
      </w:r>
      <w:r w:rsidR="00357341" w:rsidRPr="000450BF">
        <w:t xml:space="preserve"> on economic development or peace and security throughout the country</w:t>
      </w:r>
      <w:r w:rsidR="009A744B">
        <w:t>.</w:t>
      </w:r>
      <w:r w:rsidRPr="000450BF">
        <w:rPr>
          <w:rStyle w:val="FootnoteReference"/>
        </w:rPr>
        <w:footnoteReference w:id="45"/>
      </w:r>
      <w:r w:rsidRPr="000450BF">
        <w:t xml:space="preserve"> </w:t>
      </w:r>
      <w:r w:rsidR="00D6268A" w:rsidRPr="000450BF">
        <w:t>For exa</w:t>
      </w:r>
      <w:r w:rsidRPr="000450BF">
        <w:t xml:space="preserve">mple, </w:t>
      </w:r>
      <w:r w:rsidR="008458F3" w:rsidRPr="000450BF">
        <w:t xml:space="preserve">in February 2019, </w:t>
      </w:r>
      <w:r w:rsidR="00D6268A" w:rsidRPr="000450BF">
        <w:t xml:space="preserve">the </w:t>
      </w:r>
      <w:r w:rsidRPr="000450BF">
        <w:t xml:space="preserve">organisation PARCEM </w:t>
      </w:r>
      <w:r w:rsidR="00357341" w:rsidRPr="000450BF">
        <w:t xml:space="preserve">launched a campaign </w:t>
      </w:r>
      <w:r w:rsidRPr="000450BF">
        <w:rPr>
          <w:i/>
        </w:rPr>
        <w:t>Ukuri ku biduhanze</w:t>
      </w:r>
      <w:r w:rsidRPr="000450BF">
        <w:t xml:space="preserve"> (</w:t>
      </w:r>
      <w:r w:rsidR="00357341" w:rsidRPr="000450BF">
        <w:t>truth on the challenges that haunt the country</w:t>
      </w:r>
      <w:r w:rsidRPr="000450BF">
        <w:t xml:space="preserve">) </w:t>
      </w:r>
      <w:r w:rsidR="00357341" w:rsidRPr="000450BF">
        <w:t xml:space="preserve">in order to identify the difficulties that Burundi faces in terms of </w:t>
      </w:r>
      <w:r w:rsidRPr="000450BF">
        <w:t xml:space="preserve">malnutrition, </w:t>
      </w:r>
      <w:r w:rsidR="00357341" w:rsidRPr="000450BF">
        <w:t>poverty</w:t>
      </w:r>
      <w:r w:rsidR="008458F3" w:rsidRPr="000450BF">
        <w:t>,</w:t>
      </w:r>
      <w:r w:rsidR="00357341" w:rsidRPr="000450BF">
        <w:t xml:space="preserve"> epidemics or inflation with the objective of contributing </w:t>
      </w:r>
      <w:r w:rsidR="009A744B">
        <w:t>“</w:t>
      </w:r>
      <w:r w:rsidR="00357341" w:rsidRPr="000450BF">
        <w:t>to reduc</w:t>
      </w:r>
      <w:r w:rsidR="006E14CD" w:rsidRPr="000450BF">
        <w:t xml:space="preserve">ing </w:t>
      </w:r>
      <w:r w:rsidR="00357341" w:rsidRPr="000450BF">
        <w:t xml:space="preserve">the manipulative speeches of some political personalities </w:t>
      </w:r>
      <w:r w:rsidR="006E14CD" w:rsidRPr="000450BF">
        <w:t>who have run out of ideas</w:t>
      </w:r>
      <w:r w:rsidR="00357341" w:rsidRPr="000450BF">
        <w:t xml:space="preserve"> especially</w:t>
      </w:r>
      <w:r w:rsidR="006E14CD" w:rsidRPr="000450BF">
        <w:t xml:space="preserve"> as the 2020 elections approach</w:t>
      </w:r>
      <w:r w:rsidR="009A744B">
        <w:t>”.</w:t>
      </w:r>
      <w:r w:rsidRPr="000450BF">
        <w:rPr>
          <w:rStyle w:val="FootnoteReference"/>
        </w:rPr>
        <w:footnoteReference w:id="46"/>
      </w:r>
      <w:r w:rsidRPr="000450BF">
        <w:t xml:space="preserve"> </w:t>
      </w:r>
      <w:r w:rsidR="006E14CD" w:rsidRPr="000450BF">
        <w:t xml:space="preserve">The </w:t>
      </w:r>
      <w:r w:rsidRPr="000450BF">
        <w:t xml:space="preserve">organisation PARCEM </w:t>
      </w:r>
      <w:r w:rsidR="00357341" w:rsidRPr="000450BF">
        <w:t xml:space="preserve">used statistics from </w:t>
      </w:r>
      <w:r w:rsidR="006E14CD" w:rsidRPr="000450BF">
        <w:t>t</w:t>
      </w:r>
      <w:r w:rsidR="00357341" w:rsidRPr="000450BF">
        <w:t>he Institute of statistics and economic studies of Burundi and those of international organization such as The World Bank an</w:t>
      </w:r>
      <w:r w:rsidR="006E14CD" w:rsidRPr="000450BF">
        <w:t>d the World Health Organization</w:t>
      </w:r>
      <w:r w:rsidRPr="000450BF">
        <w:t xml:space="preserve">. </w:t>
      </w:r>
      <w:r w:rsidR="006E14CD" w:rsidRPr="000450BF">
        <w:t xml:space="preserve">However, the </w:t>
      </w:r>
      <w:r w:rsidR="007F5B89">
        <w:t>Government</w:t>
      </w:r>
      <w:r w:rsidR="006E14CD" w:rsidRPr="000450BF">
        <w:t xml:space="preserve"> </w:t>
      </w:r>
      <w:r w:rsidR="00357341" w:rsidRPr="000450BF">
        <w:t xml:space="preserve">accused </w:t>
      </w:r>
      <w:r w:rsidR="006E14CD" w:rsidRPr="000450BF">
        <w:t>PARCEM of</w:t>
      </w:r>
      <w:r w:rsidRPr="000450BF">
        <w:t xml:space="preserve"> </w:t>
      </w:r>
      <w:r w:rsidR="009A744B">
        <w:t>“</w:t>
      </w:r>
      <w:r w:rsidR="00357341" w:rsidRPr="000450BF">
        <w:t>tarn</w:t>
      </w:r>
      <w:r w:rsidR="006E14CD" w:rsidRPr="000450BF">
        <w:t>ishing the image of the country</w:t>
      </w:r>
      <w:r w:rsidR="009A744B">
        <w:t>”</w:t>
      </w:r>
      <w:r w:rsidRPr="000450BF">
        <w:t xml:space="preserve"> </w:t>
      </w:r>
      <w:r w:rsidR="00357341" w:rsidRPr="000450BF">
        <w:t xml:space="preserve">and of </w:t>
      </w:r>
      <w:r w:rsidR="009A744B">
        <w:t>“</w:t>
      </w:r>
      <w:r w:rsidR="00357341" w:rsidRPr="000450BF">
        <w:t>thre</w:t>
      </w:r>
      <w:r w:rsidR="006E14CD" w:rsidRPr="000450BF">
        <w:t>atening peace and stability</w:t>
      </w:r>
      <w:r w:rsidR="009A744B">
        <w:t>”</w:t>
      </w:r>
      <w:r w:rsidRPr="000450BF">
        <w:t xml:space="preserve"> </w:t>
      </w:r>
      <w:r w:rsidR="00357341" w:rsidRPr="000450BF">
        <w:t xml:space="preserve">with this campaign which presents data that contradict the official rhetoric and </w:t>
      </w:r>
      <w:r w:rsidR="00A930E0" w:rsidRPr="000450BF">
        <w:t xml:space="preserve">decided to suspend </w:t>
      </w:r>
      <w:r w:rsidR="009C7EE0" w:rsidRPr="000450BF">
        <w:t>this organisation indefinite</w:t>
      </w:r>
      <w:r w:rsidR="00A2732D" w:rsidRPr="000450BF">
        <w:t>ly</w:t>
      </w:r>
      <w:r w:rsidR="009A744B">
        <w:t>.</w:t>
      </w:r>
      <w:r w:rsidRPr="000450BF">
        <w:rPr>
          <w:rStyle w:val="FootnoteReference"/>
        </w:rPr>
        <w:footnoteReference w:id="47"/>
      </w:r>
    </w:p>
    <w:p w14:paraId="0D8FF4DB" w14:textId="2FD201D4" w:rsidR="008E4E71" w:rsidRPr="000450BF" w:rsidRDefault="008E4E71" w:rsidP="008E4E71">
      <w:pPr>
        <w:pStyle w:val="H56G"/>
      </w:pPr>
      <w:r w:rsidRPr="000450BF">
        <w:tab/>
      </w:r>
      <w:r w:rsidRPr="000450BF">
        <w:tab/>
        <w:t>(ii)</w:t>
      </w:r>
      <w:r w:rsidRPr="000450BF">
        <w:tab/>
      </w:r>
      <w:r w:rsidR="009C7EE0" w:rsidRPr="000450BF">
        <w:t>C</w:t>
      </w:r>
      <w:r w:rsidR="00A930E0" w:rsidRPr="000450BF">
        <w:t xml:space="preserve">ontrol </w:t>
      </w:r>
      <w:r w:rsidR="009C7EE0" w:rsidRPr="000450BF">
        <w:t xml:space="preserve">of </w:t>
      </w:r>
      <w:r w:rsidR="00A930E0" w:rsidRPr="000450BF">
        <w:t xml:space="preserve">and </w:t>
      </w:r>
      <w:r w:rsidR="009C7EE0" w:rsidRPr="000450BF">
        <w:t xml:space="preserve">restrictions to the work of journalists. </w:t>
      </w:r>
    </w:p>
    <w:p w14:paraId="66B13AA4" w14:textId="1D889D4F" w:rsidR="008E4E71" w:rsidRPr="000450BF" w:rsidRDefault="008E4E71" w:rsidP="008E4E71">
      <w:pPr>
        <w:pStyle w:val="SingleTxtG"/>
      </w:pPr>
      <w:r w:rsidRPr="000450BF">
        <w:t>231.</w:t>
      </w:r>
      <w:r w:rsidRPr="000450BF">
        <w:tab/>
      </w:r>
      <w:r w:rsidR="009C7EE0" w:rsidRPr="000450BF">
        <w:t>As</w:t>
      </w:r>
      <w:r w:rsidR="00A930E0" w:rsidRPr="000450BF">
        <w:t xml:space="preserve"> in previous years</w:t>
      </w:r>
      <w:r w:rsidR="009A744B">
        <w:t>,</w:t>
      </w:r>
      <w:r w:rsidRPr="000450BF">
        <w:rPr>
          <w:rStyle w:val="FootnoteReference"/>
        </w:rPr>
        <w:footnoteReference w:id="48"/>
      </w:r>
      <w:r w:rsidRPr="000450BF">
        <w:t xml:space="preserve"> </w:t>
      </w:r>
      <w:r w:rsidR="00A930E0" w:rsidRPr="000450BF">
        <w:t xml:space="preserve">independent journalists still present in Burundi continue to exercise their profession in a </w:t>
      </w:r>
      <w:proofErr w:type="gramStart"/>
      <w:r w:rsidR="00A930E0" w:rsidRPr="000450BF">
        <w:t>difficult</w:t>
      </w:r>
      <w:r w:rsidR="009C7EE0" w:rsidRPr="000450BF">
        <w:t> ;</w:t>
      </w:r>
      <w:proofErr w:type="gramEnd"/>
      <w:r w:rsidR="009C7EE0" w:rsidRPr="000450BF">
        <w:t xml:space="preserve"> and</w:t>
      </w:r>
      <w:r w:rsidR="00A930E0" w:rsidRPr="000450BF">
        <w:t xml:space="preserve"> </w:t>
      </w:r>
      <w:r w:rsidR="009C7EE0" w:rsidRPr="000450BF">
        <w:t>sometimes open</w:t>
      </w:r>
      <w:r w:rsidR="00A930E0" w:rsidRPr="000450BF">
        <w:t>ly hostile</w:t>
      </w:r>
      <w:r w:rsidR="009C7EE0" w:rsidRPr="000450BF">
        <w:t> ;</w:t>
      </w:r>
      <w:r w:rsidR="00A930E0" w:rsidRPr="000450BF">
        <w:t xml:space="preserve"> </w:t>
      </w:r>
      <w:r w:rsidR="009C7EE0" w:rsidRPr="000450BF">
        <w:t xml:space="preserve">environment </w:t>
      </w:r>
      <w:r w:rsidR="00A930E0" w:rsidRPr="000450BF">
        <w:t xml:space="preserve">and have been subject </w:t>
      </w:r>
      <w:r w:rsidR="009C7EE0" w:rsidRPr="000450BF">
        <w:t>to</w:t>
      </w:r>
      <w:r w:rsidR="00A930E0" w:rsidRPr="000450BF">
        <w:t xml:space="preserve"> pressure</w:t>
      </w:r>
      <w:r w:rsidR="009C7EE0" w:rsidRPr="000450BF">
        <w:t>, threats and obstacles aimed at stopping them from c</w:t>
      </w:r>
      <w:r w:rsidR="00A930E0" w:rsidRPr="000450BF">
        <w:t>arrying out the</w:t>
      </w:r>
      <w:r w:rsidR="009C7EE0" w:rsidRPr="000450BF">
        <w:t>ir</w:t>
      </w:r>
      <w:r w:rsidR="00A930E0" w:rsidRPr="000450BF">
        <w:t xml:space="preserve"> investigation work</w:t>
      </w:r>
      <w:r w:rsidR="009C7EE0" w:rsidRPr="000450BF">
        <w:t>;</w:t>
      </w:r>
      <w:r w:rsidR="00A930E0" w:rsidRPr="000450BF">
        <w:t xml:space="preserve"> namely on incidents that are political in nature</w:t>
      </w:r>
      <w:r w:rsidR="009C7EE0" w:rsidRPr="000450BF">
        <w:t>,</w:t>
      </w:r>
      <w:r w:rsidR="00A930E0" w:rsidRPr="000450BF">
        <w:t xml:space="preserve"> but also on </w:t>
      </w:r>
      <w:r w:rsidR="009C7EE0" w:rsidRPr="000450BF">
        <w:t xml:space="preserve">daily life </w:t>
      </w:r>
      <w:r w:rsidR="00A930E0" w:rsidRPr="000450BF">
        <w:t>situations and suspicions of corruption</w:t>
      </w:r>
      <w:r w:rsidR="009A744B">
        <w:t>.</w:t>
      </w:r>
      <w:r w:rsidRPr="000450BF">
        <w:rPr>
          <w:rStyle w:val="FootnoteReference"/>
        </w:rPr>
        <w:footnoteReference w:id="49"/>
      </w:r>
      <w:r w:rsidRPr="000450BF">
        <w:t xml:space="preserve"> </w:t>
      </w:r>
      <w:r w:rsidR="009C7EE0" w:rsidRPr="000450BF">
        <w:t>M</w:t>
      </w:r>
      <w:r w:rsidR="00A930E0" w:rsidRPr="000450BF">
        <w:t>any of these interferences were done by authorities</w:t>
      </w:r>
      <w:r w:rsidR="009C7EE0" w:rsidRPr="000450BF">
        <w:t>,</w:t>
      </w:r>
      <w:r w:rsidR="00A930E0" w:rsidRPr="000450BF">
        <w:t xml:space="preserve"> including at the local level</w:t>
      </w:r>
      <w:r w:rsidR="009C7EE0" w:rsidRPr="000450BF">
        <w:t>,</w:t>
      </w:r>
      <w:r w:rsidR="00A930E0" w:rsidRPr="000450BF">
        <w:t xml:space="preserve"> who did not hesitate to call security forces to arrest journalist</w:t>
      </w:r>
      <w:r w:rsidR="009C7EE0" w:rsidRPr="000450BF">
        <w:t>s</w:t>
      </w:r>
      <w:r w:rsidR="00A930E0" w:rsidRPr="000450BF">
        <w:t xml:space="preserve"> or have threatened to do so</w:t>
      </w:r>
      <w:r w:rsidRPr="000450BF">
        <w:t xml:space="preserve">. </w:t>
      </w:r>
      <w:r w:rsidR="009C7EE0" w:rsidRPr="000450BF">
        <w:t>Some</w:t>
      </w:r>
      <w:r w:rsidRPr="000450BF">
        <w:t xml:space="preserve"> </w:t>
      </w:r>
      <w:r w:rsidR="00750C2C" w:rsidRPr="000450BF">
        <w:t>journalists</w:t>
      </w:r>
      <w:r w:rsidRPr="000450BF">
        <w:t xml:space="preserve"> </w:t>
      </w:r>
      <w:r w:rsidR="00525BC2" w:rsidRPr="000450BF">
        <w:t>opted</w:t>
      </w:r>
      <w:r w:rsidR="00A930E0" w:rsidRPr="000450BF">
        <w:t xml:space="preserve"> to abandon investigations judged as too </w:t>
      </w:r>
      <w:r w:rsidR="00F32465">
        <w:t>sensitive</w:t>
      </w:r>
      <w:r w:rsidR="00750C2C" w:rsidRPr="000450BF">
        <w:t>;</w:t>
      </w:r>
      <w:r w:rsidR="00A930E0" w:rsidRPr="000450BF">
        <w:t xml:space="preserve"> for fear of what would happen to them</w:t>
      </w:r>
      <w:r w:rsidR="009A744B">
        <w:t>.</w:t>
      </w:r>
      <w:r w:rsidRPr="000450BF">
        <w:rPr>
          <w:rStyle w:val="FootnoteReference"/>
        </w:rPr>
        <w:footnoteReference w:id="50"/>
      </w:r>
    </w:p>
    <w:p w14:paraId="3823918D" w14:textId="4C4282AC" w:rsidR="008E4E71" w:rsidRPr="000450BF" w:rsidRDefault="008E4E71" w:rsidP="008E4E71">
      <w:pPr>
        <w:pStyle w:val="SingleTxtG"/>
      </w:pPr>
      <w:r w:rsidRPr="000450BF">
        <w:t>232.</w:t>
      </w:r>
      <w:r w:rsidRPr="000450BF">
        <w:tab/>
      </w:r>
      <w:r w:rsidR="00525BC2" w:rsidRPr="000450BF">
        <w:t xml:space="preserve">In </w:t>
      </w:r>
      <w:r w:rsidR="00A930E0" w:rsidRPr="000450BF">
        <w:t>practice</w:t>
      </w:r>
      <w:r w:rsidRPr="000450BF">
        <w:t xml:space="preserve">, </w:t>
      </w:r>
      <w:r w:rsidR="006C5DC7" w:rsidRPr="000450BF">
        <w:t>journalists</w:t>
      </w:r>
      <w:r w:rsidRPr="000450BF">
        <w:t xml:space="preserve"> </w:t>
      </w:r>
      <w:r w:rsidR="00A930E0" w:rsidRPr="000450BF">
        <w:t>have difficulties moving around the country</w:t>
      </w:r>
      <w:r w:rsidR="006C5DC7" w:rsidRPr="000450BF">
        <w:t>;</w:t>
      </w:r>
      <w:r w:rsidR="00A930E0" w:rsidRPr="000450BF">
        <w:t xml:space="preserve"> the</w:t>
      </w:r>
      <w:r w:rsidR="006C5DC7" w:rsidRPr="000450BF">
        <w:t>ir</w:t>
      </w:r>
      <w:r w:rsidR="00A930E0" w:rsidRPr="000450BF">
        <w:t xml:space="preserve"> movement</w:t>
      </w:r>
      <w:r w:rsidR="006C5DC7" w:rsidRPr="000450BF">
        <w:t>s</w:t>
      </w:r>
      <w:r w:rsidR="00A930E0" w:rsidRPr="000450BF">
        <w:t xml:space="preserve"> in provinces were </w:t>
      </w:r>
      <w:r w:rsidR="00750C2C" w:rsidRPr="000450BF">
        <w:t>monitor</w:t>
      </w:r>
      <w:r w:rsidR="00A930E0" w:rsidRPr="000450BF">
        <w:t>ed or controlled</w:t>
      </w:r>
      <w:r w:rsidRPr="000450BF">
        <w:t xml:space="preserve">. </w:t>
      </w:r>
      <w:r w:rsidR="006C5DC7" w:rsidRPr="000450BF">
        <w:t>S</w:t>
      </w:r>
      <w:r w:rsidR="00A930E0" w:rsidRPr="000450BF">
        <w:t xml:space="preserve">ome were </w:t>
      </w:r>
      <w:r w:rsidR="006C5DC7" w:rsidRPr="000450BF">
        <w:t xml:space="preserve">prevented from going to or prevented from carrying their </w:t>
      </w:r>
      <w:r w:rsidR="00A930E0" w:rsidRPr="000450BF">
        <w:t xml:space="preserve">investigative work </w:t>
      </w:r>
      <w:r w:rsidR="006C5DC7" w:rsidRPr="000450BF">
        <w:t>in</w:t>
      </w:r>
      <w:r w:rsidR="00A930E0" w:rsidRPr="000450BF">
        <w:t xml:space="preserve"> rural </w:t>
      </w:r>
      <w:r w:rsidRPr="000450BF">
        <w:t xml:space="preserve">communes </w:t>
      </w:r>
      <w:r w:rsidR="006C5DC7" w:rsidRPr="000450BF">
        <w:t xml:space="preserve">or </w:t>
      </w:r>
      <w:r w:rsidRPr="000450BF">
        <w:rPr>
          <w:i/>
        </w:rPr>
        <w:t>collines</w:t>
      </w:r>
      <w:r w:rsidRPr="000450BF">
        <w:t xml:space="preserve"> </w:t>
      </w:r>
      <w:r w:rsidR="006C5DC7" w:rsidRPr="000450BF">
        <w:t>by</w:t>
      </w:r>
      <w:r w:rsidR="00A930E0" w:rsidRPr="000450BF">
        <w:t xml:space="preserve"> local administrative authorities</w:t>
      </w:r>
      <w:r w:rsidR="006C5DC7" w:rsidRPr="000450BF">
        <w:t xml:space="preserve">. Others </w:t>
      </w:r>
      <w:r w:rsidR="00A930E0" w:rsidRPr="000450BF">
        <w:t xml:space="preserve">had to ask permission </w:t>
      </w:r>
      <w:r w:rsidR="006C5DC7" w:rsidRPr="000450BF">
        <w:t>from</w:t>
      </w:r>
      <w:r w:rsidR="00A930E0" w:rsidRPr="000450BF">
        <w:t xml:space="preserve"> the </w:t>
      </w:r>
      <w:r w:rsidR="00F32465">
        <w:t>provincial G</w:t>
      </w:r>
      <w:r w:rsidR="00A930E0" w:rsidRPr="000450BF">
        <w:t xml:space="preserve">overnor in order to be able to go to </w:t>
      </w:r>
      <w:r w:rsidR="00A97E7B" w:rsidRPr="000450BF">
        <w:t>a given</w:t>
      </w:r>
      <w:r w:rsidR="006C5DC7" w:rsidRPr="000450BF">
        <w:t xml:space="preserve"> location</w:t>
      </w:r>
      <w:r w:rsidR="009A744B">
        <w:t>.</w:t>
      </w:r>
      <w:r w:rsidRPr="000450BF">
        <w:rPr>
          <w:rStyle w:val="FootnoteReference"/>
        </w:rPr>
        <w:footnoteReference w:id="51"/>
      </w:r>
      <w:r w:rsidRPr="000450BF">
        <w:t xml:space="preserve"> </w:t>
      </w:r>
      <w:r w:rsidR="006C5DC7" w:rsidRPr="000450BF">
        <w:t>These</w:t>
      </w:r>
      <w:r w:rsidR="00A930E0" w:rsidRPr="000450BF">
        <w:t xml:space="preserve"> obstacles </w:t>
      </w:r>
      <w:r w:rsidR="006C5DC7" w:rsidRPr="000450BF">
        <w:t>are</w:t>
      </w:r>
      <w:r w:rsidR="00A930E0" w:rsidRPr="000450BF">
        <w:t xml:space="preserve"> direct violations of the right to the freedom of movement</w:t>
      </w:r>
      <w:r w:rsidRPr="000450BF">
        <w:rPr>
          <w:rStyle w:val="FootnoteReference"/>
        </w:rPr>
        <w:footnoteReference w:id="52"/>
      </w:r>
      <w:r w:rsidRPr="000450BF">
        <w:t xml:space="preserve"> </w:t>
      </w:r>
      <w:r w:rsidR="00A930E0" w:rsidRPr="000450BF">
        <w:t>and to the principle of</w:t>
      </w:r>
      <w:r w:rsidR="009A744B">
        <w:t xml:space="preserve"> “</w:t>
      </w:r>
      <w:r w:rsidR="006C5DC7" w:rsidRPr="000450BF">
        <w:t>free</w:t>
      </w:r>
      <w:r w:rsidRPr="000450BF">
        <w:t xml:space="preserve"> passage</w:t>
      </w:r>
      <w:r w:rsidR="009A744B">
        <w:t>”</w:t>
      </w:r>
      <w:r w:rsidRPr="000450BF">
        <w:t xml:space="preserve"> </w:t>
      </w:r>
      <w:r w:rsidR="00A930E0" w:rsidRPr="000450BF">
        <w:t>of journalists</w:t>
      </w:r>
      <w:r w:rsidR="00DD0182" w:rsidRPr="000450BF">
        <w:t>, essentia</w:t>
      </w:r>
      <w:r w:rsidRPr="000450BF">
        <w:t xml:space="preserve">l </w:t>
      </w:r>
      <w:r w:rsidR="00A930E0" w:rsidRPr="000450BF">
        <w:t xml:space="preserve">to guarantee the </w:t>
      </w:r>
      <w:r w:rsidR="00424D95">
        <w:t>f</w:t>
      </w:r>
      <w:r w:rsidR="00A930E0" w:rsidRPr="000450BF">
        <w:t xml:space="preserve">reedom of </w:t>
      </w:r>
      <w:r w:rsidR="00424D95">
        <w:t>i</w:t>
      </w:r>
      <w:r w:rsidR="00A930E0" w:rsidRPr="000450BF">
        <w:t>nformation</w:t>
      </w:r>
      <w:r w:rsidRPr="000450BF">
        <w:t>.</w:t>
      </w:r>
    </w:p>
    <w:p w14:paraId="47939E3F" w14:textId="006ECC61" w:rsidR="008E4E71" w:rsidRPr="000450BF" w:rsidRDefault="008E4E71" w:rsidP="008E4E71">
      <w:pPr>
        <w:pStyle w:val="SingleTxtG"/>
      </w:pPr>
      <w:r w:rsidRPr="000450BF">
        <w:t>233.</w:t>
      </w:r>
      <w:r w:rsidRPr="000450BF">
        <w:tab/>
      </w:r>
      <w:r w:rsidR="006C5DC7" w:rsidRPr="000450BF">
        <w:t>The independent journalists</w:t>
      </w:r>
      <w:r w:rsidRPr="000450BF">
        <w:t xml:space="preserve"> </w:t>
      </w:r>
      <w:r w:rsidR="00A930E0" w:rsidRPr="000450BF">
        <w:t xml:space="preserve">face a climate of mistrust and </w:t>
      </w:r>
      <w:r w:rsidR="006C5DC7" w:rsidRPr="000450BF">
        <w:t>open</w:t>
      </w:r>
      <w:r w:rsidR="00A930E0" w:rsidRPr="000450BF">
        <w:t xml:space="preserve"> hostility from the authorities</w:t>
      </w:r>
      <w:r w:rsidR="009A744B">
        <w:t>.</w:t>
      </w:r>
      <w:r w:rsidRPr="000450BF">
        <w:rPr>
          <w:rStyle w:val="FootnoteReference"/>
        </w:rPr>
        <w:footnoteReference w:id="53"/>
      </w:r>
      <w:r w:rsidRPr="000450BF">
        <w:t xml:space="preserve"> </w:t>
      </w:r>
      <w:r w:rsidR="006C5DC7" w:rsidRPr="000450BF">
        <w:t>F</w:t>
      </w:r>
      <w:r w:rsidR="00A930E0" w:rsidRPr="000450BF">
        <w:t>or example</w:t>
      </w:r>
      <w:r w:rsidR="006C5DC7" w:rsidRPr="000450BF">
        <w:t>, in May</w:t>
      </w:r>
      <w:r w:rsidRPr="000450BF">
        <w:t xml:space="preserve"> 2019, </w:t>
      </w:r>
      <w:r w:rsidR="00BD09F2" w:rsidRPr="000450BF">
        <w:t>a RTNB</w:t>
      </w:r>
      <w:r w:rsidR="00A930E0" w:rsidRPr="000450BF">
        <w:t xml:space="preserve"> journalist</w:t>
      </w:r>
      <w:r w:rsidR="00BD09F2" w:rsidRPr="000450BF">
        <w:t xml:space="preserve">, Claude Nshimirimana, </w:t>
      </w:r>
      <w:r w:rsidR="00A930E0" w:rsidRPr="000450BF">
        <w:t xml:space="preserve">was </w:t>
      </w:r>
      <w:r w:rsidR="00BD09F2" w:rsidRPr="000450BF">
        <w:t xml:space="preserve">arbitrarily </w:t>
      </w:r>
      <w:r w:rsidR="00A930E0" w:rsidRPr="000450BF">
        <w:t xml:space="preserve">arrested and temporarily detained </w:t>
      </w:r>
      <w:r w:rsidR="00BD09F2" w:rsidRPr="000450BF">
        <w:t>for</w:t>
      </w:r>
      <w:r w:rsidR="00A930E0" w:rsidRPr="000450BF">
        <w:t xml:space="preserve"> having been accused of participating in an </w:t>
      </w:r>
      <w:r w:rsidR="009A744B">
        <w:t>“</w:t>
      </w:r>
      <w:r w:rsidR="00BD09F2" w:rsidRPr="000450BF">
        <w:t>illegal meeting</w:t>
      </w:r>
      <w:r w:rsidR="009A744B">
        <w:t>”.</w:t>
      </w:r>
      <w:r w:rsidRPr="000450BF">
        <w:rPr>
          <w:rStyle w:val="FootnoteReference"/>
        </w:rPr>
        <w:footnoteReference w:id="54"/>
      </w:r>
      <w:r w:rsidRPr="000450BF">
        <w:t xml:space="preserve"> </w:t>
      </w:r>
      <w:r w:rsidR="00BD09F2" w:rsidRPr="000450BF">
        <w:t>S</w:t>
      </w:r>
      <w:r w:rsidR="000D360A" w:rsidRPr="000450BF">
        <w:t xml:space="preserve">ome journalists have been accused of communicating information </w:t>
      </w:r>
      <w:r w:rsidR="00BD09F2" w:rsidRPr="000450BF">
        <w:t xml:space="preserve">to </w:t>
      </w:r>
      <w:r w:rsidR="000D360A" w:rsidRPr="000450BF">
        <w:t xml:space="preserve">international or independent media including </w:t>
      </w:r>
      <w:r w:rsidR="00BD09F2" w:rsidRPr="000450BF">
        <w:t xml:space="preserve">the </w:t>
      </w:r>
      <w:r w:rsidRPr="000450BF">
        <w:t xml:space="preserve">BBC </w:t>
      </w:r>
      <w:r w:rsidR="00BD09F2" w:rsidRPr="000450BF">
        <w:t>and</w:t>
      </w:r>
      <w:r w:rsidRPr="000450BF">
        <w:t xml:space="preserve"> VOA, </w:t>
      </w:r>
      <w:r w:rsidR="000D360A" w:rsidRPr="000450BF">
        <w:t xml:space="preserve">which is prohibited by </w:t>
      </w:r>
      <w:r w:rsidRPr="000450BF">
        <w:t>CNC</w:t>
      </w:r>
      <w:r w:rsidR="009A744B">
        <w:t>.</w:t>
      </w:r>
      <w:r w:rsidRPr="000450BF">
        <w:rPr>
          <w:rStyle w:val="FootnoteReference"/>
        </w:rPr>
        <w:footnoteReference w:id="55"/>
      </w:r>
      <w:r w:rsidRPr="000450BF">
        <w:t xml:space="preserve"> </w:t>
      </w:r>
      <w:r w:rsidR="00BD09F2" w:rsidRPr="000450BF">
        <w:t>S</w:t>
      </w:r>
      <w:r w:rsidR="000D360A" w:rsidRPr="000450BF">
        <w:t xml:space="preserve">tatements from </w:t>
      </w:r>
      <w:r w:rsidR="00BD09F2" w:rsidRPr="000450BF">
        <w:t>a l</w:t>
      </w:r>
      <w:r w:rsidR="000D360A" w:rsidRPr="000450BF">
        <w:t>ocal administrative authorit</w:t>
      </w:r>
      <w:r w:rsidR="00BD09F2" w:rsidRPr="000450BF">
        <w:t>y</w:t>
      </w:r>
      <w:r w:rsidR="000D360A" w:rsidRPr="000450BF">
        <w:t xml:space="preserve"> reported by a direct witness perfectly reflect their attitude towards independent journalist</w:t>
      </w:r>
      <w:r w:rsidR="00BD09F2" w:rsidRPr="000450BF">
        <w:t>s</w:t>
      </w:r>
      <w:r w:rsidRPr="000450BF">
        <w:t>:</w:t>
      </w:r>
    </w:p>
    <w:p w14:paraId="052AB06E" w14:textId="78A5D5EE" w:rsidR="008E4E71" w:rsidRPr="000450BF" w:rsidRDefault="009A744B" w:rsidP="008E4E71">
      <w:pPr>
        <w:pStyle w:val="SingleTxtG"/>
        <w:ind w:left="1701"/>
      </w:pPr>
      <w:r>
        <w:t>“</w:t>
      </w:r>
      <w:r w:rsidR="00BD09F2" w:rsidRPr="000450BF">
        <w:rPr>
          <w:i/>
        </w:rPr>
        <w:t>These journalist</w:t>
      </w:r>
      <w:r w:rsidR="008E4E71" w:rsidRPr="000450BF">
        <w:rPr>
          <w:i/>
        </w:rPr>
        <w:t xml:space="preserve">s </w:t>
      </w:r>
      <w:r w:rsidR="00BD09F2" w:rsidRPr="000450BF">
        <w:rPr>
          <w:i/>
        </w:rPr>
        <w:t>are disruptors of public order</w:t>
      </w:r>
      <w:r>
        <w:rPr>
          <w:i/>
        </w:rPr>
        <w:t>”.</w:t>
      </w:r>
      <w:r w:rsidR="008E4E71" w:rsidRPr="000450BF">
        <w:rPr>
          <w:rStyle w:val="FootnoteReference"/>
        </w:rPr>
        <w:footnoteReference w:id="56"/>
      </w:r>
      <w:r w:rsidR="008E4E71" w:rsidRPr="000450BF">
        <w:t> </w:t>
      </w:r>
    </w:p>
    <w:p w14:paraId="51BF21C2" w14:textId="7377A688" w:rsidR="008E4E71" w:rsidRPr="000450BF" w:rsidRDefault="008E4E71" w:rsidP="008E4E71">
      <w:pPr>
        <w:pStyle w:val="SingleTxtG"/>
      </w:pPr>
      <w:r w:rsidRPr="000450BF">
        <w:t>234.</w:t>
      </w:r>
      <w:r w:rsidRPr="000450BF">
        <w:tab/>
      </w:r>
      <w:r w:rsidR="00BD09F2" w:rsidRPr="000450BF">
        <w:t>I</w:t>
      </w:r>
      <w:r w:rsidR="000D360A" w:rsidRPr="000450BF">
        <w:t>n such a context any contact with independent journalist</w:t>
      </w:r>
      <w:r w:rsidR="00BD09F2" w:rsidRPr="000450BF">
        <w:t>s</w:t>
      </w:r>
      <w:r w:rsidR="000D360A" w:rsidRPr="000450BF">
        <w:t xml:space="preserve"> can be a source of problem</w:t>
      </w:r>
      <w:r w:rsidR="00BD09F2" w:rsidRPr="000450BF">
        <w:t>s</w:t>
      </w:r>
      <w:r w:rsidR="000D360A" w:rsidRPr="000450BF">
        <w:t xml:space="preserve"> </w:t>
      </w:r>
      <w:r w:rsidR="00BD09F2" w:rsidRPr="000450BF">
        <w:t>for</w:t>
      </w:r>
      <w:r w:rsidR="000D360A" w:rsidRPr="000450BF">
        <w:t xml:space="preserve"> </w:t>
      </w:r>
      <w:r w:rsidR="00BD09F2" w:rsidRPr="000450BF">
        <w:t>anyone</w:t>
      </w:r>
      <w:r w:rsidR="009A744B">
        <w:t>.</w:t>
      </w:r>
      <w:r w:rsidRPr="000450BF">
        <w:rPr>
          <w:rStyle w:val="FootnoteReference"/>
        </w:rPr>
        <w:footnoteReference w:id="57"/>
      </w:r>
      <w:r w:rsidRPr="000450BF">
        <w:t xml:space="preserve"> </w:t>
      </w:r>
      <w:r w:rsidR="00BD09F2" w:rsidRPr="000450BF">
        <w:t xml:space="preserve">In </w:t>
      </w:r>
      <w:r w:rsidR="000D360A" w:rsidRPr="000450BF">
        <w:t>that regard</w:t>
      </w:r>
      <w:r w:rsidR="00BD09F2" w:rsidRPr="000450BF">
        <w:t>,</w:t>
      </w:r>
      <w:r w:rsidR="000D360A" w:rsidRPr="000450BF">
        <w:t xml:space="preserve"> the statement of the local administrative authority is eloquent</w:t>
      </w:r>
      <w:r w:rsidRPr="000450BF">
        <w:t>:</w:t>
      </w:r>
    </w:p>
    <w:p w14:paraId="2C7EF95A" w14:textId="75CED9F6" w:rsidR="008E4E71" w:rsidRPr="000450BF" w:rsidRDefault="009A744B" w:rsidP="008E4E71">
      <w:pPr>
        <w:pStyle w:val="SingleTxtG"/>
        <w:ind w:left="1701"/>
      </w:pPr>
      <w:r>
        <w:t>“</w:t>
      </w:r>
      <w:r w:rsidR="00BD09F2" w:rsidRPr="000450BF">
        <w:rPr>
          <w:i/>
        </w:rPr>
        <w:t>The</w:t>
      </w:r>
      <w:r w:rsidR="008E4E71" w:rsidRPr="000450BF">
        <w:rPr>
          <w:i/>
        </w:rPr>
        <w:t xml:space="preserve"> source […] </w:t>
      </w:r>
      <w:r w:rsidR="00BD09F2" w:rsidRPr="000450BF">
        <w:rPr>
          <w:i/>
        </w:rPr>
        <w:t>will be arrested for interrogation</w:t>
      </w:r>
      <w:r w:rsidR="008E4E71" w:rsidRPr="000450BF">
        <w:rPr>
          <w:i/>
        </w:rPr>
        <w:t>. [</w:t>
      </w:r>
      <w:r w:rsidR="00BD09F2" w:rsidRPr="000450BF">
        <w:rPr>
          <w:i/>
        </w:rPr>
        <w:t>They</w:t>
      </w:r>
      <w:r w:rsidR="008E4E71" w:rsidRPr="000450BF">
        <w:rPr>
          <w:i/>
        </w:rPr>
        <w:t xml:space="preserve">] </w:t>
      </w:r>
      <w:r w:rsidR="00BD09F2" w:rsidRPr="000450BF">
        <w:rPr>
          <w:i/>
        </w:rPr>
        <w:t xml:space="preserve">were accused of having spoken to the </w:t>
      </w:r>
      <w:r w:rsidR="008E4E71" w:rsidRPr="000450BF">
        <w:rPr>
          <w:i/>
        </w:rPr>
        <w:t>journalists</w:t>
      </w:r>
      <w:r>
        <w:t>”.</w:t>
      </w:r>
      <w:r w:rsidR="008E4E71" w:rsidRPr="000450BF">
        <w:rPr>
          <w:rStyle w:val="FootnoteReference"/>
        </w:rPr>
        <w:footnoteReference w:id="58"/>
      </w:r>
      <w:r w:rsidR="008E4E71" w:rsidRPr="000450BF">
        <w:t> </w:t>
      </w:r>
    </w:p>
    <w:p w14:paraId="1E30BE6D" w14:textId="548DAACA" w:rsidR="008E4E71" w:rsidRPr="000450BF" w:rsidRDefault="008E4E71" w:rsidP="008E4E71">
      <w:pPr>
        <w:pStyle w:val="SingleTxtG"/>
      </w:pPr>
      <w:r w:rsidRPr="000450BF">
        <w:t>235.</w:t>
      </w:r>
      <w:r w:rsidRPr="000450BF">
        <w:tab/>
      </w:r>
      <w:r w:rsidR="00BD09F2" w:rsidRPr="000450BF">
        <w:t>The</w:t>
      </w:r>
      <w:r w:rsidRPr="000450BF">
        <w:t xml:space="preserve"> situation </w:t>
      </w:r>
      <w:r w:rsidR="000D360A" w:rsidRPr="000450BF">
        <w:t>is such that</w:t>
      </w:r>
      <w:r w:rsidR="0079755F" w:rsidRPr="000450BF">
        <w:t>,</w:t>
      </w:r>
      <w:r w:rsidR="000D360A" w:rsidRPr="000450BF">
        <w:t xml:space="preserve"> </w:t>
      </w:r>
      <w:r w:rsidR="0079755F" w:rsidRPr="000450BF">
        <w:t xml:space="preserve">for fear of reprisal, </w:t>
      </w:r>
      <w:r w:rsidR="000D360A" w:rsidRPr="000450BF">
        <w:t xml:space="preserve">some journalists </w:t>
      </w:r>
      <w:r w:rsidR="00BD09F2" w:rsidRPr="000450BF">
        <w:t>exercise self-censorship</w:t>
      </w:r>
      <w:r w:rsidR="00750C2C" w:rsidRPr="000450BF">
        <w:t>, feel</w:t>
      </w:r>
      <w:r w:rsidR="000D360A" w:rsidRPr="000450BF">
        <w:t xml:space="preserve"> </w:t>
      </w:r>
      <w:r w:rsidR="00EF4C10" w:rsidRPr="000450BF">
        <w:t xml:space="preserve">compelled </w:t>
      </w:r>
      <w:r w:rsidR="000D360A" w:rsidRPr="000450BF">
        <w:t xml:space="preserve">to leave the country or </w:t>
      </w:r>
      <w:r w:rsidR="00BD09F2" w:rsidRPr="000450BF">
        <w:t xml:space="preserve">are </w:t>
      </w:r>
      <w:r w:rsidR="000D360A" w:rsidRPr="000450BF">
        <w:t>constrained to work anonymously for their protection</w:t>
      </w:r>
      <w:r w:rsidRPr="000450BF">
        <w:t xml:space="preserve">. </w:t>
      </w:r>
      <w:r w:rsidR="00EF4C10" w:rsidRPr="000450BF">
        <w:t>A</w:t>
      </w:r>
      <w:r w:rsidR="000D360A" w:rsidRPr="000450BF">
        <w:t xml:space="preserve"> witness explained</w:t>
      </w:r>
      <w:r w:rsidRPr="000450BF">
        <w:t>:</w:t>
      </w:r>
    </w:p>
    <w:p w14:paraId="4F060F13" w14:textId="076E5043" w:rsidR="008E4E71" w:rsidRPr="000450BF" w:rsidRDefault="009A744B" w:rsidP="008E4E71">
      <w:pPr>
        <w:pStyle w:val="SingleTxtG"/>
        <w:ind w:left="1701"/>
      </w:pPr>
      <w:r>
        <w:t>“</w:t>
      </w:r>
      <w:r w:rsidR="00EF4C10" w:rsidRPr="000450BF">
        <w:rPr>
          <w:i/>
        </w:rPr>
        <w:t xml:space="preserve">We found dead bodies that were tied up </w:t>
      </w:r>
      <w:r w:rsidR="008E4E71" w:rsidRPr="000450BF">
        <w:rPr>
          <w:i/>
        </w:rPr>
        <w:t>[…]. [</w:t>
      </w:r>
      <w:r w:rsidR="00EF4C10" w:rsidRPr="000450BF">
        <w:rPr>
          <w:i/>
        </w:rPr>
        <w:t>The journalist</w:t>
      </w:r>
      <w:r w:rsidR="008E4E71" w:rsidRPr="000450BF">
        <w:rPr>
          <w:i/>
        </w:rPr>
        <w:t xml:space="preserve">s] </w:t>
      </w:r>
      <w:r w:rsidR="00EF4C10" w:rsidRPr="000450BF">
        <w:rPr>
          <w:i/>
        </w:rPr>
        <w:t xml:space="preserve">did not dare to report it. Before </w:t>
      </w:r>
      <w:r w:rsidR="008E4E71" w:rsidRPr="000450BF">
        <w:rPr>
          <w:i/>
        </w:rPr>
        <w:t xml:space="preserve">2015, </w:t>
      </w:r>
      <w:r w:rsidR="00EF4C10" w:rsidRPr="000450BF">
        <w:rPr>
          <w:i/>
        </w:rPr>
        <w:t>this would have been frontpage news</w:t>
      </w:r>
      <w:r>
        <w:rPr>
          <w:i/>
        </w:rPr>
        <w:t>”.</w:t>
      </w:r>
      <w:r w:rsidR="008E4E71" w:rsidRPr="000450BF">
        <w:rPr>
          <w:rStyle w:val="FootnoteReference"/>
        </w:rPr>
        <w:footnoteReference w:id="59"/>
      </w:r>
    </w:p>
    <w:p w14:paraId="367D1D93" w14:textId="40924450" w:rsidR="008E4E71" w:rsidRPr="000450BF" w:rsidRDefault="008E4E71" w:rsidP="008E4E71">
      <w:pPr>
        <w:pStyle w:val="H56G"/>
      </w:pPr>
      <w:r w:rsidRPr="000450BF">
        <w:tab/>
      </w:r>
      <w:r w:rsidRPr="000450BF">
        <w:tab/>
        <w:t>(iii)</w:t>
      </w:r>
      <w:r w:rsidRPr="000450BF">
        <w:tab/>
      </w:r>
      <w:r w:rsidR="00EF4C10" w:rsidRPr="000450BF">
        <w:t>H</w:t>
      </w:r>
      <w:r w:rsidR="000D360A" w:rsidRPr="000450BF">
        <w:t xml:space="preserve">ate speech and incitement to violence </w:t>
      </w:r>
    </w:p>
    <w:p w14:paraId="78E469CA" w14:textId="706375B0" w:rsidR="008E4E71" w:rsidRPr="000450BF" w:rsidRDefault="008E4E71" w:rsidP="008E4E71">
      <w:pPr>
        <w:pStyle w:val="SingleTxtG"/>
      </w:pPr>
      <w:r w:rsidRPr="000450BF">
        <w:t>236.</w:t>
      </w:r>
      <w:r w:rsidRPr="000450BF">
        <w:tab/>
      </w:r>
      <w:r w:rsidR="00EF4C10" w:rsidRPr="000450BF">
        <w:t>The</w:t>
      </w:r>
      <w:r w:rsidR="000D360A" w:rsidRPr="000450BF">
        <w:t xml:space="preserve"> </w:t>
      </w:r>
      <w:r w:rsidR="007F5B89">
        <w:t>Government</w:t>
      </w:r>
      <w:r w:rsidR="000D360A" w:rsidRPr="000450BF">
        <w:t xml:space="preserve"> has equat</w:t>
      </w:r>
      <w:r w:rsidR="00EF4C10" w:rsidRPr="000450BF">
        <w:t>ed any statement from the media, NGOs and representatives of international organisations</w:t>
      </w:r>
      <w:r w:rsidRPr="000450BF">
        <w:t xml:space="preserve"> </w:t>
      </w:r>
      <w:r w:rsidR="000D360A" w:rsidRPr="000450BF">
        <w:t>which differs from its official rhetori</w:t>
      </w:r>
      <w:r w:rsidR="00EF4C10" w:rsidRPr="000450BF">
        <w:t>c</w:t>
      </w:r>
      <w:r w:rsidR="000D360A" w:rsidRPr="000450BF">
        <w:t xml:space="preserve"> on the political security and soci</w:t>
      </w:r>
      <w:r w:rsidR="00EF4C10" w:rsidRPr="000450BF">
        <w:t>o-</w:t>
      </w:r>
      <w:r w:rsidR="000D360A" w:rsidRPr="000450BF">
        <w:t xml:space="preserve">economic situation of the country </w:t>
      </w:r>
      <w:r w:rsidR="00EF4C10" w:rsidRPr="000450BF">
        <w:t xml:space="preserve">to </w:t>
      </w:r>
      <w:r w:rsidR="000D360A" w:rsidRPr="000450BF">
        <w:t>a</w:t>
      </w:r>
      <w:r w:rsidR="00D1090E" w:rsidRPr="000450BF">
        <w:t xml:space="preserve"> destabilisation </w:t>
      </w:r>
      <w:r w:rsidR="000D360A" w:rsidRPr="000450BF">
        <w:t>attempt or an attack on its national sovereignty and it generally reacted quickly in order to condemn or denounce the authors</w:t>
      </w:r>
      <w:r w:rsidR="00642B9C">
        <w:t>.</w:t>
      </w:r>
      <w:r w:rsidRPr="000450BF">
        <w:rPr>
          <w:rStyle w:val="FootnoteReference"/>
        </w:rPr>
        <w:footnoteReference w:id="60"/>
      </w:r>
      <w:r w:rsidRPr="000450BF">
        <w:t xml:space="preserve"> </w:t>
      </w:r>
      <w:r w:rsidR="000D360A" w:rsidRPr="000450BF">
        <w:t>Conversely</w:t>
      </w:r>
      <w:r w:rsidR="00EF4C10" w:rsidRPr="000450BF">
        <w:t xml:space="preserve"> and</w:t>
      </w:r>
      <w:r w:rsidR="000D360A" w:rsidRPr="000450BF">
        <w:t xml:space="preserve"> as per the </w:t>
      </w:r>
      <w:r w:rsidR="00750C2C" w:rsidRPr="000450BF">
        <w:t>past;</w:t>
      </w:r>
      <w:r w:rsidR="00EF4C10" w:rsidRPr="000450BF">
        <w:t xml:space="preserve"> </w:t>
      </w:r>
      <w:r w:rsidR="000D360A" w:rsidRPr="000450BF">
        <w:t>statements</w:t>
      </w:r>
      <w:r w:rsidR="00EF4C10" w:rsidRPr="000450BF">
        <w:t>,</w:t>
      </w:r>
      <w:r w:rsidR="000D360A" w:rsidRPr="000450BF">
        <w:t xml:space="preserve"> songs and </w:t>
      </w:r>
      <w:r w:rsidR="00EF4C10" w:rsidRPr="000450BF">
        <w:t xml:space="preserve">public </w:t>
      </w:r>
      <w:r w:rsidR="000D360A" w:rsidRPr="000450BF">
        <w:t xml:space="preserve">declarations which </w:t>
      </w:r>
      <w:r w:rsidR="00EF4C10" w:rsidRPr="000450BF">
        <w:t>incite</w:t>
      </w:r>
      <w:r w:rsidR="000D360A" w:rsidRPr="000450BF">
        <w:t xml:space="preserve"> intolerance and violence against any political formation other than </w:t>
      </w:r>
      <w:r w:rsidRPr="000450BF">
        <w:t>CNDD-FDD</w:t>
      </w:r>
      <w:r w:rsidR="00A65DE6" w:rsidRPr="000450BF">
        <w:t>;</w:t>
      </w:r>
      <w:r w:rsidRPr="000450BF">
        <w:t xml:space="preserve"> </w:t>
      </w:r>
      <w:r w:rsidR="000D360A" w:rsidRPr="000450BF">
        <w:t xml:space="preserve">which </w:t>
      </w:r>
      <w:r w:rsidR="00EF4C10" w:rsidRPr="000450BF">
        <w:t xml:space="preserve">were recently proffered; notably </w:t>
      </w:r>
      <w:r w:rsidR="000D360A" w:rsidRPr="000450BF">
        <w:t xml:space="preserve">by local authorities and </w:t>
      </w:r>
      <w:r w:rsidRPr="000450BF">
        <w:t xml:space="preserve">Imbonerakure, </w:t>
      </w:r>
      <w:r w:rsidR="000D360A" w:rsidRPr="000450BF">
        <w:t xml:space="preserve">did not </w:t>
      </w:r>
      <w:r w:rsidR="00EF4C10" w:rsidRPr="000450BF">
        <w:t>elicit</w:t>
      </w:r>
      <w:r w:rsidR="000D360A" w:rsidRPr="000450BF">
        <w:t xml:space="preserve"> any reaction from the authorities</w:t>
      </w:r>
      <w:r w:rsidR="00642B9C">
        <w:t>.</w:t>
      </w:r>
      <w:r w:rsidRPr="000450BF">
        <w:rPr>
          <w:rStyle w:val="FootnoteReference"/>
        </w:rPr>
        <w:footnoteReference w:id="61"/>
      </w:r>
      <w:r w:rsidRPr="000450BF">
        <w:t xml:space="preserve"> </w:t>
      </w:r>
    </w:p>
    <w:p w14:paraId="6DBB5EF8" w14:textId="6EDCC093" w:rsidR="008E4E71" w:rsidRPr="000450BF" w:rsidRDefault="008E4E71" w:rsidP="008E4E71">
      <w:pPr>
        <w:pStyle w:val="SingleTxtG"/>
      </w:pPr>
      <w:r w:rsidRPr="000450BF">
        <w:t>237.</w:t>
      </w:r>
      <w:r w:rsidRPr="000450BF">
        <w:tab/>
      </w:r>
      <w:r w:rsidR="00EF4C10" w:rsidRPr="000450BF">
        <w:t>For example</w:t>
      </w:r>
      <w:r w:rsidRPr="000450BF">
        <w:t xml:space="preserve">, </w:t>
      </w:r>
      <w:r w:rsidR="00EF4C10" w:rsidRPr="000450BF">
        <w:t>on</w:t>
      </w:r>
      <w:r w:rsidRPr="000450BF">
        <w:t xml:space="preserve"> 17 </w:t>
      </w:r>
      <w:r w:rsidR="00EF4C10" w:rsidRPr="000450BF">
        <w:t>April</w:t>
      </w:r>
      <w:r w:rsidRPr="000450BF">
        <w:t xml:space="preserve"> 2019</w:t>
      </w:r>
      <w:r w:rsidR="00D1090E" w:rsidRPr="000450BF">
        <w:t>,</w:t>
      </w:r>
      <w:r w:rsidR="00EF4C10" w:rsidRPr="000450BF">
        <w:t xml:space="preserve"> </w:t>
      </w:r>
      <w:r w:rsidR="00D1090E" w:rsidRPr="000450BF">
        <w:t xml:space="preserve">during a public meeting in Gasorwe commune led by the provincial </w:t>
      </w:r>
      <w:r w:rsidR="00F32465">
        <w:t>G</w:t>
      </w:r>
      <w:r w:rsidR="00D1090E" w:rsidRPr="000450BF">
        <w:t>overnor</w:t>
      </w:r>
      <w:r w:rsidRPr="000450BF">
        <w:t xml:space="preserve">, </w:t>
      </w:r>
      <w:r w:rsidR="00EF4C10" w:rsidRPr="000450BF">
        <w:t>a</w:t>
      </w:r>
      <w:r w:rsidR="000D360A" w:rsidRPr="000450BF">
        <w:t xml:space="preserve"> police commissioner in </w:t>
      </w:r>
      <w:r w:rsidRPr="000450BF">
        <w:t xml:space="preserve">Muyinga </w:t>
      </w:r>
      <w:r w:rsidR="000D360A" w:rsidRPr="000450BF">
        <w:t xml:space="preserve">province threatened to eliminate </w:t>
      </w:r>
      <w:r w:rsidR="00D1090E" w:rsidRPr="000450BF">
        <w:t xml:space="preserve">CNL </w:t>
      </w:r>
      <w:r w:rsidR="000D360A" w:rsidRPr="000450BF">
        <w:t>political opponents</w:t>
      </w:r>
      <w:r w:rsidRPr="000450BF">
        <w:t xml:space="preserve">, </w:t>
      </w:r>
      <w:r w:rsidR="000D360A" w:rsidRPr="000450BF">
        <w:t>as well as members of their family if they h</w:t>
      </w:r>
      <w:r w:rsidR="00D1090E" w:rsidRPr="000450BF">
        <w:t>e</w:t>
      </w:r>
      <w:r w:rsidR="000D360A" w:rsidRPr="000450BF">
        <w:t>ld cland</w:t>
      </w:r>
      <w:r w:rsidR="00D1090E" w:rsidRPr="000450BF">
        <w:t>estine</w:t>
      </w:r>
      <w:r w:rsidR="000D360A" w:rsidRPr="000450BF">
        <w:t xml:space="preserve"> meetings in their home</w:t>
      </w:r>
      <w:r w:rsidR="00D1090E" w:rsidRPr="000450BF">
        <w:t>s</w:t>
      </w:r>
      <w:r w:rsidR="00642B9C">
        <w:t>:</w:t>
      </w:r>
      <w:r w:rsidRPr="000450BF">
        <w:rPr>
          <w:rStyle w:val="FootnoteReference"/>
        </w:rPr>
        <w:footnoteReference w:id="62"/>
      </w:r>
    </w:p>
    <w:p w14:paraId="48374236" w14:textId="568D133F" w:rsidR="008E4E71" w:rsidRPr="000450BF" w:rsidRDefault="00642B9C" w:rsidP="008E4E71">
      <w:pPr>
        <w:pStyle w:val="SingleTxtG"/>
        <w:ind w:left="1701"/>
      </w:pPr>
      <w:bookmarkStart w:id="5" w:name="_Hlk25502575"/>
      <w:r>
        <w:t>“</w:t>
      </w:r>
      <w:r w:rsidR="00AE42D3" w:rsidRPr="000450BF">
        <w:rPr>
          <w:i/>
        </w:rPr>
        <w:t xml:space="preserve">Your </w:t>
      </w:r>
      <w:r>
        <w:rPr>
          <w:i/>
        </w:rPr>
        <w:t>E</w:t>
      </w:r>
      <w:r w:rsidR="00AE42D3" w:rsidRPr="000450BF">
        <w:rPr>
          <w:i/>
        </w:rPr>
        <w:t>xcellency</w:t>
      </w:r>
      <w:bookmarkEnd w:id="5"/>
      <w:r w:rsidR="008E4E71" w:rsidRPr="000450BF">
        <w:rPr>
          <w:i/>
        </w:rPr>
        <w:t xml:space="preserve">, </w:t>
      </w:r>
      <w:r w:rsidR="00AE42D3" w:rsidRPr="000450BF">
        <w:rPr>
          <w:i/>
        </w:rPr>
        <w:t>Mr.</w:t>
      </w:r>
      <w:r w:rsidR="00750C2C" w:rsidRPr="000450BF">
        <w:rPr>
          <w:i/>
        </w:rPr>
        <w:t xml:space="preserve"> </w:t>
      </w:r>
      <w:r w:rsidR="008E4E71" w:rsidRPr="000450BF">
        <w:rPr>
          <w:i/>
        </w:rPr>
        <w:t>Govern</w:t>
      </w:r>
      <w:r w:rsidR="00750C2C" w:rsidRPr="000450BF">
        <w:rPr>
          <w:i/>
        </w:rPr>
        <w:t>o</w:t>
      </w:r>
      <w:r w:rsidR="008E4E71" w:rsidRPr="000450BF">
        <w:rPr>
          <w:i/>
        </w:rPr>
        <w:t xml:space="preserve">r, </w:t>
      </w:r>
      <w:r w:rsidR="00D1090E" w:rsidRPr="000450BF">
        <w:rPr>
          <w:i/>
        </w:rPr>
        <w:t>dear fello</w:t>
      </w:r>
      <w:r w:rsidR="00750C2C" w:rsidRPr="000450BF">
        <w:rPr>
          <w:i/>
        </w:rPr>
        <w:t>w</w:t>
      </w:r>
      <w:r w:rsidR="00D1090E" w:rsidRPr="000450BF">
        <w:rPr>
          <w:i/>
        </w:rPr>
        <w:t xml:space="preserve"> citizens, I am now talking to </w:t>
      </w:r>
      <w:r w:rsidR="00636526" w:rsidRPr="000450BF">
        <w:rPr>
          <w:i/>
        </w:rPr>
        <w:t>p</w:t>
      </w:r>
      <w:r w:rsidR="00D1090E" w:rsidRPr="000450BF">
        <w:rPr>
          <w:i/>
        </w:rPr>
        <w:t xml:space="preserve">eople who organise nocturnal meetings. </w:t>
      </w:r>
      <w:r w:rsidR="001574AA" w:rsidRPr="000450BF">
        <w:rPr>
          <w:i/>
        </w:rPr>
        <w:t>Whomever organises meetings at night. If you make the mistake of organising this meeting at your house and we get to know, you will be putting your family in danger. In a</w:t>
      </w:r>
      <w:r w:rsidR="00CB6991" w:rsidRPr="000450BF">
        <w:rPr>
          <w:i/>
        </w:rPr>
        <w:t>ddi</w:t>
      </w:r>
      <w:r w:rsidR="001574AA" w:rsidRPr="000450BF">
        <w:rPr>
          <w:i/>
        </w:rPr>
        <w:t>tion, everyone knows that if you</w:t>
      </w:r>
      <w:r w:rsidR="00CB6991" w:rsidRPr="000450BF">
        <w:rPr>
          <w:i/>
        </w:rPr>
        <w:t xml:space="preserve"> </w:t>
      </w:r>
      <w:r w:rsidR="001574AA" w:rsidRPr="000450BF">
        <w:rPr>
          <w:i/>
        </w:rPr>
        <w:t>lock yourself in your house at</w:t>
      </w:r>
      <w:r w:rsidR="008E4E71" w:rsidRPr="000450BF">
        <w:rPr>
          <w:i/>
        </w:rPr>
        <w:t xml:space="preserve"> 23</w:t>
      </w:r>
      <w:r w:rsidR="001574AA" w:rsidRPr="000450BF">
        <w:rPr>
          <w:i/>
        </w:rPr>
        <w:t xml:space="preserve">:00 to hold clandestine meetings, me as the provincial commissioner, I no longer wish to be bothered. If you want to disrupt security </w:t>
      </w:r>
      <w:r w:rsidR="008E4E71" w:rsidRPr="000450BF">
        <w:rPr>
          <w:i/>
        </w:rPr>
        <w:t xml:space="preserve">[…] </w:t>
      </w:r>
      <w:r w:rsidR="001574AA" w:rsidRPr="000450BF">
        <w:rPr>
          <w:i/>
        </w:rPr>
        <w:t xml:space="preserve">I have with me what is required to solve that problem. I throw in two and I go on my way. Two </w:t>
      </w:r>
      <w:r w:rsidR="008E4E71" w:rsidRPr="000450BF">
        <w:rPr>
          <w:i/>
        </w:rPr>
        <w:t xml:space="preserve">[grenades] </w:t>
      </w:r>
      <w:r w:rsidR="001574AA" w:rsidRPr="000450BF">
        <w:rPr>
          <w:i/>
        </w:rPr>
        <w:t xml:space="preserve">are enough. In fact, even two are too much. Do not expect that the provincial </w:t>
      </w:r>
      <w:r w:rsidR="005379F4" w:rsidRPr="000450BF">
        <w:rPr>
          <w:i/>
        </w:rPr>
        <w:t>commissioner</w:t>
      </w:r>
      <w:r w:rsidR="001574AA" w:rsidRPr="000450BF">
        <w:rPr>
          <w:i/>
        </w:rPr>
        <w:t xml:space="preserve"> sends in a police officer </w:t>
      </w:r>
      <w:r w:rsidR="008E4E71" w:rsidRPr="000450BF">
        <w:rPr>
          <w:i/>
        </w:rPr>
        <w:t>[</w:t>
      </w:r>
      <w:r w:rsidR="001574AA" w:rsidRPr="000450BF">
        <w:rPr>
          <w:i/>
        </w:rPr>
        <w:t>to make an arrest</w:t>
      </w:r>
      <w:r w:rsidR="008E4E71" w:rsidRPr="000450BF">
        <w:rPr>
          <w:i/>
        </w:rPr>
        <w:t xml:space="preserve">] </w:t>
      </w:r>
      <w:r w:rsidR="001574AA" w:rsidRPr="000450BF">
        <w:rPr>
          <w:i/>
        </w:rPr>
        <w:t>during a clandestine meeting in a house. You spend a night there and we arrest you in the morning</w:t>
      </w:r>
      <w:r w:rsidR="008E4E71" w:rsidRPr="000450BF">
        <w:rPr>
          <w:i/>
        </w:rPr>
        <w:t xml:space="preserve">? </w:t>
      </w:r>
      <w:r w:rsidR="001574AA" w:rsidRPr="000450BF">
        <w:rPr>
          <w:i/>
        </w:rPr>
        <w:t xml:space="preserve">That is in the past. </w:t>
      </w:r>
      <w:r w:rsidR="00AE42D3" w:rsidRPr="000450BF">
        <w:rPr>
          <w:i/>
        </w:rPr>
        <w:t xml:space="preserve">If you want to disrupt security, we will settle it with you on the spot. Whether you are with your children, your wife; they will all perish </w:t>
      </w:r>
      <w:r w:rsidR="008E4E71" w:rsidRPr="000450BF">
        <w:rPr>
          <w:i/>
        </w:rPr>
        <w:t>[</w:t>
      </w:r>
      <w:r w:rsidR="00AE42D3" w:rsidRPr="000450BF">
        <w:rPr>
          <w:i/>
        </w:rPr>
        <w:t>with you</w:t>
      </w:r>
      <w:r w:rsidR="008E4E71" w:rsidRPr="000450BF">
        <w:rPr>
          <w:i/>
        </w:rPr>
        <w:t xml:space="preserve">]. […] </w:t>
      </w:r>
      <w:r w:rsidR="00AE42D3" w:rsidRPr="000450BF">
        <w:rPr>
          <w:i/>
        </w:rPr>
        <w:t xml:space="preserve">Your </w:t>
      </w:r>
      <w:r>
        <w:rPr>
          <w:i/>
        </w:rPr>
        <w:t>E</w:t>
      </w:r>
      <w:r w:rsidR="00AE42D3" w:rsidRPr="000450BF">
        <w:rPr>
          <w:i/>
        </w:rPr>
        <w:t>xcellency</w:t>
      </w:r>
      <w:r w:rsidR="008E4E71" w:rsidRPr="000450BF">
        <w:rPr>
          <w:i/>
        </w:rPr>
        <w:t xml:space="preserve">, </w:t>
      </w:r>
      <w:bookmarkStart w:id="6" w:name="_Hlk25502533"/>
      <w:r w:rsidR="00AE42D3" w:rsidRPr="000450BF">
        <w:rPr>
          <w:i/>
        </w:rPr>
        <w:t>Mr.</w:t>
      </w:r>
      <w:bookmarkEnd w:id="6"/>
      <w:r w:rsidR="008E4E71" w:rsidRPr="000450BF">
        <w:rPr>
          <w:i/>
        </w:rPr>
        <w:t xml:space="preserve"> Govern</w:t>
      </w:r>
      <w:r w:rsidR="00211C86" w:rsidRPr="000450BF">
        <w:rPr>
          <w:i/>
        </w:rPr>
        <w:t>or</w:t>
      </w:r>
      <w:r w:rsidR="008E4E71" w:rsidRPr="000450BF">
        <w:rPr>
          <w:i/>
        </w:rPr>
        <w:t xml:space="preserve">, </w:t>
      </w:r>
      <w:r w:rsidR="00AE42D3" w:rsidRPr="000450BF">
        <w:rPr>
          <w:i/>
        </w:rPr>
        <w:t xml:space="preserve">I take responsibility for these words, let no one come looking for explanations later </w:t>
      </w:r>
      <w:r w:rsidR="008E4E71" w:rsidRPr="000450BF">
        <w:rPr>
          <w:i/>
        </w:rPr>
        <w:t>[</w:t>
      </w:r>
      <w:r w:rsidR="00AE42D3" w:rsidRPr="000450BF">
        <w:rPr>
          <w:i/>
        </w:rPr>
        <w:t>should something happen</w:t>
      </w:r>
      <w:r w:rsidR="008E4E71" w:rsidRPr="000450BF">
        <w:rPr>
          <w:i/>
        </w:rPr>
        <w:t xml:space="preserve">]. </w:t>
      </w:r>
      <w:r w:rsidR="00293534" w:rsidRPr="000450BF">
        <w:rPr>
          <w:i/>
        </w:rPr>
        <w:t xml:space="preserve">Let the </w:t>
      </w:r>
      <w:r w:rsidR="008E4E71" w:rsidRPr="000450BF">
        <w:rPr>
          <w:i/>
        </w:rPr>
        <w:t xml:space="preserve">population </w:t>
      </w:r>
      <w:r w:rsidR="00293534" w:rsidRPr="000450BF">
        <w:rPr>
          <w:i/>
        </w:rPr>
        <w:t>in your province and the administrators take not</w:t>
      </w:r>
      <w:r w:rsidR="00701F3D" w:rsidRPr="000450BF">
        <w:rPr>
          <w:i/>
        </w:rPr>
        <w:t>e</w:t>
      </w:r>
      <w:r w:rsidR="00293534" w:rsidRPr="000450BF">
        <w:rPr>
          <w:i/>
        </w:rPr>
        <w:t xml:space="preserve">, I am talking to </w:t>
      </w:r>
      <w:r w:rsidR="00942745" w:rsidRPr="000450BF">
        <w:rPr>
          <w:i/>
        </w:rPr>
        <w:t>them</w:t>
      </w:r>
      <w:r>
        <w:t>”.</w:t>
      </w:r>
      <w:r w:rsidR="008E4E71" w:rsidRPr="000450BF">
        <w:rPr>
          <w:rStyle w:val="FootnoteReference"/>
        </w:rPr>
        <w:footnoteReference w:id="63"/>
      </w:r>
    </w:p>
    <w:p w14:paraId="0AF3DDAC" w14:textId="1007C8E3" w:rsidR="008E4E71" w:rsidRPr="000450BF" w:rsidRDefault="008E4E71" w:rsidP="008E4E71">
      <w:pPr>
        <w:pStyle w:val="SingleTxtG"/>
        <w:rPr>
          <w:i/>
        </w:rPr>
      </w:pPr>
      <w:r w:rsidRPr="000450BF">
        <w:t>238.</w:t>
      </w:r>
      <w:r w:rsidRPr="000450BF">
        <w:tab/>
      </w:r>
      <w:r w:rsidR="00293534" w:rsidRPr="000450BF">
        <w:t>On</w:t>
      </w:r>
      <w:r w:rsidRPr="000450BF">
        <w:t xml:space="preserve"> 17 </w:t>
      </w:r>
      <w:r w:rsidR="00293534" w:rsidRPr="000450BF">
        <w:t>August</w:t>
      </w:r>
      <w:r w:rsidRPr="000450BF">
        <w:t xml:space="preserve"> 2019, </w:t>
      </w:r>
      <w:r w:rsidR="000D360A" w:rsidRPr="000450BF">
        <w:t xml:space="preserve">during the </w:t>
      </w:r>
      <w:r w:rsidR="00642B9C">
        <w:t>“show of force”</w:t>
      </w:r>
      <w:r w:rsidRPr="000450BF">
        <w:t xml:space="preserve"> </w:t>
      </w:r>
      <w:r w:rsidR="00293534" w:rsidRPr="000450BF">
        <w:t xml:space="preserve">demonstrations, </w:t>
      </w:r>
      <w:r w:rsidR="000D360A" w:rsidRPr="000450BF">
        <w:t xml:space="preserve">organised in </w:t>
      </w:r>
      <w:r w:rsidR="00293534" w:rsidRPr="000450BF">
        <w:t xml:space="preserve">Karuzi </w:t>
      </w:r>
      <w:r w:rsidRPr="000450BF">
        <w:t>commune</w:t>
      </w:r>
      <w:r w:rsidR="007B5784" w:rsidRPr="000450BF">
        <w:t xml:space="preserve">, </w:t>
      </w:r>
      <w:r w:rsidR="00293534" w:rsidRPr="000450BF">
        <w:t xml:space="preserve">Karuzi </w:t>
      </w:r>
      <w:r w:rsidRPr="000450BF">
        <w:t xml:space="preserve">province, </w:t>
      </w:r>
      <w:r w:rsidR="000D360A" w:rsidRPr="000450BF">
        <w:t xml:space="preserve">to celebrate </w:t>
      </w:r>
      <w:r w:rsidR="00293534" w:rsidRPr="000450BF">
        <w:t>the</w:t>
      </w:r>
      <w:r w:rsidR="00642B9C">
        <w:t xml:space="preserve"> “</w:t>
      </w:r>
      <w:r w:rsidR="00293534" w:rsidRPr="000450BF">
        <w:t>official day for the youth league of the party</w:t>
      </w:r>
      <w:r w:rsidRPr="000450BF">
        <w:t xml:space="preserve"> CNDD-FDD, </w:t>
      </w:r>
      <w:proofErr w:type="gramStart"/>
      <w:r w:rsidR="00293534" w:rsidRPr="000450BF">
        <w:t>called</w:t>
      </w:r>
      <w:r w:rsidR="00F32465">
        <w:t xml:space="preserve"> </w:t>
      </w:r>
      <w:r w:rsidRPr="000450BF">
        <w:t> </w:t>
      </w:r>
      <w:r w:rsidRPr="00642B9C">
        <w:rPr>
          <w:i/>
        </w:rPr>
        <w:t>Imbonerak</w:t>
      </w:r>
      <w:r w:rsidR="00642B9C" w:rsidRPr="00642B9C">
        <w:rPr>
          <w:i/>
        </w:rPr>
        <w:t>ure</w:t>
      </w:r>
      <w:proofErr w:type="gramEnd"/>
      <w:r w:rsidR="00642B9C" w:rsidRPr="00642B9C">
        <w:rPr>
          <w:i/>
        </w:rPr>
        <w:t xml:space="preserve"> day</w:t>
      </w:r>
      <w:r w:rsidR="00642B9C">
        <w:t>”</w:t>
      </w:r>
      <w:r w:rsidRPr="000450BF">
        <w:t xml:space="preserve">, </w:t>
      </w:r>
      <w:r w:rsidR="000D360A" w:rsidRPr="000450BF">
        <w:t xml:space="preserve">members of this </w:t>
      </w:r>
      <w:r w:rsidR="00293534" w:rsidRPr="000450BF">
        <w:t>l</w:t>
      </w:r>
      <w:r w:rsidR="000D360A" w:rsidRPr="000450BF">
        <w:t xml:space="preserve">eague paraded while singing death threats </w:t>
      </w:r>
      <w:r w:rsidR="00293534" w:rsidRPr="000450BF">
        <w:t>to</w:t>
      </w:r>
      <w:r w:rsidR="000D360A" w:rsidRPr="000450BF">
        <w:t xml:space="preserve"> </w:t>
      </w:r>
      <w:r w:rsidR="00EB4E4A" w:rsidRPr="000450BF">
        <w:t xml:space="preserve">opponents of the party </w:t>
      </w:r>
      <w:r w:rsidRPr="000450BF">
        <w:t xml:space="preserve">CNDD-FDD, </w:t>
      </w:r>
      <w:r w:rsidR="00EB4E4A" w:rsidRPr="000450BF">
        <w:t xml:space="preserve">qualified as </w:t>
      </w:r>
      <w:r w:rsidR="00642B9C">
        <w:rPr>
          <w:i/>
        </w:rPr>
        <w:t>“</w:t>
      </w:r>
      <w:r w:rsidR="00293534" w:rsidRPr="00642B9C">
        <w:t xml:space="preserve">small </w:t>
      </w:r>
      <w:r w:rsidR="00CF0215" w:rsidRPr="00642B9C">
        <w:t>recalcitrant</w:t>
      </w:r>
      <w:r w:rsidR="00293534" w:rsidRPr="00642B9C">
        <w:t xml:space="preserve"> men</w:t>
      </w:r>
      <w:r w:rsidR="00642B9C">
        <w:rPr>
          <w:i/>
        </w:rPr>
        <w:t>”</w:t>
      </w:r>
      <w:r w:rsidRPr="000450BF">
        <w:rPr>
          <w:i/>
        </w:rPr>
        <w:t xml:space="preserve"> </w:t>
      </w:r>
      <w:r w:rsidR="00EB4E4A" w:rsidRPr="000450BF">
        <w:t>and indicat</w:t>
      </w:r>
      <w:r w:rsidR="00293534" w:rsidRPr="000450BF">
        <w:t>ing</w:t>
      </w:r>
      <w:r w:rsidR="00EB4E4A" w:rsidRPr="000450BF">
        <w:t xml:space="preserve"> that </w:t>
      </w:r>
      <w:r w:rsidR="00642B9C">
        <w:t>“</w:t>
      </w:r>
      <w:r w:rsidR="00EB4E4A" w:rsidRPr="00642B9C">
        <w:t xml:space="preserve">one of these days we will </w:t>
      </w:r>
      <w:r w:rsidR="00293534" w:rsidRPr="00642B9C">
        <w:t>cleanse them</w:t>
      </w:r>
      <w:r w:rsidR="00642B9C">
        <w:rPr>
          <w:i/>
        </w:rPr>
        <w:t>”.</w:t>
      </w:r>
      <w:r w:rsidRPr="000450BF">
        <w:rPr>
          <w:rStyle w:val="FootnoteReference"/>
        </w:rPr>
        <w:footnoteReference w:id="64"/>
      </w:r>
    </w:p>
    <w:p w14:paraId="488BD0F9" w14:textId="2BAC451A" w:rsidR="008E4E71" w:rsidRPr="000450BF" w:rsidRDefault="008E4E71" w:rsidP="008E4E71">
      <w:pPr>
        <w:pStyle w:val="SingleTxtG"/>
      </w:pPr>
      <w:r w:rsidRPr="000450BF">
        <w:t>239.</w:t>
      </w:r>
      <w:r w:rsidRPr="000450BF">
        <w:tab/>
      </w:r>
      <w:r w:rsidR="00293534" w:rsidRPr="000450BF">
        <w:t>S</w:t>
      </w:r>
      <w:r w:rsidR="00EB4E4A" w:rsidRPr="000450BF">
        <w:t xml:space="preserve">everal other videos circulated on social media in which groups of children or </w:t>
      </w:r>
      <w:r w:rsidRPr="000450BF">
        <w:t xml:space="preserve">Imbonerakure </w:t>
      </w:r>
      <w:r w:rsidR="00EB4E4A" w:rsidRPr="000450BF">
        <w:t>chanted songs containing threa</w:t>
      </w:r>
      <w:r w:rsidR="00293534" w:rsidRPr="000450BF">
        <w:t>t</w:t>
      </w:r>
      <w:r w:rsidR="00EB4E4A" w:rsidRPr="000450BF">
        <w:t>s to burn or eliminate any</w:t>
      </w:r>
      <w:r w:rsidR="00293534" w:rsidRPr="000450BF">
        <w:t>one</w:t>
      </w:r>
      <w:r w:rsidR="00EB4E4A" w:rsidRPr="000450BF">
        <w:t xml:space="preserve"> who would dare oppose the party in power namely in the context of the 2020 elections with several mentions </w:t>
      </w:r>
      <w:r w:rsidR="00F32465">
        <w:t>that</w:t>
      </w:r>
      <w:r w:rsidR="00EB4E4A" w:rsidRPr="000450BF">
        <w:t xml:space="preserve"> the party </w:t>
      </w:r>
      <w:r w:rsidRPr="000450BF">
        <w:t xml:space="preserve">CNDD-FDD, </w:t>
      </w:r>
      <w:r w:rsidR="00EB4E4A" w:rsidRPr="000450BF">
        <w:t>symbolised by the eagle</w:t>
      </w:r>
      <w:r w:rsidR="00F32465">
        <w:t>,</w:t>
      </w:r>
      <w:r w:rsidR="00EB4E4A" w:rsidRPr="000450BF">
        <w:t xml:space="preserve"> will never leave power</w:t>
      </w:r>
      <w:r w:rsidR="00642B9C">
        <w:t>.</w:t>
      </w:r>
      <w:r w:rsidRPr="000450BF">
        <w:rPr>
          <w:rStyle w:val="FootnoteReference"/>
        </w:rPr>
        <w:footnoteReference w:id="65"/>
      </w:r>
      <w:r w:rsidRPr="000450BF">
        <w:t xml:space="preserve"> </w:t>
      </w:r>
      <w:r w:rsidR="00FF3449" w:rsidRPr="000450BF">
        <w:t xml:space="preserve">The </w:t>
      </w:r>
      <w:r w:rsidRPr="000450BF">
        <w:t xml:space="preserve">Commission </w:t>
      </w:r>
      <w:r w:rsidR="00EB4E4A" w:rsidRPr="000450BF">
        <w:t>was unable to authenticate the place</w:t>
      </w:r>
      <w:r w:rsidR="00FF3449" w:rsidRPr="000450BF">
        <w:t>,</w:t>
      </w:r>
      <w:r w:rsidR="00EB4E4A" w:rsidRPr="000450BF">
        <w:t xml:space="preserve"> the date or the circumstances </w:t>
      </w:r>
      <w:r w:rsidR="00FF3449" w:rsidRPr="000450BF">
        <w:t xml:space="preserve">in which these videos were recorded </w:t>
      </w:r>
      <w:r w:rsidR="00EB4E4A" w:rsidRPr="000450BF">
        <w:t xml:space="preserve">but is concerned </w:t>
      </w:r>
      <w:r w:rsidR="00FF3449" w:rsidRPr="000450BF">
        <w:t>that</w:t>
      </w:r>
      <w:r w:rsidR="00EB4E4A" w:rsidRPr="000450BF">
        <w:t xml:space="preserve"> such videos regularly and largely circulated in the country without any condemnation or denouncement of these utterances by the </w:t>
      </w:r>
      <w:r w:rsidR="002E6630" w:rsidRPr="000450BF">
        <w:t>Burundian</w:t>
      </w:r>
      <w:r w:rsidR="00EB4E4A" w:rsidRPr="000450BF">
        <w:t xml:space="preserve"> authorities who are usually </w:t>
      </w:r>
      <w:r w:rsidR="00FF3449" w:rsidRPr="000450BF">
        <w:t>prompt to</w:t>
      </w:r>
      <w:r w:rsidR="00EB4E4A" w:rsidRPr="000450BF">
        <w:t xml:space="preserve"> do so for critical statements against them</w:t>
      </w:r>
      <w:r w:rsidRPr="000450BF">
        <w:t>.</w:t>
      </w:r>
    </w:p>
    <w:p w14:paraId="36DCB0DB" w14:textId="1BC42DE3" w:rsidR="008E4E71" w:rsidRPr="000450BF" w:rsidRDefault="008E4E71" w:rsidP="008E4E71">
      <w:pPr>
        <w:pStyle w:val="H4G"/>
      </w:pPr>
      <w:r w:rsidRPr="000450BF">
        <w:tab/>
        <w:t>b)</w:t>
      </w:r>
      <w:r w:rsidRPr="000450BF">
        <w:tab/>
      </w:r>
      <w:r w:rsidR="00FF3449" w:rsidRPr="000450BF">
        <w:t>F</w:t>
      </w:r>
      <w:r w:rsidR="00EB4E4A" w:rsidRPr="000450BF">
        <w:t xml:space="preserve">reedom of Association </w:t>
      </w:r>
    </w:p>
    <w:p w14:paraId="4B799793" w14:textId="540C52F4" w:rsidR="008E4E71" w:rsidRPr="000450BF" w:rsidRDefault="008E4E71" w:rsidP="008E4E71">
      <w:pPr>
        <w:pStyle w:val="SingleTxtG"/>
      </w:pPr>
      <w:r w:rsidRPr="000450BF">
        <w:t>240.</w:t>
      </w:r>
      <w:r w:rsidRPr="000450BF">
        <w:tab/>
      </w:r>
      <w:r w:rsidR="00FF3449" w:rsidRPr="000450BF">
        <w:t>I</w:t>
      </w:r>
      <w:r w:rsidR="00EB4E4A" w:rsidRPr="000450BF">
        <w:t>n its previous report</w:t>
      </w:r>
      <w:r w:rsidR="00642B9C">
        <w:t>,</w:t>
      </w:r>
      <w:r w:rsidRPr="000450BF">
        <w:rPr>
          <w:rStyle w:val="FootnoteReference"/>
        </w:rPr>
        <w:footnoteReference w:id="66"/>
      </w:r>
      <w:r w:rsidRPr="000450BF">
        <w:t xml:space="preserve"> </w:t>
      </w:r>
      <w:r w:rsidR="00FF3449" w:rsidRPr="000450BF">
        <w:t>the</w:t>
      </w:r>
      <w:r w:rsidRPr="000450BF">
        <w:t xml:space="preserve"> Commission </w:t>
      </w:r>
      <w:r w:rsidR="00EB4E4A" w:rsidRPr="000450BF">
        <w:t xml:space="preserve">mentioned that violations of </w:t>
      </w:r>
      <w:r w:rsidR="00FF3449" w:rsidRPr="000450BF">
        <w:t xml:space="preserve">the </w:t>
      </w:r>
      <w:r w:rsidR="00EB4E4A" w:rsidRPr="000450BF">
        <w:t xml:space="preserve">freedom of </w:t>
      </w:r>
      <w:r w:rsidR="00FF3449" w:rsidRPr="000450BF">
        <w:t>a</w:t>
      </w:r>
      <w:r w:rsidR="00EB4E4A" w:rsidRPr="000450BF">
        <w:t xml:space="preserve">ssociation mainly affected organisations active in the area of human rights who had seen their work </w:t>
      </w:r>
      <w:r w:rsidR="00422F63" w:rsidRPr="000450BF">
        <w:t>hindered;</w:t>
      </w:r>
      <w:r w:rsidR="00EB4E4A" w:rsidRPr="000450BF">
        <w:t xml:space="preserve"> namely through arbitrary detentions and arrests of their members or employees</w:t>
      </w:r>
      <w:r w:rsidRPr="000450BF">
        <w:t xml:space="preserve">. </w:t>
      </w:r>
      <w:r w:rsidR="00FF3449" w:rsidRPr="000450BF">
        <w:t>T</w:t>
      </w:r>
      <w:r w:rsidR="00EB4E4A" w:rsidRPr="000450BF">
        <w:t xml:space="preserve">he problematic legal framework that regulates </w:t>
      </w:r>
      <w:r w:rsidR="00FF3449" w:rsidRPr="000450BF">
        <w:t xml:space="preserve">national and international </w:t>
      </w:r>
      <w:r w:rsidR="00422F63" w:rsidRPr="000450BF">
        <w:t>non-</w:t>
      </w:r>
      <w:r w:rsidR="007F5B89">
        <w:t>Government</w:t>
      </w:r>
      <w:r w:rsidR="00422F63" w:rsidRPr="000450BF">
        <w:t>al</w:t>
      </w:r>
      <w:r w:rsidR="00EB4E4A" w:rsidRPr="000450BF">
        <w:t xml:space="preserve"> organisations</w:t>
      </w:r>
      <w:r w:rsidR="00FF3449" w:rsidRPr="000450BF">
        <w:t xml:space="preserve"> </w:t>
      </w:r>
      <w:r w:rsidR="00EB4E4A" w:rsidRPr="000450BF">
        <w:t xml:space="preserve">since 2017 has been fully implemented by the </w:t>
      </w:r>
      <w:r w:rsidR="002E6630" w:rsidRPr="000450BF">
        <w:t>Burundian</w:t>
      </w:r>
      <w:r w:rsidR="00EB4E4A" w:rsidRPr="000450BF">
        <w:t xml:space="preserve"> </w:t>
      </w:r>
      <w:r w:rsidR="00422F63" w:rsidRPr="000450BF">
        <w:t>authorities;</w:t>
      </w:r>
      <w:r w:rsidR="00EB4E4A" w:rsidRPr="000450BF">
        <w:t xml:space="preserve"> which </w:t>
      </w:r>
      <w:r w:rsidR="00FF3449" w:rsidRPr="000450BF">
        <w:t xml:space="preserve">resulted in the increase of the </w:t>
      </w:r>
      <w:r w:rsidR="007F5B89">
        <w:t>Government</w:t>
      </w:r>
      <w:r w:rsidR="00FF3449" w:rsidRPr="000450BF">
        <w:t xml:space="preserve"> control on these </w:t>
      </w:r>
      <w:r w:rsidR="00422F63" w:rsidRPr="000450BF">
        <w:t>organisations and</w:t>
      </w:r>
      <w:r w:rsidR="00EB4E4A" w:rsidRPr="000450BF">
        <w:t xml:space="preserve"> has given rise to violations of the freedom of </w:t>
      </w:r>
      <w:r w:rsidR="00FF3449" w:rsidRPr="000450BF">
        <w:t>a</w:t>
      </w:r>
      <w:r w:rsidR="00EB4E4A" w:rsidRPr="000450BF">
        <w:t>ssociation</w:t>
      </w:r>
      <w:r w:rsidRPr="000450BF">
        <w:t>.</w:t>
      </w:r>
    </w:p>
    <w:p w14:paraId="12B8D053" w14:textId="31E3216F" w:rsidR="008E4E71" w:rsidRPr="000450BF" w:rsidRDefault="008E4E71" w:rsidP="008E4E71">
      <w:pPr>
        <w:pStyle w:val="H56G"/>
      </w:pPr>
      <w:r w:rsidRPr="000450BF">
        <w:tab/>
      </w:r>
      <w:r w:rsidRPr="000450BF">
        <w:tab/>
        <w:t>(i)</w:t>
      </w:r>
      <w:r w:rsidRPr="000450BF">
        <w:tab/>
      </w:r>
      <w:r w:rsidR="00FF3449" w:rsidRPr="000450BF">
        <w:t>C</w:t>
      </w:r>
      <w:r w:rsidR="00EB4E4A" w:rsidRPr="000450BF">
        <w:t xml:space="preserve">ontrol of </w:t>
      </w:r>
      <w:r w:rsidR="00422F63" w:rsidRPr="000450BF">
        <w:t>non-</w:t>
      </w:r>
      <w:r w:rsidR="008F37F0">
        <w:t>g</w:t>
      </w:r>
      <w:r w:rsidR="007F5B89">
        <w:t>overnment</w:t>
      </w:r>
      <w:r w:rsidR="00422F63" w:rsidRPr="000450BF">
        <w:t>al</w:t>
      </w:r>
      <w:r w:rsidR="00EB4E4A" w:rsidRPr="000450BF">
        <w:t xml:space="preserve"> organisation</w:t>
      </w:r>
      <w:r w:rsidR="00FF3449" w:rsidRPr="000450BF">
        <w:t>s</w:t>
      </w:r>
    </w:p>
    <w:p w14:paraId="571CC589" w14:textId="580CACC4" w:rsidR="008E4E71" w:rsidRPr="000450BF" w:rsidRDefault="008E4E71" w:rsidP="008E4E71">
      <w:pPr>
        <w:pStyle w:val="H4G"/>
      </w:pPr>
      <w:r w:rsidRPr="000450BF">
        <w:tab/>
        <w:t>-</w:t>
      </w:r>
      <w:r w:rsidRPr="000450BF">
        <w:tab/>
        <w:t>National NGO</w:t>
      </w:r>
      <w:r w:rsidR="00A11BDA" w:rsidRPr="000450BF">
        <w:t>s</w:t>
      </w:r>
    </w:p>
    <w:p w14:paraId="05D2FA41" w14:textId="1893BE53" w:rsidR="008E4E71" w:rsidRPr="000450BF" w:rsidRDefault="008E4E71" w:rsidP="008E4E71">
      <w:pPr>
        <w:pStyle w:val="SingleTxtG"/>
      </w:pPr>
      <w:r w:rsidRPr="000450BF">
        <w:t>241.</w:t>
      </w:r>
      <w:r w:rsidRPr="000450BF">
        <w:tab/>
        <w:t>National NGO</w:t>
      </w:r>
      <w:r w:rsidR="00A11BDA" w:rsidRPr="000450BF">
        <w:t>s</w:t>
      </w:r>
      <w:r w:rsidRPr="000450BF">
        <w:t xml:space="preserve"> </w:t>
      </w:r>
      <w:r w:rsidR="00EB4E4A" w:rsidRPr="000450BF">
        <w:t>regulated by</w:t>
      </w:r>
      <w:r w:rsidR="00FF3449" w:rsidRPr="000450BF">
        <w:t xml:space="preserve"> </w:t>
      </w:r>
      <w:r w:rsidR="008F37F0">
        <w:t xml:space="preserve">the 2017 </w:t>
      </w:r>
      <w:r w:rsidR="00642B9C">
        <w:t>l</w:t>
      </w:r>
      <w:r w:rsidR="00EB4E4A" w:rsidRPr="000450BF">
        <w:t xml:space="preserve">aw </w:t>
      </w:r>
      <w:r w:rsidR="00FF3449" w:rsidRPr="000450BF">
        <w:t xml:space="preserve">on national non-profit </w:t>
      </w:r>
      <w:r w:rsidR="00EA7298" w:rsidRPr="000450BF">
        <w:t>organisations</w:t>
      </w:r>
      <w:r w:rsidR="00FF3449" w:rsidRPr="000450BF">
        <w:t xml:space="preserve"> </w:t>
      </w:r>
      <w:r w:rsidRPr="000450BF">
        <w:t>(ASBL)</w:t>
      </w:r>
      <w:r w:rsidRPr="000450BF">
        <w:rPr>
          <w:rStyle w:val="FootnoteReference"/>
        </w:rPr>
        <w:footnoteReference w:id="67"/>
      </w:r>
      <w:r w:rsidRPr="000450BF">
        <w:t xml:space="preserve"> </w:t>
      </w:r>
      <w:r w:rsidR="00EB4E4A" w:rsidRPr="000450BF">
        <w:t>are subject</w:t>
      </w:r>
      <w:r w:rsidR="00F357F7" w:rsidRPr="000450BF">
        <w:t>ed</w:t>
      </w:r>
      <w:r w:rsidR="00EB4E4A" w:rsidRPr="000450BF">
        <w:t xml:space="preserve"> to </w:t>
      </w:r>
      <w:r w:rsidR="00A11BDA" w:rsidRPr="000450BF">
        <w:t xml:space="preserve">the </w:t>
      </w:r>
      <w:r w:rsidR="00EB4E4A" w:rsidRPr="000450BF">
        <w:t xml:space="preserve">control of their activities by the ministry </w:t>
      </w:r>
      <w:r w:rsidR="00A11BDA" w:rsidRPr="000450BF">
        <w:t>overseeing</w:t>
      </w:r>
      <w:r w:rsidR="00EB4E4A" w:rsidRPr="000450BF">
        <w:t xml:space="preserve"> their activities and the l</w:t>
      </w:r>
      <w:r w:rsidR="00A11BDA" w:rsidRPr="000450BF">
        <w:t>a</w:t>
      </w:r>
      <w:r w:rsidR="00EB4E4A" w:rsidRPr="000450BF">
        <w:t xml:space="preserve">tter </w:t>
      </w:r>
      <w:r w:rsidR="005F700F" w:rsidRPr="000450BF">
        <w:t xml:space="preserve">must approve </w:t>
      </w:r>
      <w:r w:rsidR="00A11BDA" w:rsidRPr="000450BF">
        <w:t xml:space="preserve">each of </w:t>
      </w:r>
      <w:r w:rsidR="005F700F" w:rsidRPr="000450BF">
        <w:t>their activities</w:t>
      </w:r>
      <w:r w:rsidRPr="000450BF">
        <w:t xml:space="preserve">. </w:t>
      </w:r>
      <w:r w:rsidR="00A11BDA" w:rsidRPr="000450BF">
        <w:t>T</w:t>
      </w:r>
      <w:r w:rsidR="005F700F" w:rsidRPr="000450BF">
        <w:t xml:space="preserve">his law </w:t>
      </w:r>
      <w:r w:rsidR="00A11BDA" w:rsidRPr="000450BF">
        <w:t xml:space="preserve">provides the </w:t>
      </w:r>
      <w:r w:rsidR="00104BF8" w:rsidRPr="000450BF">
        <w:t>Minister of Interior</w:t>
      </w:r>
      <w:r w:rsidR="00A11BDA" w:rsidRPr="000450BF">
        <w:t xml:space="preserve"> with broad authority to suspend n</w:t>
      </w:r>
      <w:r w:rsidRPr="000450BF">
        <w:t xml:space="preserve">ational NGO </w:t>
      </w:r>
      <w:r w:rsidR="00C625E9" w:rsidRPr="000450BF">
        <w:t>based on</w:t>
      </w:r>
      <w:r w:rsidR="005F700F" w:rsidRPr="000450BF">
        <w:t xml:space="preserve"> vague motives </w:t>
      </w:r>
      <w:r w:rsidR="00A11BDA" w:rsidRPr="000450BF">
        <w:t>of</w:t>
      </w:r>
      <w:r w:rsidRPr="000450BF">
        <w:t xml:space="preserve"> </w:t>
      </w:r>
      <w:r w:rsidR="00642B9C">
        <w:t>“</w:t>
      </w:r>
      <w:r w:rsidR="00A11BDA" w:rsidRPr="000450BF">
        <w:t xml:space="preserve">disruptions of public </w:t>
      </w:r>
      <w:r w:rsidR="008F37F0">
        <w:t>order</w:t>
      </w:r>
      <w:r w:rsidR="00642B9C">
        <w:t>”</w:t>
      </w:r>
      <w:r w:rsidRPr="000450BF">
        <w:t xml:space="preserve"> o</w:t>
      </w:r>
      <w:r w:rsidR="00A11BDA" w:rsidRPr="000450BF">
        <w:t>r</w:t>
      </w:r>
      <w:r w:rsidR="00642B9C">
        <w:t xml:space="preserve"> “</w:t>
      </w:r>
      <w:r w:rsidR="00A11BDA" w:rsidRPr="000450BF">
        <w:t>undermining the internal security of the State</w:t>
      </w:r>
      <w:r w:rsidR="00642B9C">
        <w:t>”</w:t>
      </w:r>
      <w:r w:rsidRPr="000450BF">
        <w:t xml:space="preserve">. </w:t>
      </w:r>
      <w:r w:rsidR="00A11BDA" w:rsidRPr="000450BF">
        <w:t>T</w:t>
      </w:r>
      <w:r w:rsidR="005F700F" w:rsidRPr="000450BF">
        <w:t xml:space="preserve">heir resources are also controlled by the </w:t>
      </w:r>
      <w:r w:rsidR="007F5B89">
        <w:t>Government</w:t>
      </w:r>
      <w:r w:rsidR="005F700F" w:rsidRPr="000450BF">
        <w:t xml:space="preserve"> since foreign funds must transit by the </w:t>
      </w:r>
      <w:r w:rsidR="008C72AB" w:rsidRPr="000450BF">
        <w:t>C</w:t>
      </w:r>
      <w:r w:rsidR="005F700F" w:rsidRPr="000450BF">
        <w:t>entral Bank of Burundi and be accompanied by a document indicating their origin and the</w:t>
      </w:r>
      <w:r w:rsidR="00A11BDA" w:rsidRPr="000450BF">
        <w:t>ir purpose</w:t>
      </w:r>
      <w:r w:rsidR="00642B9C">
        <w:t>.</w:t>
      </w:r>
      <w:r w:rsidRPr="000450BF">
        <w:rPr>
          <w:rStyle w:val="FootnoteReference"/>
        </w:rPr>
        <w:footnoteReference w:id="68"/>
      </w:r>
    </w:p>
    <w:p w14:paraId="09D74F28" w14:textId="42A55A64" w:rsidR="008E4E71" w:rsidRPr="000450BF" w:rsidRDefault="008E4E71" w:rsidP="008E4E71">
      <w:pPr>
        <w:pStyle w:val="SingleTxtG"/>
      </w:pPr>
      <w:r w:rsidRPr="000450BF">
        <w:t>242.</w:t>
      </w:r>
      <w:r w:rsidRPr="000450BF">
        <w:tab/>
      </w:r>
      <w:r w:rsidR="0034584D" w:rsidRPr="000450BF">
        <w:t xml:space="preserve">For example, the Minister of </w:t>
      </w:r>
      <w:r w:rsidR="00A11BDA" w:rsidRPr="000450BF">
        <w:t>Y</w:t>
      </w:r>
      <w:r w:rsidR="0034584D" w:rsidRPr="000450BF">
        <w:t xml:space="preserve">outh, </w:t>
      </w:r>
      <w:r w:rsidR="008F37F0">
        <w:t>Posts</w:t>
      </w:r>
      <w:r w:rsidR="00A11BDA" w:rsidRPr="000450BF">
        <w:t xml:space="preserve"> </w:t>
      </w:r>
      <w:r w:rsidR="0034584D" w:rsidRPr="000450BF">
        <w:t xml:space="preserve">and </w:t>
      </w:r>
      <w:r w:rsidR="00A11BDA" w:rsidRPr="000450BF">
        <w:t>I</w:t>
      </w:r>
      <w:r w:rsidR="0034584D" w:rsidRPr="000450BF">
        <w:t xml:space="preserve">nformation </w:t>
      </w:r>
      <w:r w:rsidR="00C50A87" w:rsidRPr="000450BF">
        <w:t>T</w:t>
      </w:r>
      <w:r w:rsidR="0034584D" w:rsidRPr="000450BF">
        <w:t>echnolog</w:t>
      </w:r>
      <w:r w:rsidR="00A11BDA" w:rsidRPr="000450BF">
        <w:t xml:space="preserve">y </w:t>
      </w:r>
      <w:r w:rsidR="0034584D" w:rsidRPr="000450BF">
        <w:t xml:space="preserve">asked the Rotaract Club to </w:t>
      </w:r>
      <w:r w:rsidR="005F700F" w:rsidRPr="000450BF">
        <w:t>suspend an international conference on peace in Burundi</w:t>
      </w:r>
      <w:r w:rsidRPr="000450BF">
        <w:t xml:space="preserve">, </w:t>
      </w:r>
      <w:r w:rsidR="005F700F" w:rsidRPr="000450BF">
        <w:t xml:space="preserve">scheduled </w:t>
      </w:r>
      <w:r w:rsidR="00C625E9" w:rsidRPr="000450BF">
        <w:t>for 22</w:t>
      </w:r>
      <w:r w:rsidRPr="000450BF">
        <w:t xml:space="preserve"> </w:t>
      </w:r>
      <w:r w:rsidR="0034584D" w:rsidRPr="000450BF">
        <w:t xml:space="preserve">to </w:t>
      </w:r>
      <w:r w:rsidRPr="000450BF">
        <w:t xml:space="preserve">24 </w:t>
      </w:r>
      <w:r w:rsidR="00A11BDA" w:rsidRPr="000450BF">
        <w:t>M</w:t>
      </w:r>
      <w:r w:rsidRPr="000450BF">
        <w:t>a</w:t>
      </w:r>
      <w:r w:rsidR="0034584D" w:rsidRPr="000450BF">
        <w:t>y</w:t>
      </w:r>
      <w:r w:rsidRPr="000450BF">
        <w:t xml:space="preserve"> 2019 </w:t>
      </w:r>
      <w:r w:rsidR="0034584D" w:rsidRPr="000450BF">
        <w:t>in</w:t>
      </w:r>
      <w:r w:rsidRPr="000450BF">
        <w:t xml:space="preserve"> Bujumbura, </w:t>
      </w:r>
      <w:r w:rsidR="00A11BDA" w:rsidRPr="000450BF">
        <w:t xml:space="preserve">for </w:t>
      </w:r>
      <w:r w:rsidR="00664DC9">
        <w:t>“</w:t>
      </w:r>
      <w:r w:rsidR="0034584D" w:rsidRPr="000450BF">
        <w:t>lack of collaboration with the ministry team</w:t>
      </w:r>
      <w:r w:rsidR="00664DC9">
        <w:t>”</w:t>
      </w:r>
      <w:r w:rsidRPr="000450BF">
        <w:t xml:space="preserve">. </w:t>
      </w:r>
      <w:r w:rsidR="0034584D" w:rsidRPr="000450BF">
        <w:t xml:space="preserve">The </w:t>
      </w:r>
      <w:r w:rsidR="008F37F0">
        <w:t>M</w:t>
      </w:r>
      <w:r w:rsidR="005F700F" w:rsidRPr="000450BF">
        <w:t xml:space="preserve">inister took the opportunity to remind </w:t>
      </w:r>
      <w:r w:rsidR="00A11BDA" w:rsidRPr="000450BF">
        <w:t xml:space="preserve">all </w:t>
      </w:r>
      <w:r w:rsidR="005F700F" w:rsidRPr="000450BF">
        <w:t xml:space="preserve">that </w:t>
      </w:r>
      <w:r w:rsidR="00664DC9">
        <w:t>“</w:t>
      </w:r>
      <w:r w:rsidR="0034584D" w:rsidRPr="000450BF">
        <w:t>all youth related activities or requiring the involvement of youth must necessarily obtain approval from the ministry</w:t>
      </w:r>
      <w:r w:rsidR="00664DC9">
        <w:t>”.</w:t>
      </w:r>
      <w:r w:rsidRPr="000450BF">
        <w:rPr>
          <w:rStyle w:val="FootnoteReference"/>
        </w:rPr>
        <w:footnoteReference w:id="69"/>
      </w:r>
    </w:p>
    <w:p w14:paraId="24046635" w14:textId="1510F99C" w:rsidR="008E4E71" w:rsidRPr="000450BF" w:rsidRDefault="008E4E71" w:rsidP="008E4E71">
      <w:pPr>
        <w:pStyle w:val="SingleTxtG"/>
      </w:pPr>
      <w:r w:rsidRPr="000450BF">
        <w:t>243.</w:t>
      </w:r>
      <w:r w:rsidRPr="000450BF">
        <w:tab/>
      </w:r>
      <w:r w:rsidR="0034584D" w:rsidRPr="000450BF">
        <w:t>On</w:t>
      </w:r>
      <w:r w:rsidRPr="000450BF">
        <w:t xml:space="preserve"> 3 </w:t>
      </w:r>
      <w:r w:rsidR="0034584D" w:rsidRPr="000450BF">
        <w:t xml:space="preserve">June </w:t>
      </w:r>
      <w:r w:rsidRPr="000450BF">
        <w:t xml:space="preserve">2019, </w:t>
      </w:r>
      <w:r w:rsidR="00B25146" w:rsidRPr="000450BF">
        <w:t xml:space="preserve">the </w:t>
      </w:r>
      <w:r w:rsidRPr="000450BF">
        <w:t xml:space="preserve">organisation </w:t>
      </w:r>
      <w:r w:rsidRPr="000450BF">
        <w:rPr>
          <w:i/>
        </w:rPr>
        <w:t>Parole et Action pour le Réveil des Consciences et Évolution des Mentalités</w:t>
      </w:r>
      <w:r w:rsidRPr="000450BF">
        <w:t xml:space="preserve"> (PARCEM) </w:t>
      </w:r>
      <w:r w:rsidR="00B25146" w:rsidRPr="000450BF">
        <w:t>w</w:t>
      </w:r>
      <w:r w:rsidR="005F700F" w:rsidRPr="000450BF">
        <w:t xml:space="preserve">as suspended </w:t>
      </w:r>
      <w:r w:rsidR="00B25146" w:rsidRPr="000450BF">
        <w:t>for a</w:t>
      </w:r>
      <w:r w:rsidR="005F700F" w:rsidRPr="000450BF">
        <w:t xml:space="preserve">n indefinite period confirmed by the </w:t>
      </w:r>
      <w:r w:rsidR="00104BF8" w:rsidRPr="000450BF">
        <w:t>Minister of Interior</w:t>
      </w:r>
      <w:r w:rsidR="005F700F" w:rsidRPr="000450BF">
        <w:t xml:space="preserve"> because it had presented a critical report on the </w:t>
      </w:r>
      <w:r w:rsidR="00040C65" w:rsidRPr="000450BF">
        <w:t>dire</w:t>
      </w:r>
      <w:r w:rsidR="005F700F" w:rsidRPr="000450BF">
        <w:t xml:space="preserve"> soci</w:t>
      </w:r>
      <w:r w:rsidR="00C21C46" w:rsidRPr="000450BF">
        <w:t>o</w:t>
      </w:r>
      <w:r w:rsidR="005F700F" w:rsidRPr="000450BF">
        <w:t xml:space="preserve">economic conditions in the country based on World Bank data </w:t>
      </w:r>
      <w:r w:rsidR="00DA4BF3" w:rsidRPr="000450BF">
        <w:t>and</w:t>
      </w:r>
      <w:r w:rsidR="005F700F" w:rsidRPr="000450BF">
        <w:t xml:space="preserve"> statistics that had been rejected by the </w:t>
      </w:r>
      <w:r w:rsidR="007F5B89">
        <w:t>Government</w:t>
      </w:r>
      <w:r w:rsidR="00C625E9" w:rsidRPr="000450BF">
        <w:t>.</w:t>
      </w:r>
      <w:r w:rsidRPr="000450BF">
        <w:t xml:space="preserve"> </w:t>
      </w:r>
    </w:p>
    <w:p w14:paraId="57D1CD54" w14:textId="04CEE2AD" w:rsidR="008E4E71" w:rsidRPr="000450BF" w:rsidRDefault="008E4E71" w:rsidP="008E4E71">
      <w:pPr>
        <w:pStyle w:val="H4G"/>
      </w:pPr>
      <w:r w:rsidRPr="000450BF">
        <w:tab/>
        <w:t>-</w:t>
      </w:r>
      <w:r w:rsidRPr="000450BF">
        <w:tab/>
      </w:r>
      <w:r w:rsidR="00DA4BF3" w:rsidRPr="000450BF">
        <w:t xml:space="preserve">Foreign </w:t>
      </w:r>
      <w:r w:rsidR="0023151D" w:rsidRPr="000450BF">
        <w:t>NGOs</w:t>
      </w:r>
    </w:p>
    <w:p w14:paraId="26BEF3B2" w14:textId="0441C0C8" w:rsidR="008E4E71" w:rsidRPr="000450BF" w:rsidRDefault="008E4E71" w:rsidP="008E4E71">
      <w:pPr>
        <w:pStyle w:val="SingleTxtG"/>
      </w:pPr>
      <w:r w:rsidRPr="000450BF">
        <w:t>244.</w:t>
      </w:r>
      <w:r w:rsidRPr="000450BF">
        <w:tab/>
      </w:r>
      <w:r w:rsidR="0023151D" w:rsidRPr="000450BF">
        <w:t>Th</w:t>
      </w:r>
      <w:r w:rsidR="005F700F" w:rsidRPr="000450BF">
        <w:t xml:space="preserve">e </w:t>
      </w:r>
      <w:r w:rsidR="007F5B89">
        <w:t>Government</w:t>
      </w:r>
      <w:r w:rsidR="005F700F" w:rsidRPr="000450BF">
        <w:t xml:space="preserve"> control on the composition and the activities of foreign </w:t>
      </w:r>
      <w:r w:rsidR="00C625E9" w:rsidRPr="000450BF">
        <w:t>non-</w:t>
      </w:r>
      <w:r w:rsidR="008F37F0">
        <w:t>g</w:t>
      </w:r>
      <w:r w:rsidR="007F5B89">
        <w:t>overnment</w:t>
      </w:r>
      <w:r w:rsidR="00C625E9" w:rsidRPr="000450BF">
        <w:t>al</w:t>
      </w:r>
      <w:r w:rsidR="005F700F" w:rsidRPr="000450BF">
        <w:t xml:space="preserve"> organisations increased in </w:t>
      </w:r>
      <w:r w:rsidRPr="000450BF">
        <w:t xml:space="preserve">2018 </w:t>
      </w:r>
      <w:r w:rsidR="005F700F" w:rsidRPr="000450BF">
        <w:t xml:space="preserve">with the effective implementation </w:t>
      </w:r>
      <w:r w:rsidR="00812B44" w:rsidRPr="000450BF">
        <w:t xml:space="preserve">of </w:t>
      </w:r>
      <w:r w:rsidR="00664DC9">
        <w:t>some provisions of the 2017 l</w:t>
      </w:r>
      <w:r w:rsidR="005F700F" w:rsidRPr="000450BF">
        <w:t xml:space="preserve">aw on </w:t>
      </w:r>
      <w:r w:rsidR="00812B44" w:rsidRPr="000450BF">
        <w:t>foreign NGOs</w:t>
      </w:r>
      <w:r w:rsidRPr="000450BF">
        <w:rPr>
          <w:rStyle w:val="FootnoteReference"/>
        </w:rPr>
        <w:footnoteReference w:id="70"/>
      </w:r>
      <w:r w:rsidRPr="000450BF">
        <w:t xml:space="preserve"> </w:t>
      </w:r>
      <w:r w:rsidR="005F700F" w:rsidRPr="000450BF">
        <w:t>and the adoption of additional laws</w:t>
      </w:r>
      <w:r w:rsidR="007F5814" w:rsidRPr="000450BF">
        <w:t xml:space="preserve">. The </w:t>
      </w:r>
      <w:r w:rsidR="00EE73E6" w:rsidRPr="000450BF">
        <w:t xml:space="preserve">official purpose of the </w:t>
      </w:r>
      <w:r w:rsidR="007F5814" w:rsidRPr="000450BF">
        <w:t xml:space="preserve">2017 </w:t>
      </w:r>
      <w:r w:rsidR="00664DC9">
        <w:t>l</w:t>
      </w:r>
      <w:r w:rsidR="00EE73E6" w:rsidRPr="000450BF">
        <w:t xml:space="preserve">aw is to </w:t>
      </w:r>
      <w:r w:rsidR="0059261B" w:rsidRPr="000450BF">
        <w:t xml:space="preserve">ensure a </w:t>
      </w:r>
      <w:r w:rsidR="005F700F" w:rsidRPr="000450BF">
        <w:t xml:space="preserve">better coordination </w:t>
      </w:r>
      <w:r w:rsidR="0059261B" w:rsidRPr="000450BF">
        <w:t xml:space="preserve">of the </w:t>
      </w:r>
      <w:r w:rsidR="005F700F" w:rsidRPr="000450BF">
        <w:t>assistance from foreign NGOs to Burundi</w:t>
      </w:r>
      <w:r w:rsidRPr="000450BF">
        <w:t xml:space="preserve">; </w:t>
      </w:r>
      <w:r w:rsidR="00C625E9" w:rsidRPr="000450BF">
        <w:t>however,</w:t>
      </w:r>
      <w:r w:rsidR="005F700F" w:rsidRPr="000450BF">
        <w:t xml:space="preserve"> some provisions allow </w:t>
      </w:r>
      <w:r w:rsidR="002E6630" w:rsidRPr="000450BF">
        <w:t>Burundian</w:t>
      </w:r>
      <w:r w:rsidRPr="000450BF">
        <w:t xml:space="preserve"> authorities </w:t>
      </w:r>
      <w:r w:rsidR="007863AD" w:rsidRPr="000450BF">
        <w:t>t</w:t>
      </w:r>
      <w:r w:rsidR="005F700F" w:rsidRPr="000450BF">
        <w:t xml:space="preserve">o control closely their activities and </w:t>
      </w:r>
      <w:r w:rsidR="000E0A6B" w:rsidRPr="000450BF">
        <w:t xml:space="preserve">to </w:t>
      </w:r>
      <w:r w:rsidR="008F37F0">
        <w:t>seize</w:t>
      </w:r>
      <w:r w:rsidR="000E0A6B" w:rsidRPr="000450BF">
        <w:t xml:space="preserve"> </w:t>
      </w:r>
      <w:r w:rsidR="005F700F" w:rsidRPr="000450BF">
        <w:t>part of their resources</w:t>
      </w:r>
      <w:r w:rsidRPr="000450BF">
        <w:t xml:space="preserve">. </w:t>
      </w:r>
      <w:r w:rsidR="000E0A6B" w:rsidRPr="000450BF">
        <w:t>The</w:t>
      </w:r>
      <w:r w:rsidRPr="000450BF">
        <w:t xml:space="preserve"> </w:t>
      </w:r>
      <w:r w:rsidR="00A4591E" w:rsidRPr="000450BF">
        <w:t>Minister of Foreign Affairs</w:t>
      </w:r>
      <w:r w:rsidR="005F700F" w:rsidRPr="000450BF">
        <w:t xml:space="preserve"> recently recalled that th</w:t>
      </w:r>
      <w:r w:rsidR="00171B19" w:rsidRPr="000450BF">
        <w:t xml:space="preserve">e 2017 </w:t>
      </w:r>
      <w:r w:rsidR="00664DC9">
        <w:t>l</w:t>
      </w:r>
      <w:r w:rsidR="005F700F" w:rsidRPr="000450BF">
        <w:t>aw was necessary becaus</w:t>
      </w:r>
      <w:r w:rsidR="008D635F" w:rsidRPr="000450BF">
        <w:t>e</w:t>
      </w:r>
      <w:r w:rsidR="00664DC9">
        <w:t xml:space="preserve"> “</w:t>
      </w:r>
      <w:r w:rsidR="005F700F" w:rsidRPr="000450BF">
        <w:t>it appears that</w:t>
      </w:r>
      <w:r w:rsidR="00996260" w:rsidRPr="000450BF">
        <w:t>,</w:t>
      </w:r>
      <w:r w:rsidR="005F700F" w:rsidRPr="000450BF">
        <w:t xml:space="preserve"> in fact</w:t>
      </w:r>
      <w:r w:rsidR="00996260" w:rsidRPr="000450BF">
        <w:t>,</w:t>
      </w:r>
      <w:r w:rsidR="005F700F" w:rsidRPr="000450BF">
        <w:t xml:space="preserve"> an important part of the assistance goes through NGOs </w:t>
      </w:r>
      <w:r w:rsidR="00CE4FEA" w:rsidRPr="000450BF">
        <w:t>and a large part is allocated</w:t>
      </w:r>
      <w:r w:rsidR="00EF21DE" w:rsidRPr="000450BF">
        <w:t xml:space="preserve"> to</w:t>
      </w:r>
      <w:r w:rsidR="00CE4FEA" w:rsidRPr="000450BF">
        <w:t xml:space="preserve"> the</w:t>
      </w:r>
      <w:r w:rsidR="00EF21DE" w:rsidRPr="000450BF">
        <w:t>ir</w:t>
      </w:r>
      <w:r w:rsidR="00CE4FEA" w:rsidRPr="000450BF">
        <w:t xml:space="preserve"> operations </w:t>
      </w:r>
      <w:r w:rsidR="00EF21DE" w:rsidRPr="000450BF">
        <w:t xml:space="preserve">to </w:t>
      </w:r>
      <w:r w:rsidR="00CE4FEA" w:rsidRPr="000450BF">
        <w:t>the detriment of development activities</w:t>
      </w:r>
      <w:r w:rsidRPr="000450BF">
        <w:t xml:space="preserve">. </w:t>
      </w:r>
      <w:r w:rsidR="005B1A35" w:rsidRPr="000450BF">
        <w:t>The</w:t>
      </w:r>
      <w:r w:rsidRPr="000450BF">
        <w:t xml:space="preserve"> diff</w:t>
      </w:r>
      <w:r w:rsidR="007D5A0A" w:rsidRPr="000450BF">
        <w:t>e</w:t>
      </w:r>
      <w:r w:rsidRPr="000450BF">
        <w:t xml:space="preserve">rent </w:t>
      </w:r>
      <w:r w:rsidRPr="000450BF">
        <w:rPr>
          <w:i/>
        </w:rPr>
        <w:t>fora</w:t>
      </w:r>
      <w:r w:rsidRPr="000450BF">
        <w:t xml:space="preserve"> </w:t>
      </w:r>
      <w:r w:rsidR="00CE4FEA" w:rsidRPr="000450BF">
        <w:t>held on the efficiency of assistance unanimously recognised that to be efficient</w:t>
      </w:r>
      <w:r w:rsidR="000737B7" w:rsidRPr="000450BF">
        <w:t>:</w:t>
      </w:r>
      <w:r w:rsidR="00CE4FEA" w:rsidRPr="000450BF">
        <w:t xml:space="preserve"> assistance m</w:t>
      </w:r>
      <w:r w:rsidR="000737B7" w:rsidRPr="000450BF">
        <w:t>u</w:t>
      </w:r>
      <w:r w:rsidR="00CE4FEA" w:rsidRPr="000450BF">
        <w:t>st integrate the administrative and financial networks of the beneficiary countries</w:t>
      </w:r>
      <w:r w:rsidRPr="000450BF">
        <w:t>.</w:t>
      </w:r>
      <w:r w:rsidR="00CE4FEA" w:rsidRPr="000450BF">
        <w:t xml:space="preserve"> </w:t>
      </w:r>
      <w:r w:rsidR="000737B7" w:rsidRPr="000450BF">
        <w:t>T</w:t>
      </w:r>
      <w:r w:rsidR="00CE4FEA" w:rsidRPr="000450BF">
        <w:t xml:space="preserve">his is only possible if the </w:t>
      </w:r>
      <w:r w:rsidR="007F5B89">
        <w:t>Government</w:t>
      </w:r>
      <w:r w:rsidR="00CE4FEA" w:rsidRPr="000450BF">
        <w:t xml:space="preserve"> obtains regular and verified reports on the nature and the scope of NGO interventions for a better coordination of th</w:t>
      </w:r>
      <w:r w:rsidR="002A099C" w:rsidRPr="000450BF">
        <w:t xml:space="preserve">ese </w:t>
      </w:r>
      <w:r w:rsidR="00CE4FEA" w:rsidRPr="000450BF">
        <w:t>interventions</w:t>
      </w:r>
      <w:r w:rsidR="00664DC9">
        <w:t>”.</w:t>
      </w:r>
      <w:r w:rsidRPr="000450BF">
        <w:rPr>
          <w:rStyle w:val="FootnoteReference"/>
        </w:rPr>
        <w:footnoteReference w:id="71"/>
      </w:r>
      <w:r w:rsidRPr="000450BF">
        <w:t xml:space="preserve"> </w:t>
      </w:r>
      <w:r w:rsidR="008F37F0">
        <w:t>Indeed, s</w:t>
      </w:r>
      <w:r w:rsidR="00E26EE6" w:rsidRPr="000450BF">
        <w:t>ince</w:t>
      </w:r>
      <w:r w:rsidRPr="000450BF">
        <w:t xml:space="preserve"> 14 </w:t>
      </w:r>
      <w:r w:rsidR="00E26EE6" w:rsidRPr="000450BF">
        <w:t>March</w:t>
      </w:r>
      <w:r w:rsidRPr="000450BF">
        <w:t xml:space="preserve"> 2016, </w:t>
      </w:r>
      <w:r w:rsidR="00E26EE6" w:rsidRPr="000450BF">
        <w:t>t</w:t>
      </w:r>
      <w:r w:rsidR="00CE4FEA" w:rsidRPr="000450BF">
        <w:t xml:space="preserve">he European Union had decided to suspend all direct financial support </w:t>
      </w:r>
      <w:r w:rsidR="00D832CD" w:rsidRPr="000450BF">
        <w:t>to</w:t>
      </w:r>
      <w:r w:rsidR="00CE4FEA" w:rsidRPr="000450BF">
        <w:t xml:space="preserve"> the</w:t>
      </w:r>
      <w:r w:rsidR="00D832CD" w:rsidRPr="000450BF">
        <w:t xml:space="preserve"> </w:t>
      </w:r>
      <w:r w:rsidR="002E6630" w:rsidRPr="000450BF">
        <w:t>Burundian</w:t>
      </w:r>
      <w:r w:rsidRPr="000450BF">
        <w:t xml:space="preserve"> </w:t>
      </w:r>
      <w:r w:rsidR="007F5B89">
        <w:t>Government</w:t>
      </w:r>
      <w:r w:rsidRPr="000450BF">
        <w:t xml:space="preserve"> </w:t>
      </w:r>
      <w:r w:rsidR="00CE4FEA" w:rsidRPr="000450BF">
        <w:t>and redirected its funding to civil society organisations only</w:t>
      </w:r>
      <w:r w:rsidRPr="000450BF">
        <w:t xml:space="preserve">. </w:t>
      </w:r>
      <w:r w:rsidR="00CE4FEA" w:rsidRPr="000450BF">
        <w:t xml:space="preserve">The </w:t>
      </w:r>
      <w:r w:rsidR="00A4591E" w:rsidRPr="000450BF">
        <w:t>201</w:t>
      </w:r>
      <w:r w:rsidR="00104BF8" w:rsidRPr="000450BF">
        <w:t>7</w:t>
      </w:r>
      <w:r w:rsidR="00664DC9">
        <w:t xml:space="preserve"> l</w:t>
      </w:r>
      <w:r w:rsidR="00A4591E" w:rsidRPr="000450BF">
        <w:t>aw</w:t>
      </w:r>
      <w:r w:rsidR="00CE4FEA" w:rsidRPr="000450BF">
        <w:t xml:space="preserve"> which requires </w:t>
      </w:r>
      <w:r w:rsidR="00B4379C" w:rsidRPr="000450BF">
        <w:t>foreign NGOs</w:t>
      </w:r>
      <w:r w:rsidRPr="000450BF">
        <w:t xml:space="preserve"> </w:t>
      </w:r>
      <w:r w:rsidR="00CE4FEA" w:rsidRPr="000450BF">
        <w:t xml:space="preserve">to </w:t>
      </w:r>
      <w:r w:rsidR="00A66BBA" w:rsidRPr="000450BF">
        <w:t>transfer a</w:t>
      </w:r>
      <w:r w:rsidR="001A5EDD" w:rsidRPr="000450BF">
        <w:t xml:space="preserve"> third</w:t>
      </w:r>
      <w:r w:rsidR="00CE4FEA" w:rsidRPr="000450BF">
        <w:t xml:space="preserve"> of their annual</w:t>
      </w:r>
      <w:r w:rsidR="001A5EDD" w:rsidRPr="000450BF">
        <w:t xml:space="preserve"> </w:t>
      </w:r>
      <w:r w:rsidR="00CE4FEA" w:rsidRPr="000450BF">
        <w:t xml:space="preserve">budget </w:t>
      </w:r>
      <w:r w:rsidR="001A5EDD" w:rsidRPr="000450BF">
        <w:t>to an a</w:t>
      </w:r>
      <w:r w:rsidR="00CE4FEA" w:rsidRPr="000450BF">
        <w:t xml:space="preserve">ccount with the </w:t>
      </w:r>
      <w:r w:rsidR="0084735F" w:rsidRPr="000450BF">
        <w:t>C</w:t>
      </w:r>
      <w:r w:rsidR="00CE4FEA" w:rsidRPr="000450BF">
        <w:t xml:space="preserve">entral </w:t>
      </w:r>
      <w:r w:rsidR="00CE2ADC" w:rsidRPr="000450BF">
        <w:t>B</w:t>
      </w:r>
      <w:r w:rsidR="00CE4FEA" w:rsidRPr="000450BF">
        <w:t xml:space="preserve">ank of </w:t>
      </w:r>
      <w:r w:rsidRPr="000450BF">
        <w:t xml:space="preserve">Burundi </w:t>
      </w:r>
      <w:r w:rsidR="00F62C4C" w:rsidRPr="000450BF">
        <w:t>o</w:t>
      </w:r>
      <w:r w:rsidR="00CE4FEA" w:rsidRPr="000450BF">
        <w:t xml:space="preserve">ffers an opportunity to the </w:t>
      </w:r>
      <w:r w:rsidR="002E6630" w:rsidRPr="000450BF">
        <w:t>Burundian</w:t>
      </w:r>
      <w:r w:rsidR="00CE4FEA" w:rsidRPr="000450BF">
        <w:t xml:space="preserve"> </w:t>
      </w:r>
      <w:r w:rsidRPr="000450BF">
        <w:t xml:space="preserve">authorities </w:t>
      </w:r>
      <w:r w:rsidR="00CE4FEA" w:rsidRPr="000450BF">
        <w:t>to access foreign currency</w:t>
      </w:r>
      <w:r w:rsidRPr="000450BF">
        <w:t xml:space="preserve">, </w:t>
      </w:r>
      <w:r w:rsidR="00CE4FEA" w:rsidRPr="000450BF">
        <w:t xml:space="preserve">even if it is only </w:t>
      </w:r>
      <w:r w:rsidR="008F37F0">
        <w:t>via</w:t>
      </w:r>
      <w:r w:rsidR="00F75772" w:rsidRPr="000450BF">
        <w:t xml:space="preserve"> </w:t>
      </w:r>
      <w:r w:rsidR="00CE4FEA" w:rsidRPr="000450BF">
        <w:t xml:space="preserve">the </w:t>
      </w:r>
      <w:r w:rsidR="008F37F0">
        <w:t xml:space="preserve">effects of </w:t>
      </w:r>
      <w:r w:rsidR="00CE4FEA" w:rsidRPr="000450BF">
        <w:t>official exchange rate</w:t>
      </w:r>
      <w:r w:rsidRPr="000450BF">
        <w:t>.</w:t>
      </w:r>
    </w:p>
    <w:p w14:paraId="0697C7E3" w14:textId="11844981" w:rsidR="008E4E71" w:rsidRPr="000450BF" w:rsidRDefault="008E4E71" w:rsidP="008E4E71">
      <w:pPr>
        <w:pStyle w:val="SingleTxtG"/>
      </w:pPr>
      <w:r w:rsidRPr="000450BF">
        <w:t>245.</w:t>
      </w:r>
      <w:r w:rsidRPr="000450BF">
        <w:tab/>
      </w:r>
      <w:r w:rsidR="00BB153E" w:rsidRPr="000450BF">
        <w:t>Initially, some</w:t>
      </w:r>
      <w:r w:rsidR="00CE4FEA" w:rsidRPr="000450BF">
        <w:t xml:space="preserve"> provisions of </w:t>
      </w:r>
      <w:r w:rsidR="00BB153E" w:rsidRPr="000450BF">
        <w:t xml:space="preserve">the </w:t>
      </w:r>
      <w:r w:rsidRPr="000450BF">
        <w:t xml:space="preserve">2017 </w:t>
      </w:r>
      <w:r w:rsidR="00664DC9">
        <w:t>l</w:t>
      </w:r>
      <w:r w:rsidR="00344B3A" w:rsidRPr="000450BF">
        <w:t xml:space="preserve">aw </w:t>
      </w:r>
      <w:r w:rsidR="00CE4FEA" w:rsidRPr="000450BF">
        <w:t>were not respected and</w:t>
      </w:r>
      <w:r w:rsidR="008F37F0">
        <w:t xml:space="preserve"> the N</w:t>
      </w:r>
      <w:r w:rsidR="00CE4FEA" w:rsidRPr="000450BF">
        <w:t xml:space="preserve">ational </w:t>
      </w:r>
      <w:r w:rsidR="008F37F0">
        <w:t>S</w:t>
      </w:r>
      <w:r w:rsidR="00CE4FEA" w:rsidRPr="000450BF">
        <w:t xml:space="preserve">ecurity </w:t>
      </w:r>
      <w:r w:rsidR="008F37F0">
        <w:t>C</w:t>
      </w:r>
      <w:r w:rsidR="00CE4FEA" w:rsidRPr="000450BF">
        <w:t>ouncil</w:t>
      </w:r>
      <w:r w:rsidR="00BB3413" w:rsidRPr="000450BF">
        <w:t>,</w:t>
      </w:r>
      <w:r w:rsidR="00CE4FEA" w:rsidRPr="000450BF">
        <w:t xml:space="preserve"> </w:t>
      </w:r>
      <w:r w:rsidR="00EF3EE9">
        <w:t xml:space="preserve">though </w:t>
      </w:r>
      <w:r w:rsidR="00CE4FEA" w:rsidRPr="000450BF">
        <w:t xml:space="preserve">only a consultative body of the </w:t>
      </w:r>
      <w:r w:rsidR="007F5B89">
        <w:t>Government</w:t>
      </w:r>
      <w:r w:rsidR="00CE4FEA" w:rsidRPr="000450BF">
        <w:t xml:space="preserve"> in security matters</w:t>
      </w:r>
      <w:r w:rsidR="00BB3413" w:rsidRPr="000450BF">
        <w:t>,</w:t>
      </w:r>
      <w:r w:rsidR="00CE4FEA" w:rsidRPr="000450BF">
        <w:t xml:space="preserve"> decided to suspend </w:t>
      </w:r>
      <w:r w:rsidR="00BB3413" w:rsidRPr="000450BF">
        <w:t xml:space="preserve">all activities of foreign NGOs </w:t>
      </w:r>
      <w:r w:rsidR="00CE4FEA" w:rsidRPr="000450BF">
        <w:t xml:space="preserve">for </w:t>
      </w:r>
      <w:r w:rsidR="00664DC9">
        <w:t>three</w:t>
      </w:r>
      <w:r w:rsidR="00CE4FEA" w:rsidRPr="000450BF">
        <w:t xml:space="preserve"> months from </w:t>
      </w:r>
      <w:r w:rsidR="00BF6F35" w:rsidRPr="000450BF">
        <w:t>1 October 2018</w:t>
      </w:r>
      <w:r w:rsidR="00EF3EE9">
        <w:t>,</w:t>
      </w:r>
      <w:r w:rsidR="00BF6F35" w:rsidRPr="000450BF">
        <w:t xml:space="preserve"> in order to force them to re</w:t>
      </w:r>
      <w:r w:rsidR="001510B8" w:rsidRPr="000450BF">
        <w:t>-</w:t>
      </w:r>
      <w:r w:rsidR="00BF6F35" w:rsidRPr="000450BF">
        <w:t>register</w:t>
      </w:r>
      <w:r w:rsidR="001510B8" w:rsidRPr="000450BF">
        <w:t xml:space="preserve"> and seek a new</w:t>
      </w:r>
      <w:r w:rsidR="00BF6F35" w:rsidRPr="000450BF">
        <w:t xml:space="preserve"> </w:t>
      </w:r>
      <w:r w:rsidR="006F4A18" w:rsidRPr="000450BF">
        <w:t>agreement</w:t>
      </w:r>
      <w:r w:rsidRPr="000450BF">
        <w:t xml:space="preserve">. </w:t>
      </w:r>
      <w:r w:rsidR="001D294A" w:rsidRPr="000450BF">
        <w:t>T</w:t>
      </w:r>
      <w:r w:rsidR="00CE4FEA" w:rsidRPr="000450BF">
        <w:t xml:space="preserve">he </w:t>
      </w:r>
      <w:r w:rsidR="00104BF8" w:rsidRPr="000450BF">
        <w:t>Minister of Interior</w:t>
      </w:r>
      <w:r w:rsidR="00CE4FEA" w:rsidRPr="000450BF">
        <w:t xml:space="preserve"> explained that in order to continue to work</w:t>
      </w:r>
      <w:r w:rsidR="00EF3EE9">
        <w:t>,</w:t>
      </w:r>
      <w:r w:rsidR="00CE4FEA" w:rsidRPr="000450BF">
        <w:t xml:space="preserve"> foreign NGOs had to have </w:t>
      </w:r>
      <w:r w:rsidR="006F4A18" w:rsidRPr="000450BF">
        <w:t>four</w:t>
      </w:r>
      <w:r w:rsidR="00CE4FEA" w:rsidRPr="000450BF">
        <w:t xml:space="preserve"> documents</w:t>
      </w:r>
      <w:r w:rsidRPr="000450BF">
        <w:t xml:space="preserve">: </w:t>
      </w:r>
      <w:r w:rsidR="00CE4FEA" w:rsidRPr="000450BF">
        <w:t xml:space="preserve">the agreement with the </w:t>
      </w:r>
      <w:r w:rsidR="00EF3EE9">
        <w:t>Foreign Affairs m</w:t>
      </w:r>
      <w:r w:rsidR="00CE4FEA" w:rsidRPr="000450BF">
        <w:t>inist</w:t>
      </w:r>
      <w:r w:rsidR="00EF3EE9">
        <w:t>ry</w:t>
      </w:r>
      <w:r w:rsidR="00D51901" w:rsidRPr="000450BF">
        <w:t xml:space="preserve">, </w:t>
      </w:r>
      <w:r w:rsidR="00CE4FEA" w:rsidRPr="000450BF">
        <w:t xml:space="preserve">an implementation </w:t>
      </w:r>
      <w:r w:rsidR="00EF3EE9">
        <w:t xml:space="preserve">protocol </w:t>
      </w:r>
      <w:r w:rsidR="00CE4FEA" w:rsidRPr="000450BF">
        <w:t xml:space="preserve">for the program </w:t>
      </w:r>
      <w:r w:rsidR="00EF3EE9">
        <w:t>depending on</w:t>
      </w:r>
      <w:r w:rsidR="00050472" w:rsidRPr="000450BF">
        <w:t xml:space="preserve"> the</w:t>
      </w:r>
      <w:r w:rsidR="00667F4F" w:rsidRPr="000450BF">
        <w:t>ir intervention area</w:t>
      </w:r>
      <w:r w:rsidR="00050472" w:rsidRPr="000450BF">
        <w:t xml:space="preserve"> as well as an act in which the NGO commits to respect the national development programme </w:t>
      </w:r>
      <w:r w:rsidR="00F27A76" w:rsidRPr="000450BF">
        <w:t xml:space="preserve">(2018-2027), </w:t>
      </w:r>
      <w:r w:rsidR="00050472" w:rsidRPr="000450BF">
        <w:t xml:space="preserve">and another in which it commits to respect the banking regulation </w:t>
      </w:r>
      <w:r w:rsidR="00F27A76" w:rsidRPr="000450BF">
        <w:t xml:space="preserve">on </w:t>
      </w:r>
      <w:r w:rsidR="00050472" w:rsidRPr="000450BF">
        <w:t>currency exchange</w:t>
      </w:r>
      <w:r w:rsidRPr="000450BF">
        <w:t xml:space="preserve">. </w:t>
      </w:r>
      <w:r w:rsidR="00A66BBA" w:rsidRPr="000450BF">
        <w:t>Finally,</w:t>
      </w:r>
      <w:r w:rsidR="00050472" w:rsidRPr="000450BF">
        <w:t xml:space="preserve"> he indicated that foreign NGOs must follow a progressive plan over </w:t>
      </w:r>
      <w:r w:rsidR="00664DC9">
        <w:t>three</w:t>
      </w:r>
      <w:r w:rsidR="00050472" w:rsidRPr="000450BF">
        <w:t xml:space="preserve"> years in order to correct the ethnic and gender inequalities</w:t>
      </w:r>
      <w:r w:rsidR="00664DC9">
        <w:t>.</w:t>
      </w:r>
      <w:r w:rsidRPr="000450BF">
        <w:rPr>
          <w:rStyle w:val="FootnoteReference"/>
        </w:rPr>
        <w:footnoteReference w:id="72"/>
      </w:r>
    </w:p>
    <w:p w14:paraId="07DC093D" w14:textId="209BC9E3" w:rsidR="008E4E71" w:rsidRPr="000450BF" w:rsidRDefault="008E4E71" w:rsidP="008E4E71">
      <w:pPr>
        <w:pStyle w:val="SingleTxtG"/>
      </w:pPr>
      <w:r w:rsidRPr="000450BF">
        <w:t>246.</w:t>
      </w:r>
      <w:r w:rsidRPr="000450BF">
        <w:tab/>
      </w:r>
      <w:r w:rsidR="0034584D" w:rsidRPr="000450BF">
        <w:t xml:space="preserve">In fact, the 2017 </w:t>
      </w:r>
      <w:r w:rsidR="00552F36">
        <w:t>l</w:t>
      </w:r>
      <w:r w:rsidR="0034584D" w:rsidRPr="000450BF">
        <w:t xml:space="preserve">aw requires foreign NGOs to provide a list of their employees to the authorities indicating their </w:t>
      </w:r>
      <w:r w:rsidR="00A66BBA" w:rsidRPr="000450BF">
        <w:t>ethnicity</w:t>
      </w:r>
      <w:r w:rsidR="0034584D" w:rsidRPr="000450BF">
        <w:t xml:space="preserve"> so that they can check that the </w:t>
      </w:r>
      <w:r w:rsidRPr="000450BF">
        <w:t xml:space="preserve">quotas </w:t>
      </w:r>
      <w:r w:rsidR="0034584D" w:rsidRPr="000450BF">
        <w:t>of</w:t>
      </w:r>
      <w:r w:rsidRPr="000450BF">
        <w:t xml:space="preserve"> 60</w:t>
      </w:r>
      <w:r w:rsidR="00552F36">
        <w:t> </w:t>
      </w:r>
      <w:r w:rsidRPr="000450BF">
        <w:t xml:space="preserve">% Hutus </w:t>
      </w:r>
      <w:r w:rsidR="0034584D" w:rsidRPr="000450BF">
        <w:t>and</w:t>
      </w:r>
      <w:r w:rsidRPr="000450BF">
        <w:t xml:space="preserve"> 40</w:t>
      </w:r>
      <w:r w:rsidR="00552F36">
        <w:t> </w:t>
      </w:r>
      <w:r w:rsidRPr="000450BF">
        <w:t>% Tutsis</w:t>
      </w:r>
      <w:r w:rsidR="006F4D64" w:rsidRPr="000450BF">
        <w:t xml:space="preserve"> </w:t>
      </w:r>
      <w:r w:rsidR="0034584D" w:rsidRPr="000450BF">
        <w:t xml:space="preserve">are respected as well as a minimum of </w:t>
      </w:r>
      <w:r w:rsidRPr="000450BF">
        <w:t>30</w:t>
      </w:r>
      <w:r w:rsidR="00552F36">
        <w:t> </w:t>
      </w:r>
      <w:r w:rsidRPr="000450BF">
        <w:t xml:space="preserve">% </w:t>
      </w:r>
      <w:r w:rsidR="0034584D" w:rsidRPr="000450BF">
        <w:t xml:space="preserve">of women. While </w:t>
      </w:r>
      <w:r w:rsidR="00004E87" w:rsidRPr="000450BF">
        <w:t>t</w:t>
      </w:r>
      <w:r w:rsidR="0034584D" w:rsidRPr="000450BF">
        <w:t>he ethnic quotas were indeed provided for in the Arusha Peace Agreemen</w:t>
      </w:r>
      <w:r w:rsidR="00BF226D" w:rsidRPr="000450BF">
        <w:t>t</w:t>
      </w:r>
      <w:r w:rsidR="0034584D" w:rsidRPr="000450BF">
        <w:t xml:space="preserve"> and the 2005 </w:t>
      </w:r>
      <w:r w:rsidR="002E6630" w:rsidRPr="000450BF">
        <w:t>Burundian</w:t>
      </w:r>
      <w:r w:rsidR="0034584D" w:rsidRPr="000450BF">
        <w:t xml:space="preserve"> Constitution, the</w:t>
      </w:r>
      <w:r w:rsidR="00BF226D" w:rsidRPr="000450BF">
        <w:t xml:space="preserve">y are only </w:t>
      </w:r>
      <w:r w:rsidR="00EF3EE9" w:rsidRPr="000450BF">
        <w:t>applicable</w:t>
      </w:r>
      <w:r w:rsidR="00BF226D" w:rsidRPr="000450BF">
        <w:t xml:space="preserve"> </w:t>
      </w:r>
      <w:r w:rsidR="00EF3EE9">
        <w:t>to</w:t>
      </w:r>
      <w:r w:rsidR="00BF226D" w:rsidRPr="000450BF">
        <w:t xml:space="preserve"> the executive and legislative powers as well as the security f</w:t>
      </w:r>
      <w:r w:rsidR="00552F36">
        <w:t>orces, in order to establish a “</w:t>
      </w:r>
      <w:r w:rsidR="007D6C5C" w:rsidRPr="000450BF">
        <w:t>c</w:t>
      </w:r>
      <w:r w:rsidR="00552F36">
        <w:t>onsociational”</w:t>
      </w:r>
      <w:r w:rsidR="00BF226D" w:rsidRPr="000450BF">
        <w:t xml:space="preserve"> democracy</w:t>
      </w:r>
      <w:r w:rsidRPr="000450BF">
        <w:rPr>
          <w:rStyle w:val="FootnoteReference"/>
        </w:rPr>
        <w:footnoteReference w:id="73"/>
      </w:r>
      <w:r w:rsidRPr="000450BF">
        <w:t xml:space="preserve">. </w:t>
      </w:r>
      <w:r w:rsidR="00BF226D" w:rsidRPr="000450BF">
        <w:t>The</w:t>
      </w:r>
      <w:r w:rsidRPr="000450BF">
        <w:t xml:space="preserve"> Constitution promulg</w:t>
      </w:r>
      <w:r w:rsidR="00BF226D" w:rsidRPr="000450BF">
        <w:t xml:space="preserve">ated in 2018 has added quotas within the judicial </w:t>
      </w:r>
      <w:r w:rsidR="00A66BBA" w:rsidRPr="000450BF">
        <w:t>system;</w:t>
      </w:r>
      <w:r w:rsidR="00BF226D" w:rsidRPr="000450BF">
        <w:t xml:space="preserve"> but has no provisions for such quotas in the private sectors, such as international NGOs or private companies. Some foreign NGOs publicly announce</w:t>
      </w:r>
      <w:r w:rsidR="00BC236D" w:rsidRPr="000450BF">
        <w:t>d</w:t>
      </w:r>
      <w:r w:rsidR="00BF226D" w:rsidRPr="000450BF">
        <w:t xml:space="preserve"> their decision to leave the country rather than being subject</w:t>
      </w:r>
      <w:r w:rsidR="00E36C31" w:rsidRPr="000450BF">
        <w:t>ed</w:t>
      </w:r>
      <w:r w:rsidR="00BF226D" w:rsidRPr="000450BF">
        <w:t xml:space="preserve"> to requirements of keeping a record of their </w:t>
      </w:r>
      <w:r w:rsidR="00A66BBA" w:rsidRPr="000450BF">
        <w:t>employees’</w:t>
      </w:r>
      <w:r w:rsidR="00BF226D" w:rsidRPr="000450BF">
        <w:t xml:space="preserve"> ethnic group, which </w:t>
      </w:r>
      <w:r w:rsidR="00EF3EE9">
        <w:t xml:space="preserve">they considered to be against </w:t>
      </w:r>
      <w:r w:rsidR="00BF226D" w:rsidRPr="000450BF">
        <w:t xml:space="preserve">their values. These are namely; </w:t>
      </w:r>
      <w:r w:rsidRPr="000450BF">
        <w:rPr>
          <w:i/>
        </w:rPr>
        <w:t>Handicap International Humanité &amp; Inclusion</w:t>
      </w:r>
      <w:r w:rsidRPr="000450BF">
        <w:t xml:space="preserve">, </w:t>
      </w:r>
      <w:r w:rsidRPr="000450BF">
        <w:rPr>
          <w:i/>
        </w:rPr>
        <w:t>Avocats Sans Frontières</w:t>
      </w:r>
      <w:r w:rsidRPr="000450BF">
        <w:t xml:space="preserve"> </w:t>
      </w:r>
      <w:r w:rsidR="00BF226D" w:rsidRPr="000450BF">
        <w:t xml:space="preserve">and </w:t>
      </w:r>
      <w:r w:rsidRPr="000450BF">
        <w:rPr>
          <w:i/>
        </w:rPr>
        <w:t>RCN Justice &amp; Démocratie</w:t>
      </w:r>
      <w:r w:rsidRPr="000450BF">
        <w:t>.</w:t>
      </w:r>
    </w:p>
    <w:p w14:paraId="1F5B1E5D" w14:textId="766D6DBC" w:rsidR="008E4E71" w:rsidRPr="000450BF" w:rsidRDefault="008E4E71" w:rsidP="008E4E71">
      <w:pPr>
        <w:pStyle w:val="SingleTxtG"/>
      </w:pPr>
      <w:r w:rsidRPr="000450BF">
        <w:t>247.</w:t>
      </w:r>
      <w:r w:rsidRPr="000450BF">
        <w:tab/>
      </w:r>
      <w:r w:rsidR="00BF226D" w:rsidRPr="000450BF">
        <w:t>On</w:t>
      </w:r>
      <w:r w:rsidRPr="000450BF">
        <w:t xml:space="preserve"> 17 </w:t>
      </w:r>
      <w:r w:rsidR="00BF226D" w:rsidRPr="000450BF">
        <w:t>July</w:t>
      </w:r>
      <w:r w:rsidRPr="000450BF">
        <w:t xml:space="preserve"> 2019, </w:t>
      </w:r>
      <w:r w:rsidR="007D5794" w:rsidRPr="000450BF">
        <w:t xml:space="preserve">during the Council of Ministers, </w:t>
      </w:r>
      <w:r w:rsidR="008B265B" w:rsidRPr="000450BF">
        <w:t xml:space="preserve">the </w:t>
      </w:r>
      <w:r w:rsidR="007F5B89">
        <w:t>Government</w:t>
      </w:r>
      <w:r w:rsidRPr="000450BF">
        <w:t xml:space="preserve"> </w:t>
      </w:r>
      <w:r w:rsidR="008B265B" w:rsidRPr="000450BF">
        <w:t xml:space="preserve">adopted a decree presented by the </w:t>
      </w:r>
      <w:r w:rsidR="00A4591E" w:rsidRPr="000450BF">
        <w:t>Minister of Foreign Affairs</w:t>
      </w:r>
      <w:r w:rsidR="008B265B" w:rsidRPr="000450BF">
        <w:t xml:space="preserve"> on the </w:t>
      </w:r>
      <w:r w:rsidR="00552F36">
        <w:t>“</w:t>
      </w:r>
      <w:r w:rsidRPr="000450BF">
        <w:t xml:space="preserve">organisation, composition </w:t>
      </w:r>
      <w:r w:rsidR="008B265B" w:rsidRPr="000450BF">
        <w:t xml:space="preserve">and </w:t>
      </w:r>
      <w:r w:rsidR="00A66BBA" w:rsidRPr="000450BF">
        <w:t>functioning</w:t>
      </w:r>
      <w:r w:rsidR="008B265B" w:rsidRPr="000450BF">
        <w:t xml:space="preserve"> of the </w:t>
      </w:r>
      <w:r w:rsidR="00A66BBA" w:rsidRPr="000450BF">
        <w:t>recruitment</w:t>
      </w:r>
      <w:r w:rsidR="008B265B" w:rsidRPr="000450BF">
        <w:t xml:space="preserve"> committees of local staff by foreign </w:t>
      </w:r>
      <w:r w:rsidR="00A66BBA" w:rsidRPr="000450BF">
        <w:t>non-</w:t>
      </w:r>
      <w:r w:rsidR="007F5B89">
        <w:t>Government</w:t>
      </w:r>
      <w:r w:rsidR="00A66BBA" w:rsidRPr="000450BF">
        <w:t>al</w:t>
      </w:r>
      <w:r w:rsidR="008B265B" w:rsidRPr="000450BF">
        <w:t xml:space="preserve"> organisations in Burundi</w:t>
      </w:r>
      <w:r w:rsidR="00552F36">
        <w:t>”</w:t>
      </w:r>
      <w:r w:rsidRPr="000450BF">
        <w:t xml:space="preserve">. </w:t>
      </w:r>
      <w:r w:rsidR="008B265B" w:rsidRPr="000450BF">
        <w:t>This decree established a proce</w:t>
      </w:r>
      <w:r w:rsidRPr="000450BF">
        <w:t>dur</w:t>
      </w:r>
      <w:r w:rsidR="003246CA" w:rsidRPr="000450BF">
        <w:t xml:space="preserve">al framework for the </w:t>
      </w:r>
      <w:r w:rsidR="00A66BBA" w:rsidRPr="000450BF">
        <w:t>recruitment</w:t>
      </w:r>
      <w:r w:rsidR="003246CA" w:rsidRPr="000450BF">
        <w:t xml:space="preserve"> of local staff by foreign NGOs, and notably the necessary approach</w:t>
      </w:r>
      <w:r w:rsidR="00D92ACA" w:rsidRPr="000450BF">
        <w:t>e</w:t>
      </w:r>
      <w:r w:rsidR="003246CA" w:rsidRPr="000450BF">
        <w:t xml:space="preserve">s to take into account the ethnic and gender aspects imposed by the 2017 </w:t>
      </w:r>
      <w:r w:rsidR="00552F36">
        <w:t>l</w:t>
      </w:r>
      <w:r w:rsidR="003246CA" w:rsidRPr="000450BF">
        <w:t xml:space="preserve">aw. The stated </w:t>
      </w:r>
      <w:r w:rsidRPr="000450BF">
        <w:t>objecti</w:t>
      </w:r>
      <w:r w:rsidR="003246CA" w:rsidRPr="000450BF">
        <w:t xml:space="preserve">ve </w:t>
      </w:r>
      <w:r w:rsidR="003B353B" w:rsidRPr="000450BF">
        <w:t>wa</w:t>
      </w:r>
      <w:r w:rsidR="003246CA" w:rsidRPr="000450BF">
        <w:t xml:space="preserve">s to </w:t>
      </w:r>
      <w:r w:rsidR="00552F36">
        <w:t>“</w:t>
      </w:r>
      <w:r w:rsidRPr="000450BF">
        <w:t>corr</w:t>
      </w:r>
      <w:r w:rsidR="003246CA" w:rsidRPr="000450BF">
        <w:t>ect the observed imbalances and contribute to the social cohesion</w:t>
      </w:r>
      <w:r w:rsidR="00552F36">
        <w:t>”</w:t>
      </w:r>
      <w:r w:rsidR="003246CA" w:rsidRPr="000450BF">
        <w:t xml:space="preserve">, and </w:t>
      </w:r>
      <w:r w:rsidR="00552F36">
        <w:t>“</w:t>
      </w:r>
      <w:r w:rsidR="003246CA" w:rsidRPr="000450BF">
        <w:t xml:space="preserve">is consistent with the </w:t>
      </w:r>
      <w:r w:rsidR="007F5B89">
        <w:t>Government</w:t>
      </w:r>
      <w:r w:rsidR="003246CA" w:rsidRPr="000450BF">
        <w:t xml:space="preserve"> policies and practices that the NGO are called to support</w:t>
      </w:r>
      <w:r w:rsidR="00552F36">
        <w:t>”.</w:t>
      </w:r>
      <w:r w:rsidRPr="000450BF">
        <w:rPr>
          <w:rStyle w:val="FootnoteReference"/>
        </w:rPr>
        <w:footnoteReference w:id="74"/>
      </w:r>
      <w:r w:rsidRPr="000450BF">
        <w:t xml:space="preserve"> </w:t>
      </w:r>
      <w:r w:rsidR="003246CA" w:rsidRPr="000450BF">
        <w:t>Sanctions are planned for any failure to respect these provisions</w:t>
      </w:r>
      <w:r w:rsidR="00EF3EE9">
        <w:t>,</w:t>
      </w:r>
      <w:r w:rsidR="003246CA" w:rsidRPr="000450BF">
        <w:t xml:space="preserve"> including against candidates who would have lied about their identity or their ethnicity, or against members of the recruitment </w:t>
      </w:r>
      <w:r w:rsidR="00A66BBA" w:rsidRPr="000450BF">
        <w:t>committees</w:t>
      </w:r>
      <w:r w:rsidR="003246CA" w:rsidRPr="000450BF">
        <w:t xml:space="preserve"> who fail in their </w:t>
      </w:r>
      <w:r w:rsidRPr="000450BF">
        <w:t xml:space="preserve">obligations. </w:t>
      </w:r>
      <w:r w:rsidR="003246CA" w:rsidRPr="000450BF">
        <w:t xml:space="preserve">A second decree on the </w:t>
      </w:r>
      <w:r w:rsidR="00552F36">
        <w:t>“</w:t>
      </w:r>
      <w:r w:rsidRPr="000450BF">
        <w:t>cr</w:t>
      </w:r>
      <w:r w:rsidR="003246CA" w:rsidRPr="000450BF">
        <w:t>e</w:t>
      </w:r>
      <w:r w:rsidRPr="000450BF">
        <w:t xml:space="preserve">ation, composition, mission </w:t>
      </w:r>
      <w:r w:rsidR="003246CA" w:rsidRPr="000450BF">
        <w:t xml:space="preserve">and </w:t>
      </w:r>
      <w:r w:rsidR="00A66BBA" w:rsidRPr="000450BF">
        <w:t>functioning</w:t>
      </w:r>
      <w:r w:rsidR="003246CA" w:rsidRPr="000450BF">
        <w:t xml:space="preserve"> of a monitoring and evaluation interministerial committee of foreign </w:t>
      </w:r>
      <w:r w:rsidR="002C5C79" w:rsidRPr="000450BF">
        <w:t>non-</w:t>
      </w:r>
      <w:r w:rsidR="007F5B89">
        <w:t>Government</w:t>
      </w:r>
      <w:r w:rsidR="002C5C79" w:rsidRPr="000450BF">
        <w:t>al</w:t>
      </w:r>
      <w:r w:rsidR="003246CA" w:rsidRPr="000450BF">
        <w:t xml:space="preserve"> organisations </w:t>
      </w:r>
      <w:r w:rsidR="002C5C79" w:rsidRPr="000450BF">
        <w:t>in Burundi</w:t>
      </w:r>
      <w:r w:rsidR="00552F36">
        <w:t>”</w:t>
      </w:r>
      <w:r w:rsidRPr="000450BF">
        <w:t xml:space="preserve"> </w:t>
      </w:r>
      <w:r w:rsidR="00B663D6" w:rsidRPr="000450BF">
        <w:t xml:space="preserve">was also adopted during this council, which allows for increased </w:t>
      </w:r>
      <w:r w:rsidR="007F5B89">
        <w:t>Government</w:t>
      </w:r>
      <w:r w:rsidR="00B663D6" w:rsidRPr="000450BF">
        <w:t xml:space="preserve"> contr</w:t>
      </w:r>
      <w:r w:rsidR="004D0AB1" w:rsidRPr="000450BF">
        <w:t>o</w:t>
      </w:r>
      <w:r w:rsidR="00B663D6" w:rsidRPr="000450BF">
        <w:t>l of the activities of foreign NGOs, officially in order to ensure a better coordination of the assistance provided by foreign NGOs</w:t>
      </w:r>
      <w:r w:rsidR="00552F36">
        <w:t>.</w:t>
      </w:r>
      <w:r w:rsidRPr="000450BF">
        <w:rPr>
          <w:rStyle w:val="FootnoteReference"/>
        </w:rPr>
        <w:footnoteReference w:id="75"/>
      </w:r>
    </w:p>
    <w:p w14:paraId="05A887EB" w14:textId="7EEEBBB7" w:rsidR="008E4E71" w:rsidRPr="000450BF" w:rsidRDefault="008E4E71" w:rsidP="008E4E71">
      <w:pPr>
        <w:pStyle w:val="SingleTxtG"/>
      </w:pPr>
      <w:r w:rsidRPr="000450BF">
        <w:t>248.</w:t>
      </w:r>
      <w:r w:rsidRPr="000450BF">
        <w:tab/>
      </w:r>
      <w:r w:rsidR="00B663D6" w:rsidRPr="000450BF">
        <w:t xml:space="preserve">On </w:t>
      </w:r>
      <w:r w:rsidRPr="000450BF">
        <w:t xml:space="preserve">25 </w:t>
      </w:r>
      <w:r w:rsidR="00B663D6" w:rsidRPr="000450BF">
        <w:t>June</w:t>
      </w:r>
      <w:r w:rsidRPr="000450BF">
        <w:t xml:space="preserve"> 2019, </w:t>
      </w:r>
      <w:r w:rsidR="00B663D6" w:rsidRPr="000450BF">
        <w:t xml:space="preserve">the Minister of </w:t>
      </w:r>
      <w:r w:rsidR="00EF3EE9">
        <w:t>H</w:t>
      </w:r>
      <w:r w:rsidR="00B663D6" w:rsidRPr="000450BF">
        <w:t xml:space="preserve">uman </w:t>
      </w:r>
      <w:r w:rsidR="00EF3EE9">
        <w:t>Rights, S</w:t>
      </w:r>
      <w:r w:rsidR="00B663D6" w:rsidRPr="000450BF">
        <w:t xml:space="preserve">ocial </w:t>
      </w:r>
      <w:r w:rsidR="00EF3EE9">
        <w:t>Affairs and G</w:t>
      </w:r>
      <w:r w:rsidR="00B663D6" w:rsidRPr="000450BF">
        <w:t>ender</w:t>
      </w:r>
      <w:r w:rsidRPr="000450BF">
        <w:t>, Martin Nivy</w:t>
      </w:r>
      <w:r w:rsidR="00B663D6" w:rsidRPr="000450BF">
        <w:t>a</w:t>
      </w:r>
      <w:r w:rsidRPr="000450BF">
        <w:t xml:space="preserve">bandi, </w:t>
      </w:r>
      <w:r w:rsidR="00131F8A" w:rsidRPr="000450BF">
        <w:t>convened</w:t>
      </w:r>
      <w:r w:rsidR="00B663D6" w:rsidRPr="000450BF">
        <w:t xml:space="preserve"> a meeting in </w:t>
      </w:r>
      <w:r w:rsidRPr="000450BF">
        <w:t>Bujumbura</w:t>
      </w:r>
      <w:r w:rsidR="00131F8A" w:rsidRPr="000450BF">
        <w:t xml:space="preserve"> </w:t>
      </w:r>
      <w:r w:rsidR="00B663D6" w:rsidRPr="000450BF">
        <w:t>of</w:t>
      </w:r>
      <w:r w:rsidR="00131F8A" w:rsidRPr="000450BF">
        <w:t xml:space="preserve"> </w:t>
      </w:r>
      <w:r w:rsidR="00B663D6" w:rsidRPr="000450BF">
        <w:t xml:space="preserve">UN organisations, foreign and national NGOs and explained that according to him </w:t>
      </w:r>
      <w:r w:rsidR="00552F36">
        <w:t>“</w:t>
      </w:r>
      <w:r w:rsidR="00B663D6" w:rsidRPr="000450BF">
        <w:t>the level and quality of interventions by these organisations was not very satisfactory and should be improved</w:t>
      </w:r>
      <w:r w:rsidR="00552F36">
        <w:t>”</w:t>
      </w:r>
      <w:r w:rsidRPr="000450BF">
        <w:t xml:space="preserve">, </w:t>
      </w:r>
      <w:r w:rsidR="00B663D6" w:rsidRPr="000450BF">
        <w:t xml:space="preserve">as there is </w:t>
      </w:r>
      <w:r w:rsidR="00552F36">
        <w:t>“</w:t>
      </w:r>
      <w:r w:rsidR="00B663D6" w:rsidRPr="000450BF">
        <w:t xml:space="preserve">a field coordination problem on the field where one finds several partners with the same objective, sometimes providing assistance to the same </w:t>
      </w:r>
      <w:r w:rsidR="002C5C79" w:rsidRPr="000450BF">
        <w:t>beneficiaries</w:t>
      </w:r>
      <w:r w:rsidR="00B663D6" w:rsidRPr="000450BF">
        <w:t xml:space="preserve">, which then </w:t>
      </w:r>
      <w:r w:rsidR="00104BF8" w:rsidRPr="000450BF">
        <w:t>leads to</w:t>
      </w:r>
      <w:r w:rsidRPr="000450BF">
        <w:t xml:space="preserve"> […] </w:t>
      </w:r>
      <w:r w:rsidR="00B663D6" w:rsidRPr="000450BF">
        <w:t xml:space="preserve">a waste </w:t>
      </w:r>
      <w:r w:rsidR="008F116B" w:rsidRPr="000450BF">
        <w:t xml:space="preserve">of </w:t>
      </w:r>
      <w:r w:rsidR="002C5C79" w:rsidRPr="000450BF">
        <w:t>resources</w:t>
      </w:r>
      <w:r w:rsidR="00B663D6" w:rsidRPr="000450BF">
        <w:t xml:space="preserve"> and a lack of efficiency in terms of information</w:t>
      </w:r>
      <w:r w:rsidR="00552F36">
        <w:t>”</w:t>
      </w:r>
      <w:r w:rsidRPr="000450BF">
        <w:t xml:space="preserve">. </w:t>
      </w:r>
      <w:r w:rsidR="00B663D6" w:rsidRPr="000450BF">
        <w:t>In addition</w:t>
      </w:r>
      <w:r w:rsidR="00552F36">
        <w:t>, “</w:t>
      </w:r>
      <w:r w:rsidRPr="000450BF">
        <w:t>plan</w:t>
      </w:r>
      <w:r w:rsidR="00B663D6" w:rsidRPr="000450BF">
        <w:t xml:space="preserve">ning </w:t>
      </w:r>
      <w:r w:rsidRPr="000450BF">
        <w:t xml:space="preserve">[…] </w:t>
      </w:r>
      <w:r w:rsidR="00B663D6" w:rsidRPr="000450BF">
        <w:t>is not coordinated with the concerned ministry</w:t>
      </w:r>
      <w:r w:rsidR="00552F36">
        <w:t>”,</w:t>
      </w:r>
      <w:r w:rsidRPr="000450BF">
        <w:t xml:space="preserve"> </w:t>
      </w:r>
      <w:r w:rsidR="00B663D6" w:rsidRPr="000450BF">
        <w:t xml:space="preserve">and the Minister asked the partners of his ministry </w:t>
      </w:r>
      <w:r w:rsidR="00552F36">
        <w:t>“</w:t>
      </w:r>
      <w:r w:rsidR="00B663D6" w:rsidRPr="000450BF">
        <w:t>to harmonise their plans and those of the national development plan</w:t>
      </w:r>
      <w:r w:rsidR="00552F36">
        <w:t>”. H</w:t>
      </w:r>
      <w:r w:rsidR="00B663D6" w:rsidRPr="000450BF">
        <w:t xml:space="preserve">e </w:t>
      </w:r>
      <w:r w:rsidR="00552F36">
        <w:t>“</w:t>
      </w:r>
      <w:r w:rsidRPr="000450BF">
        <w:t>insist</w:t>
      </w:r>
      <w:r w:rsidR="00B663D6" w:rsidRPr="000450BF">
        <w:t xml:space="preserve">ed on the production of reports. He reminded the </w:t>
      </w:r>
      <w:r w:rsidR="008F64B8" w:rsidRPr="000450BF">
        <w:t>representatives of the organisations present in that meeting that the partners engaged to support the country in a given area must provide a report to the concerned ministry</w:t>
      </w:r>
      <w:r w:rsidR="00552F36">
        <w:t>”</w:t>
      </w:r>
      <w:r w:rsidRPr="000450BF">
        <w:t>.</w:t>
      </w:r>
      <w:r w:rsidRPr="000450BF">
        <w:rPr>
          <w:rStyle w:val="FootnoteReference"/>
        </w:rPr>
        <w:footnoteReference w:id="76"/>
      </w:r>
    </w:p>
    <w:p w14:paraId="2D72E357" w14:textId="3C23D0B0" w:rsidR="008E4E71" w:rsidRPr="000450BF" w:rsidRDefault="008E4E71" w:rsidP="008E4E71">
      <w:pPr>
        <w:pStyle w:val="SingleTxtG"/>
      </w:pPr>
      <w:r w:rsidRPr="000450BF">
        <w:t>249.</w:t>
      </w:r>
      <w:r w:rsidRPr="000450BF">
        <w:tab/>
      </w:r>
      <w:r w:rsidR="008F64B8" w:rsidRPr="000450BF">
        <w:t>The NGOs, national and foreign, are simply denied the right to organise freely and to determine their activities and objectives as well as the means to</w:t>
      </w:r>
      <w:r w:rsidR="006F1D09" w:rsidRPr="000450BF">
        <w:t xml:space="preserve"> do </w:t>
      </w:r>
      <w:r w:rsidR="008372EF" w:rsidRPr="000450BF">
        <w:t>so;</w:t>
      </w:r>
      <w:r w:rsidR="006F1D09" w:rsidRPr="000450BF">
        <w:t xml:space="preserve"> and </w:t>
      </w:r>
      <w:r w:rsidR="008372EF" w:rsidRPr="000450BF">
        <w:t>yet</w:t>
      </w:r>
      <w:r w:rsidR="006F1D09" w:rsidRPr="000450BF">
        <w:t xml:space="preserve"> these are integral parts of their right to the freedom of association</w:t>
      </w:r>
      <w:r w:rsidR="00552F36">
        <w:t>.</w:t>
      </w:r>
      <w:r w:rsidRPr="000450BF">
        <w:rPr>
          <w:rStyle w:val="FootnoteReference"/>
        </w:rPr>
        <w:footnoteReference w:id="77"/>
      </w:r>
      <w:r w:rsidRPr="000450BF">
        <w:t xml:space="preserve"> </w:t>
      </w:r>
      <w:r w:rsidR="006F1D09" w:rsidRPr="000450BF">
        <w:t>O</w:t>
      </w:r>
      <w:r w:rsidR="00827B2A" w:rsidRPr="000450BF">
        <w:t xml:space="preserve">n </w:t>
      </w:r>
      <w:r w:rsidR="006F1D09" w:rsidRPr="000450BF">
        <w:t xml:space="preserve">the contrary, the </w:t>
      </w:r>
      <w:r w:rsidR="007F5B89">
        <w:t>Government</w:t>
      </w:r>
      <w:r w:rsidR="0099737A" w:rsidRPr="000450BF">
        <w:t xml:space="preserve"> of</w:t>
      </w:r>
      <w:r w:rsidRPr="000450BF">
        <w:t xml:space="preserve"> Burundi</w:t>
      </w:r>
      <w:r w:rsidR="006F1D09" w:rsidRPr="000450BF">
        <w:t xml:space="preserve"> </w:t>
      </w:r>
      <w:r w:rsidRPr="000450BF">
        <w:t>consid</w:t>
      </w:r>
      <w:r w:rsidR="006F1D09" w:rsidRPr="000450BF">
        <w:t xml:space="preserve">ers that </w:t>
      </w:r>
      <w:r w:rsidR="008372EF" w:rsidRPr="000450BF">
        <w:t>these</w:t>
      </w:r>
      <w:r w:rsidR="006F1D09" w:rsidRPr="000450BF">
        <w:t xml:space="preserve"> NGOs are </w:t>
      </w:r>
      <w:r w:rsidR="00552F36">
        <w:t>“</w:t>
      </w:r>
      <w:r w:rsidR="006F1D09" w:rsidRPr="000450BF">
        <w:t xml:space="preserve">under its </w:t>
      </w:r>
      <w:r w:rsidR="008372EF" w:rsidRPr="000450BF">
        <w:t>tutelage</w:t>
      </w:r>
      <w:r w:rsidR="00552F36">
        <w:t>”</w:t>
      </w:r>
      <w:r w:rsidRPr="000450BF">
        <w:t xml:space="preserve"> </w:t>
      </w:r>
      <w:r w:rsidR="006F1D09" w:rsidRPr="000450BF">
        <w:t xml:space="preserve">and that they are only allowed to work to support and complement the </w:t>
      </w:r>
      <w:r w:rsidR="007F5B89">
        <w:t>Government</w:t>
      </w:r>
      <w:r w:rsidR="006F1D09" w:rsidRPr="000450BF">
        <w:t xml:space="preserve"> </w:t>
      </w:r>
      <w:r w:rsidR="002C5C79" w:rsidRPr="000450BF">
        <w:t>policies and</w:t>
      </w:r>
      <w:r w:rsidR="00D754B2" w:rsidRPr="000450BF">
        <w:t xml:space="preserve"> can</w:t>
      </w:r>
      <w:r w:rsidR="006F1D09" w:rsidRPr="000450BF">
        <w:t xml:space="preserve"> therefore only undertake activities that are approved by</w:t>
      </w:r>
      <w:r w:rsidR="00427A53" w:rsidRPr="000450BF">
        <w:t xml:space="preserve"> and convenient to the</w:t>
      </w:r>
      <w:r w:rsidR="006F1D09" w:rsidRPr="000450BF">
        <w:t xml:space="preserve"> </w:t>
      </w:r>
      <w:r w:rsidR="007F5B89">
        <w:t>Government</w:t>
      </w:r>
      <w:r w:rsidR="00552F36">
        <w:t>.</w:t>
      </w:r>
      <w:r w:rsidRPr="000450BF">
        <w:rPr>
          <w:rStyle w:val="FootnoteReference"/>
        </w:rPr>
        <w:footnoteReference w:id="78"/>
      </w:r>
      <w:r w:rsidRPr="000450BF">
        <w:t xml:space="preserve"> </w:t>
      </w:r>
      <w:r w:rsidR="006F1D09" w:rsidRPr="000450BF">
        <w:t xml:space="preserve">In fact, it seems that there is some confusion </w:t>
      </w:r>
      <w:r w:rsidR="00775E6D" w:rsidRPr="000450BF">
        <w:t xml:space="preserve">amongst </w:t>
      </w:r>
      <w:r w:rsidR="002E6630" w:rsidRPr="000450BF">
        <w:t>Burundian</w:t>
      </w:r>
      <w:r w:rsidR="00775E6D" w:rsidRPr="000450BF">
        <w:t xml:space="preserve"> authorities on the role and the </w:t>
      </w:r>
      <w:r w:rsidRPr="000450BF">
        <w:rPr>
          <w:i/>
        </w:rPr>
        <w:t>raison d’être</w:t>
      </w:r>
      <w:r w:rsidRPr="000450BF">
        <w:t xml:space="preserve"> </w:t>
      </w:r>
      <w:r w:rsidR="00775E6D" w:rsidRPr="000450BF">
        <w:t xml:space="preserve">of foreign NGOs and the difference between the latter and </w:t>
      </w:r>
      <w:r w:rsidR="00552F36">
        <w:t>international</w:t>
      </w:r>
      <w:r w:rsidR="00775E6D" w:rsidRPr="000450BF">
        <w:t xml:space="preserve"> </w:t>
      </w:r>
      <w:r w:rsidRPr="000450BF">
        <w:t>organisations</w:t>
      </w:r>
      <w:r w:rsidR="00775E6D" w:rsidRPr="000450BF">
        <w:t>. During</w:t>
      </w:r>
      <w:r w:rsidR="003D75B6">
        <w:t xml:space="preserve"> a meeting between the Head of S</w:t>
      </w:r>
      <w:r w:rsidR="00775E6D" w:rsidRPr="000450BF">
        <w:t xml:space="preserve">tate and provincial governors held on 7 August 2019, international organisations including the </w:t>
      </w:r>
      <w:r w:rsidR="003D75B6">
        <w:t xml:space="preserve">United Nations </w:t>
      </w:r>
      <w:r w:rsidR="00775E6D" w:rsidRPr="000450BF">
        <w:t>High Commission</w:t>
      </w:r>
      <w:r w:rsidR="003D75B6">
        <w:t>ne</w:t>
      </w:r>
      <w:r w:rsidR="00775E6D" w:rsidRPr="000450BF">
        <w:t xml:space="preserve"> for Refugees and the Internal </w:t>
      </w:r>
      <w:r w:rsidR="003D75B6">
        <w:t>O</w:t>
      </w:r>
      <w:r w:rsidR="00775E6D" w:rsidRPr="000450BF">
        <w:t xml:space="preserve">rganisation for Migrations were accused of </w:t>
      </w:r>
      <w:r w:rsidR="0099737A" w:rsidRPr="000450BF">
        <w:t>not</w:t>
      </w:r>
      <w:r w:rsidR="003D75B6">
        <w:t xml:space="preserve"> respecting the </w:t>
      </w:r>
      <w:r w:rsidR="00552F36">
        <w:t>l</w:t>
      </w:r>
      <w:r w:rsidR="00775E6D" w:rsidRPr="000450BF">
        <w:t>aw on foreign NGOs</w:t>
      </w:r>
      <w:r w:rsidR="00552F36">
        <w:t>,</w:t>
      </w:r>
      <w:r w:rsidRPr="000450BF">
        <w:rPr>
          <w:rStyle w:val="FootnoteReference"/>
        </w:rPr>
        <w:footnoteReference w:id="79"/>
      </w:r>
      <w:r w:rsidRPr="000450BF">
        <w:t xml:space="preserve"> </w:t>
      </w:r>
      <w:r w:rsidR="0099737A" w:rsidRPr="000450BF">
        <w:t>when</w:t>
      </w:r>
      <w:r w:rsidR="00775E6D" w:rsidRPr="000450BF">
        <w:t xml:space="preserve"> these are UN agencies </w:t>
      </w:r>
      <w:r w:rsidR="00552F36">
        <w:t xml:space="preserve">that </w:t>
      </w:r>
      <w:r w:rsidR="003D75B6">
        <w:t>are</w:t>
      </w:r>
      <w:r w:rsidR="00775E6D" w:rsidRPr="000450BF">
        <w:t xml:space="preserve"> clearly not </w:t>
      </w:r>
      <w:r w:rsidR="003D75B6">
        <w:t>regulated by this piece of legislation.</w:t>
      </w:r>
      <w:r w:rsidR="00775E6D" w:rsidRPr="000450BF">
        <w:t xml:space="preserve"> In addition, the Commission received a witness account alleging that national NGOs </w:t>
      </w:r>
      <w:r w:rsidR="00552F36">
        <w:t>a</w:t>
      </w:r>
      <w:r w:rsidR="00775E6D" w:rsidRPr="000450BF">
        <w:t xml:space="preserve">re now required to alert local authorities of their visits in provinces, </w:t>
      </w:r>
      <w:r w:rsidR="00E63417" w:rsidRPr="000450BF">
        <w:t xml:space="preserve">and once in those provinces, </w:t>
      </w:r>
      <w:r w:rsidRPr="000450BF">
        <w:t xml:space="preserve">Imbonerakure </w:t>
      </w:r>
      <w:r w:rsidR="00D23035" w:rsidRPr="000450BF">
        <w:t>controlled</w:t>
      </w:r>
      <w:r w:rsidR="00E63417" w:rsidRPr="000450BF">
        <w:t xml:space="preserve"> their activitie</w:t>
      </w:r>
      <w:r w:rsidRPr="000450BF">
        <w:t>s</w:t>
      </w:r>
      <w:r w:rsidR="00552F36">
        <w:t>.</w:t>
      </w:r>
      <w:r w:rsidRPr="000450BF">
        <w:rPr>
          <w:rStyle w:val="FootnoteReference"/>
        </w:rPr>
        <w:footnoteReference w:id="80"/>
      </w:r>
    </w:p>
    <w:p w14:paraId="2B885773" w14:textId="21838C9C" w:rsidR="008E4E71" w:rsidRPr="000450BF" w:rsidRDefault="008E4E71" w:rsidP="008E4E71">
      <w:pPr>
        <w:pStyle w:val="SingleTxtG"/>
      </w:pPr>
      <w:r w:rsidRPr="000450BF">
        <w:t>250.</w:t>
      </w:r>
      <w:r w:rsidRPr="000450BF">
        <w:tab/>
      </w:r>
      <w:r w:rsidR="00B92D96" w:rsidRPr="000450BF">
        <w:t xml:space="preserve">It is in that perspective that for several years, the </w:t>
      </w:r>
      <w:r w:rsidR="007F5B89">
        <w:t>Government</w:t>
      </w:r>
      <w:r w:rsidR="00B92D96" w:rsidRPr="000450BF">
        <w:t xml:space="preserve"> supported the creation of </w:t>
      </w:r>
      <w:r w:rsidR="00466CEB" w:rsidRPr="000450BF">
        <w:t>an</w:t>
      </w:r>
      <w:r w:rsidR="00B92D96" w:rsidRPr="000450BF">
        <w:t xml:space="preserve"> alternative civil society qualified as </w:t>
      </w:r>
      <w:r w:rsidR="00552F36">
        <w:t>“</w:t>
      </w:r>
      <w:r w:rsidRPr="000450BF">
        <w:t>cit</w:t>
      </w:r>
      <w:r w:rsidR="00B92D96" w:rsidRPr="000450BF">
        <w:t>izen</w:t>
      </w:r>
      <w:r w:rsidR="00552F36">
        <w:t>”</w:t>
      </w:r>
      <w:r w:rsidRPr="000450BF">
        <w:t xml:space="preserve">, </w:t>
      </w:r>
      <w:r w:rsidR="00B92D96" w:rsidRPr="000450BF">
        <w:t xml:space="preserve">made up of local NGOs which are openly in </w:t>
      </w:r>
      <w:r w:rsidR="00466CEB" w:rsidRPr="000450BF">
        <w:t>favour</w:t>
      </w:r>
      <w:r w:rsidR="00B92D96" w:rsidRPr="000450BF">
        <w:t xml:space="preserve"> of the </w:t>
      </w:r>
      <w:r w:rsidR="007F5B89">
        <w:t>Government</w:t>
      </w:r>
      <w:r w:rsidR="00B92D96" w:rsidRPr="000450BF">
        <w:t xml:space="preserve"> and who echo official </w:t>
      </w:r>
      <w:r w:rsidR="007F5B89">
        <w:t>Government</w:t>
      </w:r>
      <w:r w:rsidR="00B92D96" w:rsidRPr="000450BF">
        <w:t xml:space="preserve"> positions and adopt the </w:t>
      </w:r>
      <w:r w:rsidR="007F5B89">
        <w:t>Government</w:t>
      </w:r>
      <w:r w:rsidR="00B92D96" w:rsidRPr="000450BF">
        <w:t xml:space="preserve"> language</w:t>
      </w:r>
      <w:r w:rsidRPr="000450BF">
        <w:t>.</w:t>
      </w:r>
    </w:p>
    <w:p w14:paraId="288F9E43" w14:textId="28CEFFB1" w:rsidR="008E4E71" w:rsidRPr="000450BF" w:rsidRDefault="008E4E71" w:rsidP="008E4E71">
      <w:pPr>
        <w:pStyle w:val="SingleTxtG"/>
      </w:pPr>
      <w:r w:rsidRPr="000450BF">
        <w:t>251.</w:t>
      </w:r>
      <w:r w:rsidRPr="000450BF">
        <w:tab/>
      </w:r>
      <w:r w:rsidR="00B92D96" w:rsidRPr="000450BF">
        <w:t>For exa</w:t>
      </w:r>
      <w:r w:rsidRPr="000450BF">
        <w:t xml:space="preserve">mple, </w:t>
      </w:r>
      <w:r w:rsidR="00B92D96" w:rsidRPr="000450BF">
        <w:t xml:space="preserve">the </w:t>
      </w:r>
      <w:r w:rsidR="003D75B6">
        <w:t>I</w:t>
      </w:r>
      <w:r w:rsidR="00B92D96" w:rsidRPr="000450BF">
        <w:t xml:space="preserve">ntegral </w:t>
      </w:r>
      <w:r w:rsidR="002E6630" w:rsidRPr="000450BF">
        <w:t>Burundian</w:t>
      </w:r>
      <w:r w:rsidR="003D75B6">
        <w:t xml:space="preserve"> P</w:t>
      </w:r>
      <w:r w:rsidR="00B92D96" w:rsidRPr="000450BF">
        <w:t xml:space="preserve">latform for the </w:t>
      </w:r>
      <w:r w:rsidR="003D75B6">
        <w:t>Efficiency of D</w:t>
      </w:r>
      <w:r w:rsidR="00B92D96" w:rsidRPr="000450BF">
        <w:t xml:space="preserve">evelopment </w:t>
      </w:r>
      <w:r w:rsidR="003D75B6">
        <w:t>A</w:t>
      </w:r>
      <w:r w:rsidR="00B92D96" w:rsidRPr="000450BF">
        <w:t xml:space="preserve">ssistance </w:t>
      </w:r>
      <w:r w:rsidRPr="000450BF">
        <w:t xml:space="preserve">(PISC-Burundi) </w:t>
      </w:r>
      <w:r w:rsidR="00B92D96" w:rsidRPr="000450BF">
        <w:t xml:space="preserve">was created in 2011 and since its creation, </w:t>
      </w:r>
      <w:r w:rsidR="003D75B6">
        <w:t xml:space="preserve">it </w:t>
      </w:r>
      <w:r w:rsidR="00B92D96" w:rsidRPr="000450BF">
        <w:t xml:space="preserve">has criticised the </w:t>
      </w:r>
      <w:r w:rsidR="002E6630" w:rsidRPr="000450BF">
        <w:t>Burundian</w:t>
      </w:r>
      <w:r w:rsidR="00B92D96" w:rsidRPr="000450BF">
        <w:t xml:space="preserve"> civil society that deals with human rights issues, namely the </w:t>
      </w:r>
      <w:r w:rsidR="00B92D96" w:rsidRPr="000450BF">
        <w:rPr>
          <w:i/>
          <w:iCs/>
        </w:rPr>
        <w:t>Ligue</w:t>
      </w:r>
      <w:r w:rsidR="00B92D96" w:rsidRPr="000450BF">
        <w:t xml:space="preserve"> ITEKA, FORSC, APRODH and </w:t>
      </w:r>
      <w:r w:rsidRPr="000450BF">
        <w:t xml:space="preserve">OLUCOME. </w:t>
      </w:r>
      <w:r w:rsidR="00B92D96" w:rsidRPr="000450BF">
        <w:t xml:space="preserve">It accused them of being politicised </w:t>
      </w:r>
      <w:r w:rsidR="00466CEB" w:rsidRPr="000450BF">
        <w:t>and</w:t>
      </w:r>
      <w:r w:rsidR="00B92D96" w:rsidRPr="000450BF">
        <w:t xml:space="preserve"> in </w:t>
      </w:r>
      <w:r w:rsidR="00E33688" w:rsidRPr="000450BF">
        <w:t>favour</w:t>
      </w:r>
      <w:r w:rsidR="00B92D96" w:rsidRPr="000450BF">
        <w:t xml:space="preserve"> of </w:t>
      </w:r>
      <w:r w:rsidR="00673316" w:rsidRPr="000450BF">
        <w:t>the opposition, of tarnishing the image of the country and of grabbing</w:t>
      </w:r>
      <w:r w:rsidR="003D75B6">
        <w:t xml:space="preserve"> all the</w:t>
      </w:r>
      <w:r w:rsidR="00673316" w:rsidRPr="000450BF">
        <w:t xml:space="preserve"> international funding </w:t>
      </w:r>
      <w:r w:rsidR="00E33688" w:rsidRPr="000450BF">
        <w:t>without</w:t>
      </w:r>
      <w:r w:rsidR="00673316" w:rsidRPr="000450BF">
        <w:t xml:space="preserve"> necessarily contributing to the development of the country</w:t>
      </w:r>
      <w:r w:rsidR="00552F36">
        <w:t>.</w:t>
      </w:r>
      <w:r w:rsidRPr="000450BF">
        <w:rPr>
          <w:rStyle w:val="FootnoteReference"/>
        </w:rPr>
        <w:footnoteReference w:id="81"/>
      </w:r>
    </w:p>
    <w:p w14:paraId="28B72EC2" w14:textId="754EF6D1" w:rsidR="008E4E71" w:rsidRPr="000450BF" w:rsidRDefault="008E4E71" w:rsidP="008E4E71">
      <w:pPr>
        <w:pStyle w:val="SingleTxtG"/>
      </w:pPr>
      <w:r w:rsidRPr="000450BF">
        <w:t>252.</w:t>
      </w:r>
      <w:r w:rsidRPr="000450BF">
        <w:tab/>
      </w:r>
      <w:r w:rsidR="00673316" w:rsidRPr="000450BF">
        <w:t xml:space="preserve">In </w:t>
      </w:r>
      <w:r w:rsidR="00E33688" w:rsidRPr="000450BF">
        <w:t>July</w:t>
      </w:r>
      <w:r w:rsidRPr="000450BF">
        <w:t xml:space="preserve"> 2017, PISC-Burundi </w:t>
      </w:r>
      <w:r w:rsidR="003D75B6">
        <w:t>and the C</w:t>
      </w:r>
      <w:r w:rsidR="00673316" w:rsidRPr="000450BF">
        <w:t xml:space="preserve">ollective of the </w:t>
      </w:r>
      <w:r w:rsidR="003D75B6">
        <w:t>Associations of P</w:t>
      </w:r>
      <w:r w:rsidR="00673316" w:rsidRPr="000450BF">
        <w:t xml:space="preserve">eople </w:t>
      </w:r>
      <w:r w:rsidR="003D75B6">
        <w:t>I</w:t>
      </w:r>
      <w:r w:rsidR="00E33688" w:rsidRPr="000450BF">
        <w:t>nfected</w:t>
      </w:r>
      <w:r w:rsidR="003D75B6">
        <w:t xml:space="preserve"> and A</w:t>
      </w:r>
      <w:r w:rsidR="00673316" w:rsidRPr="000450BF">
        <w:t xml:space="preserve">ffected by HIV/AIDS </w:t>
      </w:r>
      <w:r w:rsidRPr="000450BF">
        <w:t xml:space="preserve">(CAPES+) </w:t>
      </w:r>
      <w:r w:rsidR="00673316" w:rsidRPr="000450BF">
        <w:t xml:space="preserve">welcomed the improvement of the human rights situation in </w:t>
      </w:r>
      <w:r w:rsidRPr="000450BF">
        <w:t xml:space="preserve">Burundi </w:t>
      </w:r>
      <w:r w:rsidR="00673316" w:rsidRPr="000450BF">
        <w:t>and the visible commitment of security forces and the ju</w:t>
      </w:r>
      <w:r w:rsidR="00D56E77" w:rsidRPr="000450BF">
        <w:t>dicial</w:t>
      </w:r>
      <w:r w:rsidR="00673316" w:rsidRPr="000450BF">
        <w:t xml:space="preserve"> in improving these rights</w:t>
      </w:r>
      <w:r w:rsidR="00552F36">
        <w:t>.</w:t>
      </w:r>
      <w:r w:rsidRPr="000450BF">
        <w:rPr>
          <w:rStyle w:val="FootnoteReference"/>
        </w:rPr>
        <w:footnoteReference w:id="82"/>
      </w:r>
      <w:r w:rsidRPr="000450BF">
        <w:t xml:space="preserve"> </w:t>
      </w:r>
      <w:r w:rsidR="00673316" w:rsidRPr="000450BF">
        <w:t>On 20 March</w:t>
      </w:r>
      <w:r w:rsidRPr="000450BF">
        <w:t xml:space="preserve"> 2018, </w:t>
      </w:r>
      <w:r w:rsidR="00673316" w:rsidRPr="000450BF">
        <w:t xml:space="preserve">these two </w:t>
      </w:r>
      <w:r w:rsidRPr="000450BF">
        <w:t xml:space="preserve">associations </w:t>
      </w:r>
      <w:r w:rsidR="00E97B6A" w:rsidRPr="000450BF">
        <w:t xml:space="preserve">published a joint press release in which they criticised the oral presentation of the President of this </w:t>
      </w:r>
      <w:r w:rsidRPr="000450BF">
        <w:t xml:space="preserve">Commission </w:t>
      </w:r>
      <w:r w:rsidR="00E97B6A" w:rsidRPr="000450BF">
        <w:t xml:space="preserve">to the Human Rights Council on </w:t>
      </w:r>
      <w:r w:rsidRPr="000450BF">
        <w:t xml:space="preserve">13 </w:t>
      </w:r>
      <w:r w:rsidR="00CF41E3" w:rsidRPr="000450BF">
        <w:t>M</w:t>
      </w:r>
      <w:r w:rsidRPr="000450BF">
        <w:t>ar</w:t>
      </w:r>
      <w:r w:rsidR="00CF41E3" w:rsidRPr="000450BF">
        <w:t>ch</w:t>
      </w:r>
      <w:r w:rsidRPr="000450BF">
        <w:t xml:space="preserve"> 2018</w:t>
      </w:r>
      <w:r w:rsidR="00552F36">
        <w:t>.</w:t>
      </w:r>
      <w:r w:rsidRPr="000450BF">
        <w:rPr>
          <w:rStyle w:val="FootnoteReference"/>
        </w:rPr>
        <w:footnoteReference w:id="83"/>
      </w:r>
      <w:r w:rsidRPr="000450BF">
        <w:t xml:space="preserve"> </w:t>
      </w:r>
      <w:r w:rsidR="00E97B6A" w:rsidRPr="000450BF">
        <w:t>In April and October</w:t>
      </w:r>
      <w:r w:rsidRPr="000450BF">
        <w:t xml:space="preserve"> 2018, </w:t>
      </w:r>
      <w:r w:rsidR="00E97B6A" w:rsidRPr="000450BF">
        <w:t>they explained that the inter</w:t>
      </w:r>
      <w:r w:rsidR="00E33688" w:rsidRPr="000450BF">
        <w:t>-</w:t>
      </w:r>
      <w:r w:rsidR="002E6630" w:rsidRPr="000450BF">
        <w:t>Burundian</w:t>
      </w:r>
      <w:r w:rsidR="00E97B6A" w:rsidRPr="000450BF">
        <w:t xml:space="preserve"> dialogue was no longer necessary given the </w:t>
      </w:r>
      <w:r w:rsidR="00552F36">
        <w:t>“</w:t>
      </w:r>
      <w:r w:rsidRPr="000450BF">
        <w:t>remar</w:t>
      </w:r>
      <w:r w:rsidR="00E97B6A" w:rsidRPr="000450BF">
        <w:t>kable achievements on the political, economic and social levels</w:t>
      </w:r>
      <w:r w:rsidR="00552F36">
        <w:t>”.</w:t>
      </w:r>
      <w:r w:rsidRPr="000450BF">
        <w:rPr>
          <w:rStyle w:val="FootnoteReference"/>
        </w:rPr>
        <w:footnoteReference w:id="84"/>
      </w:r>
      <w:r w:rsidRPr="000450BF">
        <w:t xml:space="preserve"> Fin</w:t>
      </w:r>
      <w:r w:rsidR="00E97B6A" w:rsidRPr="000450BF">
        <w:t xml:space="preserve">ally, on </w:t>
      </w:r>
      <w:r w:rsidRPr="000450BF">
        <w:t xml:space="preserve">9 </w:t>
      </w:r>
      <w:r w:rsidR="00407BA5" w:rsidRPr="000450BF">
        <w:t>Ap</w:t>
      </w:r>
      <w:r w:rsidRPr="000450BF">
        <w:t xml:space="preserve">ril 2019, </w:t>
      </w:r>
      <w:r w:rsidR="00E97B6A" w:rsidRPr="000450BF">
        <w:t>during a press conference held in</w:t>
      </w:r>
      <w:r w:rsidRPr="000450BF">
        <w:t xml:space="preserve"> Bujumbura, </w:t>
      </w:r>
      <w:r w:rsidR="00407BA5" w:rsidRPr="000450BF">
        <w:t>representatives</w:t>
      </w:r>
      <w:r w:rsidR="00E97B6A" w:rsidRPr="000450BF">
        <w:t xml:space="preserve"> of </w:t>
      </w:r>
      <w:r w:rsidRPr="000450BF">
        <w:t xml:space="preserve">PISC-Burundi </w:t>
      </w:r>
      <w:r w:rsidR="00E97B6A" w:rsidRPr="000450BF">
        <w:t>and</w:t>
      </w:r>
      <w:r w:rsidRPr="000450BF">
        <w:t xml:space="preserve"> CAPES+ </w:t>
      </w:r>
      <w:r w:rsidR="00E97B6A" w:rsidRPr="000450BF">
        <w:t xml:space="preserve">criticised the declarations of the technical and financial partners of Burundi on </w:t>
      </w:r>
      <w:r w:rsidRPr="000450BF">
        <w:t xml:space="preserve">5 </w:t>
      </w:r>
      <w:r w:rsidR="00407BA5" w:rsidRPr="000450BF">
        <w:t>April</w:t>
      </w:r>
      <w:r w:rsidRPr="000450BF">
        <w:t xml:space="preserve"> 2019 </w:t>
      </w:r>
      <w:r w:rsidR="00E97B6A" w:rsidRPr="000450BF">
        <w:t xml:space="preserve">in which they expressed concerns about the decision of the National Communication Council to </w:t>
      </w:r>
      <w:r w:rsidR="00977D66" w:rsidRPr="000450BF">
        <w:t>withdraw</w:t>
      </w:r>
      <w:r w:rsidR="00E97B6A" w:rsidRPr="000450BF">
        <w:t xml:space="preserve"> the licence of BBC </w:t>
      </w:r>
      <w:r w:rsidRPr="000450BF">
        <w:t xml:space="preserve">radio </w:t>
      </w:r>
      <w:r w:rsidR="00E97B6A" w:rsidRPr="000450BF">
        <w:t>and to suspend</w:t>
      </w:r>
      <w:r w:rsidRPr="000450BF">
        <w:t xml:space="preserve"> VOA </w:t>
      </w:r>
      <w:r w:rsidR="00E97B6A" w:rsidRPr="000450BF">
        <w:t xml:space="preserve">radio and called the </w:t>
      </w:r>
      <w:r w:rsidR="007F5B89">
        <w:t>Government</w:t>
      </w:r>
      <w:r w:rsidRPr="000450BF">
        <w:t xml:space="preserve"> </w:t>
      </w:r>
      <w:r w:rsidR="00E97B6A" w:rsidRPr="000450BF">
        <w:t xml:space="preserve">to guarantee the freedom of </w:t>
      </w:r>
      <w:r w:rsidRPr="000450BF">
        <w:t xml:space="preserve">association, information </w:t>
      </w:r>
      <w:r w:rsidR="00E97B6A" w:rsidRPr="000450BF">
        <w:t>and e</w:t>
      </w:r>
      <w:r w:rsidRPr="000450BF">
        <w:t xml:space="preserve">xpression. </w:t>
      </w:r>
      <w:r w:rsidR="00E97B6A" w:rsidRPr="000450BF">
        <w:t xml:space="preserve">The two local NGOs explained that </w:t>
      </w:r>
      <w:r w:rsidR="00977D66" w:rsidRPr="000450BF">
        <w:t>with such</w:t>
      </w:r>
      <w:r w:rsidR="00E97B6A" w:rsidRPr="000450BF">
        <w:t xml:space="preserve"> a declaration</w:t>
      </w:r>
      <w:r w:rsidRPr="000450BF">
        <w:t xml:space="preserve">, </w:t>
      </w:r>
      <w:r w:rsidR="00E97B6A" w:rsidRPr="000450BF">
        <w:t>the technical and financial partners were trying to undermine the democrat</w:t>
      </w:r>
      <w:r w:rsidR="003D75B6">
        <w:t xml:space="preserve">ic process and to disrupt peace. They added that </w:t>
      </w:r>
      <w:proofErr w:type="gramStart"/>
      <w:r w:rsidR="003D75B6">
        <w:t>themselves</w:t>
      </w:r>
      <w:proofErr w:type="gramEnd"/>
      <w:r w:rsidR="003D75B6">
        <w:t xml:space="preserve"> </w:t>
      </w:r>
      <w:r w:rsidR="00E97B6A" w:rsidRPr="000450BF">
        <w:t>did not have any issues with the sanctions against the independent media</w:t>
      </w:r>
      <w:r w:rsidR="00552F36">
        <w:t>.</w:t>
      </w:r>
      <w:r w:rsidRPr="000450BF">
        <w:rPr>
          <w:rStyle w:val="FootnoteReference"/>
        </w:rPr>
        <w:footnoteReference w:id="85"/>
      </w:r>
      <w:r w:rsidRPr="000450BF">
        <w:t xml:space="preserve"> </w:t>
      </w:r>
      <w:r w:rsidR="00E97B6A" w:rsidRPr="000450BF">
        <w:t>In</w:t>
      </w:r>
      <w:r w:rsidRPr="000450BF">
        <w:t xml:space="preserve"> </w:t>
      </w:r>
      <w:r w:rsidR="00977D66" w:rsidRPr="000450BF">
        <w:t>June</w:t>
      </w:r>
      <w:r w:rsidRPr="000450BF">
        <w:t xml:space="preserve"> 2019, </w:t>
      </w:r>
      <w:r w:rsidR="00E97B6A" w:rsidRPr="000450BF">
        <w:t xml:space="preserve">these two NGOs also denounced the statement of </w:t>
      </w:r>
      <w:r w:rsidRPr="000450BF">
        <w:t>M</w:t>
      </w:r>
      <w:r w:rsidR="00E97B6A" w:rsidRPr="000450BF">
        <w:t>r</w:t>
      </w:r>
      <w:r w:rsidRPr="000450BF">
        <w:t xml:space="preserve">. Smaïl Chergui, </w:t>
      </w:r>
      <w:r w:rsidR="007B48F0" w:rsidRPr="000450BF">
        <w:t xml:space="preserve">Representative of the African Union, </w:t>
      </w:r>
      <w:r w:rsidR="006C1029">
        <w:t xml:space="preserve">made </w:t>
      </w:r>
      <w:r w:rsidR="007B48F0" w:rsidRPr="000450BF">
        <w:t xml:space="preserve">during the Security Council </w:t>
      </w:r>
      <w:r w:rsidR="00175C72" w:rsidRPr="000450BF">
        <w:t>s</w:t>
      </w:r>
      <w:r w:rsidR="007B48F0" w:rsidRPr="000450BF">
        <w:t>ession o</w:t>
      </w:r>
      <w:r w:rsidR="006C1029">
        <w:t>f</w:t>
      </w:r>
      <w:r w:rsidR="007B48F0" w:rsidRPr="000450BF">
        <w:t xml:space="preserve"> 14 June 2019</w:t>
      </w:r>
      <w:r w:rsidR="006C1029">
        <w:t>, in which he stressed</w:t>
      </w:r>
      <w:r w:rsidR="007B48F0" w:rsidRPr="000450BF">
        <w:t xml:space="preserve"> the need to hold an inclusive </w:t>
      </w:r>
      <w:r w:rsidR="00AE6EED" w:rsidRPr="000450BF">
        <w:t>inter-Burundian</w:t>
      </w:r>
      <w:r w:rsidR="007B48F0" w:rsidRPr="000450BF">
        <w:t xml:space="preserve"> dialogue in order to resolve the 2015 crisis</w:t>
      </w:r>
      <w:r w:rsidR="006C1029">
        <w:t>.</w:t>
      </w:r>
      <w:r w:rsidRPr="000450BF">
        <w:rPr>
          <w:rStyle w:val="FootnoteReference"/>
        </w:rPr>
        <w:footnoteReference w:id="86"/>
      </w:r>
    </w:p>
    <w:p w14:paraId="168987B8" w14:textId="33BBF44B" w:rsidR="008E4E71" w:rsidRPr="000450BF" w:rsidRDefault="008E4E71" w:rsidP="008E4E71">
      <w:pPr>
        <w:pStyle w:val="H56G"/>
      </w:pPr>
      <w:r w:rsidRPr="000450BF">
        <w:tab/>
      </w:r>
      <w:r w:rsidRPr="000450BF">
        <w:tab/>
        <w:t>(ii)</w:t>
      </w:r>
      <w:r w:rsidRPr="000450BF">
        <w:tab/>
      </w:r>
      <w:r w:rsidR="00381B23" w:rsidRPr="000450BF">
        <w:t>Political parties</w:t>
      </w:r>
    </w:p>
    <w:p w14:paraId="35285D02" w14:textId="1A17F612" w:rsidR="008E4E71" w:rsidRPr="000450BF" w:rsidRDefault="008E4E71" w:rsidP="008E4E71">
      <w:pPr>
        <w:pStyle w:val="SingleTxtG"/>
      </w:pPr>
      <w:r w:rsidRPr="000450BF">
        <w:t>253.</w:t>
      </w:r>
      <w:r w:rsidRPr="000450BF">
        <w:tab/>
      </w:r>
      <w:r w:rsidR="009E27BA" w:rsidRPr="000450BF">
        <w:t xml:space="preserve">The right to freedom of association includes </w:t>
      </w:r>
      <w:r w:rsidR="006C1029">
        <w:t>“</w:t>
      </w:r>
      <w:r w:rsidR="009E27BA" w:rsidRPr="000450BF">
        <w:t>the right to establish organisations and associations involved in political and public affairs</w:t>
      </w:r>
      <w:r w:rsidR="006C1029">
        <w:t>”</w:t>
      </w:r>
      <w:r w:rsidRPr="000450BF">
        <w:t xml:space="preserve">, </w:t>
      </w:r>
      <w:r w:rsidR="009E27BA" w:rsidRPr="000450BF">
        <w:t>which is also an accessory element</w:t>
      </w:r>
      <w:r w:rsidR="00844062" w:rsidRPr="000450BF">
        <w:t xml:space="preserve">: </w:t>
      </w:r>
      <w:r w:rsidR="009E27BA" w:rsidRPr="000450BF">
        <w:t xml:space="preserve">essential in the exercise of the right </w:t>
      </w:r>
      <w:r w:rsidR="009F7883" w:rsidRPr="000450BF">
        <w:t>of participation in public affairs</w:t>
      </w:r>
      <w:r w:rsidR="006C1029">
        <w:t>.</w:t>
      </w:r>
      <w:r w:rsidRPr="000450BF">
        <w:rPr>
          <w:rStyle w:val="FootnoteReference"/>
        </w:rPr>
        <w:footnoteReference w:id="87"/>
      </w:r>
      <w:r w:rsidRPr="000450BF">
        <w:t xml:space="preserve"> </w:t>
      </w:r>
    </w:p>
    <w:p w14:paraId="6884F449" w14:textId="21D5FB8D" w:rsidR="008E4E71" w:rsidRPr="000450BF" w:rsidRDefault="008E4E71" w:rsidP="008E4E71">
      <w:pPr>
        <w:pStyle w:val="SingleTxtG"/>
      </w:pPr>
      <w:r w:rsidRPr="000450BF">
        <w:t>254.</w:t>
      </w:r>
      <w:r w:rsidRPr="000450BF">
        <w:tab/>
      </w:r>
      <w:r w:rsidR="009F7883" w:rsidRPr="000450BF">
        <w:t>In</w:t>
      </w:r>
      <w:r w:rsidRPr="000450BF">
        <w:t xml:space="preserve"> Burundi, </w:t>
      </w:r>
      <w:r w:rsidR="009F7883" w:rsidRPr="000450BF">
        <w:t>the crea</w:t>
      </w:r>
      <w:r w:rsidR="00D26F4E" w:rsidRPr="000450BF">
        <w:t>tion, organisation and function</w:t>
      </w:r>
      <w:r w:rsidR="009F7883" w:rsidRPr="000450BF">
        <w:t xml:space="preserve">ing of political parties are </w:t>
      </w:r>
      <w:r w:rsidR="0059780A" w:rsidRPr="000450BF">
        <w:t>regulated</w:t>
      </w:r>
      <w:r w:rsidR="009F7883" w:rsidRPr="000450BF">
        <w:t xml:space="preserve"> by</w:t>
      </w:r>
      <w:r w:rsidR="00497DF1">
        <w:t xml:space="preserve"> the</w:t>
      </w:r>
      <w:r w:rsidR="009F7883" w:rsidRPr="000450BF">
        <w:t xml:space="preserve"> </w:t>
      </w:r>
      <w:r w:rsidR="006C1029">
        <w:t>l</w:t>
      </w:r>
      <w:r w:rsidR="009F7883" w:rsidRPr="000450BF">
        <w:t>aw n</w:t>
      </w:r>
      <w:r w:rsidR="00844062" w:rsidRPr="000450BF">
        <w:t>o</w:t>
      </w:r>
      <w:r w:rsidR="009F7883" w:rsidRPr="000450BF">
        <w:t xml:space="preserve">. </w:t>
      </w:r>
      <w:r w:rsidRPr="000450BF">
        <w:t xml:space="preserve">1/16 </w:t>
      </w:r>
      <w:r w:rsidR="009F7883" w:rsidRPr="000450BF">
        <w:t>of</w:t>
      </w:r>
      <w:r w:rsidRPr="000450BF">
        <w:t xml:space="preserve"> 10 </w:t>
      </w:r>
      <w:r w:rsidR="0059780A" w:rsidRPr="000450BF">
        <w:t>September</w:t>
      </w:r>
      <w:r w:rsidRPr="000450BF">
        <w:t xml:space="preserve"> 2011</w:t>
      </w:r>
      <w:r w:rsidR="006C1029">
        <w:t>,</w:t>
      </w:r>
      <w:r w:rsidRPr="000450BF">
        <w:rPr>
          <w:rStyle w:val="FootnoteReference"/>
        </w:rPr>
        <w:footnoteReference w:id="88"/>
      </w:r>
      <w:r w:rsidRPr="000450BF">
        <w:t xml:space="preserve"> </w:t>
      </w:r>
      <w:r w:rsidR="009F7883" w:rsidRPr="000450BF">
        <w:t xml:space="preserve">which recognizes the possibility of political parties to create temporary coalitions in order to pursue common objectives, including in the framework of </w:t>
      </w:r>
      <w:r w:rsidR="001A7FE5" w:rsidRPr="000450BF">
        <w:t>e</w:t>
      </w:r>
      <w:r w:rsidRPr="000450BF">
        <w:t>lections</w:t>
      </w:r>
      <w:r w:rsidR="006C1029">
        <w:t>,</w:t>
      </w:r>
      <w:r w:rsidRPr="000450BF">
        <w:rPr>
          <w:rStyle w:val="FootnoteReference"/>
        </w:rPr>
        <w:footnoteReference w:id="89"/>
      </w:r>
      <w:r w:rsidRPr="000450BF">
        <w:t xml:space="preserve"> </w:t>
      </w:r>
      <w:r w:rsidR="009F7883" w:rsidRPr="000450BF">
        <w:t>as well as their right to assembly, to organise demonstrations and to campaign within the conditions setup by law, namely that these activities take place in venues outside of public administration</w:t>
      </w:r>
      <w:r w:rsidRPr="000450BF">
        <w:t xml:space="preserve">, </w:t>
      </w:r>
      <w:r w:rsidR="00EA79DC" w:rsidRPr="000450BF">
        <w:t>para</w:t>
      </w:r>
      <w:r w:rsidR="0059780A" w:rsidRPr="000450BF">
        <w:t>statal</w:t>
      </w:r>
      <w:r w:rsidR="00EA79DC" w:rsidRPr="000450BF">
        <w:t xml:space="preserve"> and private sectors and educational institutions</w:t>
      </w:r>
      <w:r w:rsidR="006C1029">
        <w:t>.</w:t>
      </w:r>
      <w:r w:rsidRPr="000450BF">
        <w:rPr>
          <w:rStyle w:val="FootnoteReference"/>
        </w:rPr>
        <w:footnoteReference w:id="90"/>
      </w:r>
      <w:r w:rsidRPr="000450BF">
        <w:t xml:space="preserve"> </w:t>
      </w:r>
      <w:r w:rsidR="00EA79DC" w:rsidRPr="000450BF">
        <w:t>The registration of political parti</w:t>
      </w:r>
      <w:r w:rsidR="00D26F4E" w:rsidRPr="000450BF">
        <w:t>e</w:t>
      </w:r>
      <w:r w:rsidR="00EA79DC" w:rsidRPr="000450BF">
        <w:t xml:space="preserve">s is compulsory, requires submitting an application with the Minister of Interior </w:t>
      </w:r>
      <w:r w:rsidR="00D26F4E" w:rsidRPr="000450BF">
        <w:t>w</w:t>
      </w:r>
      <w:r w:rsidR="00EA79DC" w:rsidRPr="000450BF">
        <w:t>hich includes various information and documents</w:t>
      </w:r>
      <w:r w:rsidR="007101CE">
        <w:t>.</w:t>
      </w:r>
      <w:r w:rsidRPr="000450BF">
        <w:rPr>
          <w:rStyle w:val="FootnoteReference"/>
        </w:rPr>
        <w:footnoteReference w:id="91"/>
      </w:r>
      <w:r w:rsidRPr="000450BF">
        <w:t xml:space="preserve"> </w:t>
      </w:r>
      <w:r w:rsidR="00EA79DC" w:rsidRPr="000450BF">
        <w:t xml:space="preserve">The statutes of political parties must include some indications, such as </w:t>
      </w:r>
      <w:r w:rsidR="007101CE">
        <w:t>“</w:t>
      </w:r>
      <w:r w:rsidR="00EA79DC" w:rsidRPr="000450BF">
        <w:t>the name of the political party; the basic principles and guidelines of the political party ideology</w:t>
      </w:r>
      <w:r w:rsidR="002F105B" w:rsidRPr="000450BF">
        <w:t xml:space="preserve">, </w:t>
      </w:r>
      <w:r w:rsidR="00D26F4E" w:rsidRPr="000450BF">
        <w:t>head office</w:t>
      </w:r>
      <w:r w:rsidR="002F105B" w:rsidRPr="000450BF">
        <w:t>,</w:t>
      </w:r>
      <w:r w:rsidRPr="000450BF">
        <w:t xml:space="preserve"> composition, </w:t>
      </w:r>
      <w:r w:rsidR="00D26F4E" w:rsidRPr="000450BF">
        <w:t>appointment procedure and the term of office of the governing bodies on the national level</w:t>
      </w:r>
      <w:r w:rsidR="002F105B" w:rsidRPr="000450BF">
        <w:t>,</w:t>
      </w:r>
      <w:r w:rsidR="00D26F4E" w:rsidRPr="000450BF">
        <w:t xml:space="preserve"> commitment to respect the national charter, the </w:t>
      </w:r>
      <w:r w:rsidRPr="000450BF">
        <w:t xml:space="preserve">Constitution, </w:t>
      </w:r>
      <w:r w:rsidR="00497DF1">
        <w:t>l</w:t>
      </w:r>
      <w:r w:rsidR="00D26F4E" w:rsidRPr="000450BF">
        <w:t>aw,</w:t>
      </w:r>
      <w:r w:rsidR="00B65682" w:rsidRPr="000450BF">
        <w:t xml:space="preserve"> </w:t>
      </w:r>
      <w:r w:rsidR="00D26F4E" w:rsidRPr="000450BF">
        <w:t>public order and decency</w:t>
      </w:r>
      <w:r w:rsidR="002F105B" w:rsidRPr="000450BF">
        <w:t>,</w:t>
      </w:r>
      <w:r w:rsidRPr="000450BF">
        <w:t xml:space="preserve"> </w:t>
      </w:r>
      <w:r w:rsidR="00D405F2" w:rsidRPr="000450BF">
        <w:t xml:space="preserve">respect of the principles set out in </w:t>
      </w:r>
      <w:r w:rsidRPr="000450BF">
        <w:t xml:space="preserve">article 22 </w:t>
      </w:r>
      <w:r w:rsidR="00497DF1">
        <w:t xml:space="preserve">of the present </w:t>
      </w:r>
      <w:r w:rsidR="007101CE">
        <w:t>l</w:t>
      </w:r>
      <w:r w:rsidR="00D405F2" w:rsidRPr="000450BF">
        <w:t>aw</w:t>
      </w:r>
      <w:r w:rsidR="00497DF1">
        <w:t xml:space="preserve"> by e</w:t>
      </w:r>
      <w:r w:rsidR="00D405F2" w:rsidRPr="000450BF">
        <w:t>xplicitly</w:t>
      </w:r>
      <w:r w:rsidR="00497DF1">
        <w:t xml:space="preserve"> reproducing them</w:t>
      </w:r>
      <w:r w:rsidR="002F105B" w:rsidRPr="000450BF">
        <w:t>,</w:t>
      </w:r>
      <w:r w:rsidR="00D405F2" w:rsidRPr="000450BF">
        <w:t xml:space="preserve"> the internal organisation at the national level</w:t>
      </w:r>
      <w:r w:rsidR="002F105B" w:rsidRPr="000450BF">
        <w:t>,</w:t>
      </w:r>
      <w:r w:rsidR="00D405F2" w:rsidRPr="000450BF">
        <w:t xml:space="preserve"> funding sources</w:t>
      </w:r>
      <w:r w:rsidR="002F105B" w:rsidRPr="000450BF">
        <w:t>,</w:t>
      </w:r>
      <w:r w:rsidR="00D405F2" w:rsidRPr="000450BF">
        <w:t xml:space="preserve"> rules to follow for the modification of statutes</w:t>
      </w:r>
      <w:r w:rsidR="002F105B" w:rsidRPr="000450BF">
        <w:t>,</w:t>
      </w:r>
      <w:r w:rsidR="00D405F2" w:rsidRPr="000450BF">
        <w:t xml:space="preserve"> </w:t>
      </w:r>
      <w:r w:rsidR="00497DF1" w:rsidRPr="000450BF">
        <w:t>procedure</w:t>
      </w:r>
      <w:r w:rsidR="00497DF1">
        <w:t>s</w:t>
      </w:r>
      <w:r w:rsidR="00497DF1" w:rsidRPr="000450BF">
        <w:t xml:space="preserve"> </w:t>
      </w:r>
      <w:r w:rsidR="00497DF1">
        <w:t xml:space="preserve">for the </w:t>
      </w:r>
      <w:r w:rsidRPr="000450BF">
        <w:t xml:space="preserve">dissolution </w:t>
      </w:r>
      <w:r w:rsidR="00497DF1" w:rsidRPr="000450BF">
        <w:t xml:space="preserve">of the political party </w:t>
      </w:r>
      <w:r w:rsidR="00D405F2" w:rsidRPr="000450BF">
        <w:t>and</w:t>
      </w:r>
      <w:r w:rsidRPr="000450BF">
        <w:t xml:space="preserve"> </w:t>
      </w:r>
      <w:r w:rsidR="00497DF1">
        <w:t xml:space="preserve">the </w:t>
      </w:r>
      <w:r w:rsidRPr="000450BF">
        <w:t>d</w:t>
      </w:r>
      <w:r w:rsidR="00D405F2" w:rsidRPr="000450BF">
        <w:t>e</w:t>
      </w:r>
      <w:r w:rsidRPr="000450BF">
        <w:t xml:space="preserve">volution </w:t>
      </w:r>
      <w:r w:rsidR="00497DF1">
        <w:t>of its</w:t>
      </w:r>
      <w:r w:rsidR="00D405F2" w:rsidRPr="000450BF">
        <w:t xml:space="preserve"> assets</w:t>
      </w:r>
      <w:r w:rsidR="007101CE">
        <w:t>”.</w:t>
      </w:r>
      <w:r w:rsidRPr="000450BF">
        <w:rPr>
          <w:rStyle w:val="FootnoteReference"/>
        </w:rPr>
        <w:footnoteReference w:id="92"/>
      </w:r>
    </w:p>
    <w:p w14:paraId="4F9C7733" w14:textId="14F135A7" w:rsidR="008E4E71" w:rsidRPr="000450BF" w:rsidRDefault="008E4E71" w:rsidP="008E4E71">
      <w:pPr>
        <w:pStyle w:val="SingleTxtG"/>
      </w:pPr>
      <w:r w:rsidRPr="000450BF">
        <w:t>255.</w:t>
      </w:r>
      <w:r w:rsidRPr="000450BF">
        <w:tab/>
      </w:r>
      <w:r w:rsidR="00D405F2" w:rsidRPr="000450BF">
        <w:t xml:space="preserve">The </w:t>
      </w:r>
      <w:r w:rsidR="002F105B" w:rsidRPr="000450BF">
        <w:t>registration</w:t>
      </w:r>
      <w:r w:rsidR="00D405F2" w:rsidRPr="000450BF">
        <w:t xml:space="preserve"> in February </w:t>
      </w:r>
      <w:r w:rsidR="00D72EB9" w:rsidRPr="000450BF">
        <w:t>2019 of the new opposition party</w:t>
      </w:r>
      <w:r w:rsidR="00D405F2" w:rsidRPr="000450BF">
        <w:t xml:space="preserve"> of </w:t>
      </w:r>
      <w:r w:rsidRPr="000450BF">
        <w:t xml:space="preserve">Agathon Rwasa, </w:t>
      </w:r>
      <w:r w:rsidR="00D405F2" w:rsidRPr="000450BF">
        <w:t xml:space="preserve">the </w:t>
      </w:r>
      <w:r w:rsidRPr="000450BF">
        <w:rPr>
          <w:i/>
        </w:rPr>
        <w:t>Congrès national de libération</w:t>
      </w:r>
      <w:r w:rsidRPr="000450BF">
        <w:t xml:space="preserve"> (CNL), </w:t>
      </w:r>
      <w:r w:rsidR="00D405F2" w:rsidRPr="000450BF">
        <w:t xml:space="preserve">after months of administrative processes, raised hopes with regards to the opening of the political space. However, the first months of CNL existence were marked by several obstacles to </w:t>
      </w:r>
      <w:r w:rsidR="000D4598">
        <w:t>its</w:t>
      </w:r>
      <w:r w:rsidR="00D405F2" w:rsidRPr="000450BF">
        <w:t xml:space="preserve"> activities, notably with regards to the simple act of opening </w:t>
      </w:r>
      <w:r w:rsidR="000D4598">
        <w:t>its</w:t>
      </w:r>
      <w:r w:rsidR="00D405F2" w:rsidRPr="000450BF">
        <w:t xml:space="preserve"> offices throughout the country</w:t>
      </w:r>
      <w:r w:rsidRPr="000450BF">
        <w:t xml:space="preserve">, </w:t>
      </w:r>
      <w:r w:rsidR="00D405F2" w:rsidRPr="000450BF">
        <w:t xml:space="preserve">which constitutes a form of violation of </w:t>
      </w:r>
      <w:r w:rsidR="00D72EB9" w:rsidRPr="000450BF">
        <w:t xml:space="preserve">the </w:t>
      </w:r>
      <w:r w:rsidR="00D405F2" w:rsidRPr="000450BF">
        <w:t xml:space="preserve">right to the freedom of </w:t>
      </w:r>
      <w:r w:rsidRPr="000450BF">
        <w:t>association</w:t>
      </w:r>
      <w:r w:rsidR="007101CE">
        <w:t>.</w:t>
      </w:r>
      <w:r w:rsidRPr="000450BF">
        <w:rPr>
          <w:rStyle w:val="FootnoteReference"/>
        </w:rPr>
        <w:footnoteReference w:id="93"/>
      </w:r>
      <w:r w:rsidRPr="000450BF">
        <w:t xml:space="preserve"> </w:t>
      </w:r>
      <w:r w:rsidR="00D405F2" w:rsidRPr="000450BF">
        <w:t xml:space="preserve">In fact, </w:t>
      </w:r>
      <w:r w:rsidR="00D72EB9" w:rsidRPr="000450BF">
        <w:t xml:space="preserve">finding offices and opening </w:t>
      </w:r>
      <w:r w:rsidR="00394EFD" w:rsidRPr="000450BF">
        <w:t xml:space="preserve">communal and district headquarters has often been a laborious process because of the hostility of some local administrative authorities and </w:t>
      </w:r>
      <w:r w:rsidRPr="000450BF">
        <w:t xml:space="preserve">CNDD-FDD, </w:t>
      </w:r>
      <w:r w:rsidR="00394EFD" w:rsidRPr="000450BF">
        <w:t>and several of these local headquarters have been vandalised or destroyed</w:t>
      </w:r>
      <w:r w:rsidR="007101CE">
        <w:t>.</w:t>
      </w:r>
      <w:r w:rsidRPr="000450BF">
        <w:rPr>
          <w:rStyle w:val="FootnoteReference"/>
        </w:rPr>
        <w:footnoteReference w:id="94"/>
      </w:r>
      <w:r w:rsidRPr="000450BF">
        <w:t xml:space="preserve"> </w:t>
      </w:r>
      <w:r w:rsidR="00394EFD" w:rsidRPr="000450BF">
        <w:t xml:space="preserve">Even the inauguration of the CNL offices in </w:t>
      </w:r>
      <w:r w:rsidRPr="000450BF">
        <w:t xml:space="preserve">Bujumbura </w:t>
      </w:r>
      <w:r w:rsidR="00394EFD" w:rsidRPr="000450BF">
        <w:t xml:space="preserve">was postponed by a week </w:t>
      </w:r>
      <w:r w:rsidR="00ED2D78" w:rsidRPr="000450BF">
        <w:t>pursuant</w:t>
      </w:r>
      <w:r w:rsidR="00394EFD" w:rsidRPr="000450BF">
        <w:t xml:space="preserve"> to the </w:t>
      </w:r>
      <w:r w:rsidR="00ED2D78" w:rsidRPr="000450BF">
        <w:t>decision</w:t>
      </w:r>
      <w:r w:rsidRPr="000450BF">
        <w:t xml:space="preserve"> </w:t>
      </w:r>
      <w:r w:rsidR="00394EFD" w:rsidRPr="000450BF">
        <w:t xml:space="preserve">of the authorities </w:t>
      </w:r>
      <w:r w:rsidR="0076209D" w:rsidRPr="000450BF">
        <w:t xml:space="preserve">for vague </w:t>
      </w:r>
      <w:r w:rsidR="007101CE">
        <w:t>“</w:t>
      </w:r>
      <w:r w:rsidR="0076209D" w:rsidRPr="000450BF">
        <w:t>security reasons</w:t>
      </w:r>
      <w:r w:rsidR="007101CE">
        <w:t>”</w:t>
      </w:r>
      <w:r w:rsidRPr="000450BF">
        <w:rPr>
          <w:rStyle w:val="FootnoteReference"/>
        </w:rPr>
        <w:footnoteReference w:id="95"/>
      </w:r>
      <w:r w:rsidRPr="000450BF">
        <w:t xml:space="preserve">. </w:t>
      </w:r>
      <w:r w:rsidR="0076209D" w:rsidRPr="000450BF">
        <w:t xml:space="preserve">One of CNL members explained the difficulties encountered by the party to open one of its communal </w:t>
      </w:r>
      <w:r w:rsidR="00ED2D78" w:rsidRPr="000450BF">
        <w:t>headquarters:</w:t>
      </w:r>
    </w:p>
    <w:p w14:paraId="4095C1D5" w14:textId="05C346FE" w:rsidR="008E4E71" w:rsidRPr="000450BF" w:rsidRDefault="007101CE" w:rsidP="008E4E71">
      <w:pPr>
        <w:pStyle w:val="SingleTxtG"/>
        <w:ind w:left="1701"/>
        <w:rPr>
          <w:i/>
        </w:rPr>
      </w:pPr>
      <w:r>
        <w:rPr>
          <w:i/>
        </w:rPr>
        <w:t>“</w:t>
      </w:r>
      <w:r w:rsidR="008E4E71" w:rsidRPr="000450BF">
        <w:rPr>
          <w:i/>
        </w:rPr>
        <w:t>CNL</w:t>
      </w:r>
      <w:r w:rsidR="0076209D" w:rsidRPr="000450BF">
        <w:rPr>
          <w:i/>
        </w:rPr>
        <w:t xml:space="preserve"> party wanted to open its office in </w:t>
      </w:r>
      <w:r w:rsidR="008E4E71" w:rsidRPr="000450BF">
        <w:rPr>
          <w:i/>
        </w:rPr>
        <w:t xml:space="preserve">commune </w:t>
      </w:r>
      <w:r w:rsidR="0076209D" w:rsidRPr="000450BF">
        <w:rPr>
          <w:i/>
        </w:rPr>
        <w:t xml:space="preserve">and </w:t>
      </w:r>
      <w:r w:rsidR="008E4E71" w:rsidRPr="000450BF">
        <w:rPr>
          <w:i/>
        </w:rPr>
        <w:t xml:space="preserve">province [X]. </w:t>
      </w:r>
      <w:r w:rsidR="0076209D" w:rsidRPr="000450BF">
        <w:rPr>
          <w:i/>
        </w:rPr>
        <w:t xml:space="preserve">On </w:t>
      </w:r>
      <w:r w:rsidR="008E4E71" w:rsidRPr="000450BF">
        <w:rPr>
          <w:i/>
        </w:rPr>
        <w:t xml:space="preserve">[Y] </w:t>
      </w:r>
      <w:r w:rsidR="00ED2D78" w:rsidRPr="000450BF">
        <w:rPr>
          <w:i/>
        </w:rPr>
        <w:t>June</w:t>
      </w:r>
      <w:r w:rsidR="0076209D" w:rsidRPr="000450BF">
        <w:rPr>
          <w:i/>
        </w:rPr>
        <w:t xml:space="preserve"> </w:t>
      </w:r>
      <w:r w:rsidR="008E4E71" w:rsidRPr="000450BF">
        <w:rPr>
          <w:i/>
        </w:rPr>
        <w:t xml:space="preserve">2019, </w:t>
      </w:r>
      <w:r w:rsidR="00ED2D78" w:rsidRPr="000450BF">
        <w:rPr>
          <w:i/>
        </w:rPr>
        <w:t>they</w:t>
      </w:r>
      <w:r w:rsidR="0076209D" w:rsidRPr="000450BF">
        <w:rPr>
          <w:i/>
        </w:rPr>
        <w:t xml:space="preserve"> sent a letter to the Governor of the province […] seeking his permission. The Governor took two weeks to respond to us </w:t>
      </w:r>
      <w:r w:rsidR="008E4E71" w:rsidRPr="000450BF">
        <w:rPr>
          <w:i/>
        </w:rPr>
        <w:t>[</w:t>
      </w:r>
      <w:r w:rsidR="0076209D" w:rsidRPr="000450BF">
        <w:rPr>
          <w:i/>
        </w:rPr>
        <w:t>and</w:t>
      </w:r>
      <w:r w:rsidR="008E4E71" w:rsidRPr="000450BF">
        <w:rPr>
          <w:i/>
        </w:rPr>
        <w:t xml:space="preserve">] </w:t>
      </w:r>
      <w:r w:rsidR="0076209D" w:rsidRPr="000450BF">
        <w:rPr>
          <w:i/>
        </w:rPr>
        <w:t xml:space="preserve">sent us to the administrator of </w:t>
      </w:r>
      <w:r w:rsidR="008E4E71" w:rsidRPr="000450BF">
        <w:rPr>
          <w:i/>
        </w:rPr>
        <w:t>[</w:t>
      </w:r>
      <w:r w:rsidR="0076209D" w:rsidRPr="000450BF">
        <w:rPr>
          <w:i/>
        </w:rPr>
        <w:t>the</w:t>
      </w:r>
      <w:r w:rsidR="008E4E71" w:rsidRPr="000450BF">
        <w:rPr>
          <w:i/>
        </w:rPr>
        <w:t xml:space="preserve"> commune]. […] </w:t>
      </w:r>
      <w:r w:rsidR="0076209D" w:rsidRPr="000450BF">
        <w:rPr>
          <w:i/>
        </w:rPr>
        <w:t xml:space="preserve">The communal administrator </w:t>
      </w:r>
      <w:r w:rsidR="008E4E71" w:rsidRPr="000450BF">
        <w:rPr>
          <w:i/>
        </w:rPr>
        <w:t xml:space="preserve">[…] </w:t>
      </w:r>
      <w:r w:rsidR="0076209D" w:rsidRPr="000450BF">
        <w:rPr>
          <w:i/>
        </w:rPr>
        <w:t xml:space="preserve">told us that he could not allow us to work in the </w:t>
      </w:r>
      <w:r w:rsidR="008E4E71" w:rsidRPr="000450BF">
        <w:rPr>
          <w:i/>
        </w:rPr>
        <w:t xml:space="preserve">colline […] </w:t>
      </w:r>
      <w:r w:rsidR="0076209D" w:rsidRPr="000450BF">
        <w:rPr>
          <w:i/>
        </w:rPr>
        <w:t>for security reasons</w:t>
      </w:r>
      <w:r w:rsidR="008E4E71" w:rsidRPr="000450BF">
        <w:rPr>
          <w:i/>
        </w:rPr>
        <w:t xml:space="preserve">. […] </w:t>
      </w:r>
      <w:r w:rsidR="0076209D" w:rsidRPr="000450BF">
        <w:rPr>
          <w:i/>
        </w:rPr>
        <w:t xml:space="preserve">the </w:t>
      </w:r>
      <w:r w:rsidR="008E4E71" w:rsidRPr="000450BF">
        <w:rPr>
          <w:i/>
        </w:rPr>
        <w:t xml:space="preserve">administration </w:t>
      </w:r>
      <w:r w:rsidR="0076209D" w:rsidRPr="000450BF">
        <w:rPr>
          <w:i/>
        </w:rPr>
        <w:t>prohibited</w:t>
      </w:r>
      <w:r w:rsidR="00A95EE8" w:rsidRPr="000450BF">
        <w:rPr>
          <w:i/>
        </w:rPr>
        <w:t xml:space="preserve"> us (from working there) to sto</w:t>
      </w:r>
      <w:r w:rsidR="0076209D" w:rsidRPr="000450BF">
        <w:rPr>
          <w:i/>
        </w:rPr>
        <w:t xml:space="preserve">p people who might want to join us </w:t>
      </w:r>
      <w:r w:rsidR="008E4E71" w:rsidRPr="000450BF">
        <w:rPr>
          <w:i/>
        </w:rPr>
        <w:t xml:space="preserve">[…] </w:t>
      </w:r>
      <w:r w:rsidR="0076209D" w:rsidRPr="000450BF">
        <w:rPr>
          <w:i/>
        </w:rPr>
        <w:t xml:space="preserve">this </w:t>
      </w:r>
      <w:r w:rsidR="00583B8C" w:rsidRPr="000450BF">
        <w:rPr>
          <w:i/>
        </w:rPr>
        <w:t xml:space="preserve">administrative </w:t>
      </w:r>
      <w:r w:rsidR="0076209D" w:rsidRPr="000450BF">
        <w:rPr>
          <w:i/>
        </w:rPr>
        <w:t>authority gave the order to</w:t>
      </w:r>
      <w:r w:rsidR="00A95EE8" w:rsidRPr="000450BF">
        <w:rPr>
          <w:i/>
        </w:rPr>
        <w:t xml:space="preserve"> </w:t>
      </w:r>
      <w:r w:rsidR="00ED2D78" w:rsidRPr="000450BF">
        <w:rPr>
          <w:i/>
        </w:rPr>
        <w:t>landlords</w:t>
      </w:r>
      <w:r w:rsidR="00A95EE8" w:rsidRPr="000450BF">
        <w:rPr>
          <w:i/>
        </w:rPr>
        <w:t xml:space="preserve"> not to rent their houses to CNL to be used as their offices</w:t>
      </w:r>
      <w:r>
        <w:rPr>
          <w:i/>
        </w:rPr>
        <w:t>”.</w:t>
      </w:r>
      <w:r w:rsidR="008E4E71" w:rsidRPr="000450BF">
        <w:rPr>
          <w:rStyle w:val="FootnoteReference"/>
        </w:rPr>
        <w:footnoteReference w:id="96"/>
      </w:r>
    </w:p>
    <w:p w14:paraId="4C39EE35" w14:textId="674F49E3" w:rsidR="008E4E71" w:rsidRPr="000450BF" w:rsidRDefault="008E4E71" w:rsidP="008E4E71">
      <w:pPr>
        <w:pStyle w:val="SingleTxtG"/>
      </w:pPr>
      <w:r w:rsidRPr="000450BF">
        <w:t>256.</w:t>
      </w:r>
      <w:r w:rsidRPr="000450BF">
        <w:tab/>
      </w:r>
      <w:r w:rsidR="00A95EE8" w:rsidRPr="000450BF">
        <w:t xml:space="preserve">In addition, its members have regularly been targeted for </w:t>
      </w:r>
      <w:r w:rsidRPr="000450BF">
        <w:t xml:space="preserve">intimidation, </w:t>
      </w:r>
      <w:r w:rsidR="00A95EE8" w:rsidRPr="000450BF">
        <w:t xml:space="preserve">harassment, threats and several </w:t>
      </w:r>
      <w:r w:rsidR="002F105B" w:rsidRPr="000450BF">
        <w:t xml:space="preserve">members </w:t>
      </w:r>
      <w:r w:rsidR="00A95EE8" w:rsidRPr="000450BF">
        <w:t>were victims of torture and ill treatment, arbitrary arrest and detention, and some have disappeared or were executed in order to dissuade them from carrying out their functions within the party and to force them to stop</w:t>
      </w:r>
      <w:r w:rsidR="007101CE">
        <w:t>.</w:t>
      </w:r>
      <w:r w:rsidRPr="000450BF">
        <w:rPr>
          <w:rStyle w:val="FootnoteReference"/>
        </w:rPr>
        <w:footnoteReference w:id="97"/>
      </w:r>
    </w:p>
    <w:p w14:paraId="65743B52" w14:textId="0E152E28" w:rsidR="008E4E71" w:rsidRPr="000450BF" w:rsidRDefault="008E4E71" w:rsidP="008E4E71">
      <w:pPr>
        <w:pStyle w:val="H56G"/>
      </w:pPr>
      <w:r w:rsidRPr="000450BF">
        <w:tab/>
      </w:r>
      <w:r w:rsidRPr="000450BF">
        <w:tab/>
        <w:t>(iii)</w:t>
      </w:r>
      <w:r w:rsidRPr="000450BF">
        <w:tab/>
        <w:t xml:space="preserve">Violations </w:t>
      </w:r>
      <w:r w:rsidR="00A95EE8" w:rsidRPr="000450BF">
        <w:t>of the freedom of association</w:t>
      </w:r>
    </w:p>
    <w:p w14:paraId="3714B159" w14:textId="7F28192D" w:rsidR="008E4E71" w:rsidRPr="000450BF" w:rsidRDefault="008E4E71" w:rsidP="008E4E71">
      <w:pPr>
        <w:pStyle w:val="SingleTxtG"/>
      </w:pPr>
      <w:r w:rsidRPr="000450BF">
        <w:t>257.</w:t>
      </w:r>
      <w:r w:rsidRPr="000450BF">
        <w:tab/>
      </w:r>
      <w:r w:rsidR="00A95EE8" w:rsidRPr="000450BF">
        <w:t xml:space="preserve">The efforts to force the </w:t>
      </w:r>
      <w:r w:rsidRPr="000450BF">
        <w:t xml:space="preserve">population, </w:t>
      </w:r>
      <w:r w:rsidR="002D1216" w:rsidRPr="000450BF">
        <w:t xml:space="preserve">mostly men, to join the party </w:t>
      </w:r>
      <w:r w:rsidRPr="000450BF">
        <w:t xml:space="preserve">CNDD-FDD </w:t>
      </w:r>
      <w:r w:rsidR="002D1216" w:rsidRPr="000450BF">
        <w:t xml:space="preserve">or its youth league, </w:t>
      </w:r>
      <w:r w:rsidRPr="000450BF">
        <w:t>Imbonerakure</w:t>
      </w:r>
      <w:r w:rsidR="002D1216" w:rsidRPr="000450BF">
        <w:t>, have continued as per the past</w:t>
      </w:r>
      <w:r w:rsidR="007101CE">
        <w:t>,</w:t>
      </w:r>
      <w:r w:rsidRPr="000450BF">
        <w:rPr>
          <w:rStyle w:val="FootnoteReference"/>
        </w:rPr>
        <w:footnoteReference w:id="98"/>
      </w:r>
      <w:r w:rsidRPr="000450BF">
        <w:t xml:space="preserve"> </w:t>
      </w:r>
      <w:r w:rsidR="002D1216" w:rsidRPr="000450BF">
        <w:t>whether they are already members of another political party or without political affiliation. This practice constitutes</w:t>
      </w:r>
      <w:r w:rsidR="009D65B0" w:rsidRPr="000450BF">
        <w:t>,</w:t>
      </w:r>
      <w:r w:rsidR="002D1216" w:rsidRPr="000450BF">
        <w:t xml:space="preserve"> in and </w:t>
      </w:r>
      <w:r w:rsidR="00686FB6" w:rsidRPr="000450BF">
        <w:t xml:space="preserve">of </w:t>
      </w:r>
      <w:r w:rsidR="002D1216" w:rsidRPr="000450BF">
        <w:t>itself</w:t>
      </w:r>
      <w:r w:rsidR="009D65B0" w:rsidRPr="000450BF">
        <w:t>,</w:t>
      </w:r>
      <w:r w:rsidR="002D1216" w:rsidRPr="000450BF">
        <w:t xml:space="preserve"> a violation of the </w:t>
      </w:r>
      <w:r w:rsidRPr="000450BF">
        <w:t>corolla</w:t>
      </w:r>
      <w:r w:rsidR="002D1216" w:rsidRPr="000450BF">
        <w:t>ry of the freedom of association, which is the freedom not to associate with others</w:t>
      </w:r>
      <w:r w:rsidR="007101CE">
        <w:t>.</w:t>
      </w:r>
      <w:r w:rsidRPr="000450BF">
        <w:rPr>
          <w:rStyle w:val="FootnoteReference"/>
        </w:rPr>
        <w:footnoteReference w:id="99"/>
      </w:r>
      <w:r w:rsidRPr="000450BF">
        <w:t xml:space="preserve"> </w:t>
      </w:r>
      <w:r w:rsidR="002D1216" w:rsidRPr="000450BF">
        <w:t xml:space="preserve">To that end, the </w:t>
      </w:r>
      <w:r w:rsidRPr="000450BF">
        <w:t xml:space="preserve">Imbonerakure </w:t>
      </w:r>
      <w:r w:rsidR="002D1216" w:rsidRPr="000450BF">
        <w:t xml:space="preserve">have frequently resorted to intimidation and threats, including death threats, arbitrary arrests, as well as torture and ill </w:t>
      </w:r>
      <w:r w:rsidR="00ED2D78" w:rsidRPr="000450BF">
        <w:t>treatment</w:t>
      </w:r>
      <w:r w:rsidR="002D1216" w:rsidRPr="000450BF">
        <w:t xml:space="preserve">, </w:t>
      </w:r>
      <w:r w:rsidR="00137C7E" w:rsidRPr="000450BF">
        <w:t xml:space="preserve">in the form of </w:t>
      </w:r>
      <w:r w:rsidR="00ED2D78" w:rsidRPr="000450BF">
        <w:t>rape</w:t>
      </w:r>
      <w:r w:rsidR="00943AAA" w:rsidRPr="000450BF">
        <w:t>,</w:t>
      </w:r>
      <w:r w:rsidR="00137C7E" w:rsidRPr="000450BF">
        <w:t xml:space="preserve"> disappearance or executions</w:t>
      </w:r>
      <w:r w:rsidR="007101CE">
        <w:t>,</w:t>
      </w:r>
      <w:r w:rsidRPr="000450BF">
        <w:rPr>
          <w:rStyle w:val="FootnoteReference"/>
        </w:rPr>
        <w:footnoteReference w:id="100"/>
      </w:r>
      <w:r w:rsidR="00137C7E" w:rsidRPr="000450BF">
        <w:t xml:space="preserve"> amongst others, which constitute serious violations of human rights</w:t>
      </w:r>
      <w:r w:rsidR="007101CE">
        <w:t>.</w:t>
      </w:r>
      <w:r w:rsidRPr="000450BF">
        <w:rPr>
          <w:rStyle w:val="FootnoteReference"/>
        </w:rPr>
        <w:footnoteReference w:id="101"/>
      </w:r>
      <w:r w:rsidRPr="000450BF">
        <w:t xml:space="preserve"> </w:t>
      </w:r>
      <w:r w:rsidR="00137C7E" w:rsidRPr="000450BF">
        <w:t xml:space="preserve">As highlighted by a </w:t>
      </w:r>
      <w:r w:rsidR="00943AAA" w:rsidRPr="000450BF">
        <w:t>witness:</w:t>
      </w:r>
    </w:p>
    <w:p w14:paraId="2FE48723" w14:textId="0059A90C" w:rsidR="008E4E71" w:rsidRPr="000450BF" w:rsidRDefault="007101CE" w:rsidP="008E4E71">
      <w:pPr>
        <w:pStyle w:val="SingleTxtG"/>
        <w:ind w:left="1701"/>
        <w:rPr>
          <w:i/>
        </w:rPr>
      </w:pPr>
      <w:r>
        <w:rPr>
          <w:i/>
        </w:rPr>
        <w:t>“</w:t>
      </w:r>
      <w:r w:rsidR="00137C7E" w:rsidRPr="000450BF">
        <w:rPr>
          <w:i/>
        </w:rPr>
        <w:t>In January</w:t>
      </w:r>
      <w:r w:rsidR="008E4E71" w:rsidRPr="000450BF">
        <w:rPr>
          <w:i/>
        </w:rPr>
        <w:t xml:space="preserve"> 2019, [</w:t>
      </w:r>
      <w:r w:rsidR="00137C7E" w:rsidRPr="000450BF">
        <w:rPr>
          <w:i/>
        </w:rPr>
        <w:t>the</w:t>
      </w:r>
      <w:r w:rsidR="008E4E71" w:rsidRPr="000450BF">
        <w:rPr>
          <w:i/>
        </w:rPr>
        <w:t xml:space="preserve"> Imbonerakure] </w:t>
      </w:r>
      <w:r w:rsidR="00137C7E" w:rsidRPr="000450BF">
        <w:rPr>
          <w:i/>
        </w:rPr>
        <w:t xml:space="preserve">started again to aggressively </w:t>
      </w:r>
      <w:r w:rsidR="00943AAA" w:rsidRPr="000450BF">
        <w:rPr>
          <w:i/>
        </w:rPr>
        <w:t>recruit</w:t>
      </w:r>
      <w:r w:rsidR="00137C7E" w:rsidRPr="000450BF">
        <w:rPr>
          <w:i/>
        </w:rPr>
        <w:t xml:space="preserve"> young boys and men who are still strong, but if you refuse, they would threaten you. The threats start slowly but become </w:t>
      </w:r>
      <w:r w:rsidR="00943AAA" w:rsidRPr="000450BF">
        <w:rPr>
          <w:i/>
        </w:rPr>
        <w:t>violent</w:t>
      </w:r>
      <w:r w:rsidR="00137C7E" w:rsidRPr="000450BF">
        <w:rPr>
          <w:i/>
        </w:rPr>
        <w:t xml:space="preserve"> and then they threaten to kill you. They do not stop </w:t>
      </w:r>
      <w:r w:rsidR="00943AAA" w:rsidRPr="000450BF">
        <w:rPr>
          <w:i/>
        </w:rPr>
        <w:t>harassing</w:t>
      </w:r>
      <w:r w:rsidR="00137C7E" w:rsidRPr="000450BF">
        <w:rPr>
          <w:i/>
        </w:rPr>
        <w:t xml:space="preserve"> you until you </w:t>
      </w:r>
      <w:r w:rsidR="00943AAA" w:rsidRPr="000450BF">
        <w:rPr>
          <w:i/>
        </w:rPr>
        <w:t>accept,</w:t>
      </w:r>
      <w:r w:rsidR="00137C7E" w:rsidRPr="000450BF">
        <w:rPr>
          <w:i/>
        </w:rPr>
        <w:t xml:space="preserve"> or you decide to leave</w:t>
      </w:r>
      <w:r>
        <w:rPr>
          <w:i/>
        </w:rPr>
        <w:t>”.</w:t>
      </w:r>
      <w:r w:rsidR="008E4E71" w:rsidRPr="000450BF">
        <w:rPr>
          <w:rStyle w:val="FootnoteReference"/>
        </w:rPr>
        <w:footnoteReference w:id="102"/>
      </w:r>
    </w:p>
    <w:p w14:paraId="6D212174" w14:textId="627F4AB7" w:rsidR="008E4E71" w:rsidRPr="000450BF" w:rsidRDefault="008E4E71" w:rsidP="008E4E71">
      <w:pPr>
        <w:pStyle w:val="SingleTxtG"/>
      </w:pPr>
      <w:r w:rsidRPr="000450BF">
        <w:t>258.</w:t>
      </w:r>
      <w:r w:rsidRPr="000450BF">
        <w:tab/>
      </w:r>
      <w:r w:rsidR="00137C7E" w:rsidRPr="000450BF">
        <w:t>A</w:t>
      </w:r>
      <w:r w:rsidRPr="000450BF">
        <w:t xml:space="preserve"> victim</w:t>
      </w:r>
      <w:r w:rsidR="00137C7E" w:rsidRPr="000450BF">
        <w:t xml:space="preserve"> explained the motives of her rape by </w:t>
      </w:r>
      <w:r w:rsidR="00943AAA" w:rsidRPr="000450BF">
        <w:t>Imbonerakure:</w:t>
      </w:r>
    </w:p>
    <w:p w14:paraId="2B0D53E1" w14:textId="4CE2187C" w:rsidR="008E4E71" w:rsidRPr="000450BF" w:rsidRDefault="007101CE" w:rsidP="008E4E71">
      <w:pPr>
        <w:pStyle w:val="SingleTxtG"/>
        <w:ind w:left="1701"/>
        <w:rPr>
          <w:i/>
        </w:rPr>
      </w:pPr>
      <w:r>
        <w:rPr>
          <w:i/>
        </w:rPr>
        <w:t>“</w:t>
      </w:r>
      <w:r w:rsidR="00137C7E" w:rsidRPr="000450BF">
        <w:rPr>
          <w:i/>
        </w:rPr>
        <w:t xml:space="preserve">They accused me of being an </w:t>
      </w:r>
      <w:r w:rsidR="00E42D0B" w:rsidRPr="000450BF">
        <w:rPr>
          <w:i/>
        </w:rPr>
        <w:t>opponent</w:t>
      </w:r>
      <w:r w:rsidR="00137C7E" w:rsidRPr="000450BF">
        <w:rPr>
          <w:i/>
        </w:rPr>
        <w:t xml:space="preserve"> because I did not want to join the women’s league of the party </w:t>
      </w:r>
      <w:r w:rsidR="008E4E71" w:rsidRPr="000450BF">
        <w:rPr>
          <w:i/>
        </w:rPr>
        <w:t xml:space="preserve">CNDD-FDD. </w:t>
      </w:r>
      <w:r w:rsidR="00137C7E" w:rsidRPr="000450BF">
        <w:rPr>
          <w:i/>
        </w:rPr>
        <w:t xml:space="preserve">The </w:t>
      </w:r>
      <w:r w:rsidR="008E4E71" w:rsidRPr="000450BF">
        <w:rPr>
          <w:i/>
        </w:rPr>
        <w:t xml:space="preserve">Imbonerakure </w:t>
      </w:r>
      <w:r w:rsidR="00137C7E" w:rsidRPr="000450BF">
        <w:rPr>
          <w:i/>
        </w:rPr>
        <w:t>wanted to intimidate me and insult me in order to join the women’s league of the party. At one point</w:t>
      </w:r>
      <w:r w:rsidR="00D84253" w:rsidRPr="000450BF">
        <w:rPr>
          <w:i/>
        </w:rPr>
        <w:t>,</w:t>
      </w:r>
      <w:r w:rsidR="00137C7E" w:rsidRPr="000450BF">
        <w:rPr>
          <w:i/>
        </w:rPr>
        <w:t xml:space="preserve"> I had to go to </w:t>
      </w:r>
      <w:r w:rsidR="00081BF1">
        <w:rPr>
          <w:i/>
        </w:rPr>
        <w:t>the</w:t>
      </w:r>
      <w:r w:rsidR="00137C7E" w:rsidRPr="000450BF">
        <w:rPr>
          <w:i/>
        </w:rPr>
        <w:t xml:space="preserve"> house </w:t>
      </w:r>
      <w:r w:rsidR="00081BF1">
        <w:rPr>
          <w:i/>
        </w:rPr>
        <w:t xml:space="preserve">of </w:t>
      </w:r>
      <w:r w:rsidR="008E4E71" w:rsidRPr="000450BF">
        <w:rPr>
          <w:i/>
        </w:rPr>
        <w:t xml:space="preserve">[…] </w:t>
      </w:r>
      <w:r w:rsidR="00137C7E" w:rsidRPr="000450BF">
        <w:rPr>
          <w:i/>
        </w:rPr>
        <w:t xml:space="preserve">because of the </w:t>
      </w:r>
      <w:r w:rsidR="008E4E71" w:rsidRPr="000450BF">
        <w:rPr>
          <w:i/>
        </w:rPr>
        <w:t xml:space="preserve">intimidations. </w:t>
      </w:r>
      <w:r w:rsidR="00137C7E" w:rsidRPr="000450BF">
        <w:rPr>
          <w:i/>
        </w:rPr>
        <w:t xml:space="preserve">One evening, around </w:t>
      </w:r>
      <w:r w:rsidR="008E4E71" w:rsidRPr="000450BF">
        <w:rPr>
          <w:i/>
        </w:rPr>
        <w:t>18</w:t>
      </w:r>
      <w:r w:rsidR="00B56430" w:rsidRPr="000450BF">
        <w:rPr>
          <w:i/>
        </w:rPr>
        <w:t>:</w:t>
      </w:r>
      <w:r w:rsidR="008E4E71" w:rsidRPr="000450BF">
        <w:rPr>
          <w:i/>
        </w:rPr>
        <w:t xml:space="preserve">00, </w:t>
      </w:r>
      <w:r w:rsidR="00137C7E" w:rsidRPr="000450BF">
        <w:rPr>
          <w:i/>
        </w:rPr>
        <w:t xml:space="preserve">as I was going home from the market, I was stopped by </w:t>
      </w:r>
      <w:r w:rsidR="008E4E71" w:rsidRPr="000450BF">
        <w:rPr>
          <w:i/>
        </w:rPr>
        <w:t xml:space="preserve">[…] </w:t>
      </w:r>
      <w:r w:rsidR="00137C7E" w:rsidRPr="000450BF">
        <w:rPr>
          <w:i/>
        </w:rPr>
        <w:t>young</w:t>
      </w:r>
      <w:r w:rsidR="008E4E71" w:rsidRPr="000450BF">
        <w:rPr>
          <w:i/>
        </w:rPr>
        <w:t xml:space="preserve"> Imbonerakure. [… </w:t>
      </w:r>
      <w:r w:rsidR="00137C7E" w:rsidRPr="000450BF">
        <w:rPr>
          <w:i/>
        </w:rPr>
        <w:t>They</w:t>
      </w:r>
      <w:r w:rsidR="008E4E71" w:rsidRPr="000450BF">
        <w:rPr>
          <w:i/>
        </w:rPr>
        <w:t xml:space="preserve">] </w:t>
      </w:r>
      <w:r w:rsidR="00137C7E" w:rsidRPr="000450BF">
        <w:rPr>
          <w:i/>
        </w:rPr>
        <w:t>told me</w:t>
      </w:r>
      <w:r>
        <w:rPr>
          <w:i/>
        </w:rPr>
        <w:t xml:space="preserve"> ‘</w:t>
      </w:r>
      <w:r w:rsidR="00137C7E" w:rsidRPr="000450BF">
        <w:rPr>
          <w:i/>
        </w:rPr>
        <w:t xml:space="preserve">You are a traitor. You do not want to join the </w:t>
      </w:r>
      <w:r w:rsidR="00612768" w:rsidRPr="000450BF">
        <w:rPr>
          <w:i/>
        </w:rPr>
        <w:t xml:space="preserve">party’s </w:t>
      </w:r>
      <w:r w:rsidR="00137C7E" w:rsidRPr="000450BF">
        <w:rPr>
          <w:i/>
        </w:rPr>
        <w:t>women’s league</w:t>
      </w:r>
      <w:r w:rsidR="00612768" w:rsidRPr="000450BF">
        <w:rPr>
          <w:i/>
        </w:rPr>
        <w:t xml:space="preserve">, we will teach you a lesson so that you give birth to an </w:t>
      </w:r>
      <w:r w:rsidR="008E4E71" w:rsidRPr="000450BF">
        <w:rPr>
          <w:i/>
        </w:rPr>
        <w:t>Imbonerakure</w:t>
      </w:r>
      <w:r>
        <w:rPr>
          <w:i/>
        </w:rPr>
        <w:t>’.”</w:t>
      </w:r>
      <w:r w:rsidR="008E4E71" w:rsidRPr="000450BF">
        <w:rPr>
          <w:rStyle w:val="FootnoteReference"/>
        </w:rPr>
        <w:footnoteReference w:id="103"/>
      </w:r>
    </w:p>
    <w:p w14:paraId="3957B894" w14:textId="5B930059" w:rsidR="008E4E71" w:rsidRPr="000450BF" w:rsidRDefault="008E4E71" w:rsidP="008E4E71">
      <w:pPr>
        <w:pStyle w:val="H4G"/>
      </w:pPr>
      <w:r w:rsidRPr="000450BF">
        <w:tab/>
        <w:t>c)</w:t>
      </w:r>
      <w:r w:rsidRPr="000450BF">
        <w:tab/>
      </w:r>
      <w:r w:rsidR="00612768" w:rsidRPr="000450BF">
        <w:t xml:space="preserve">Freedom of </w:t>
      </w:r>
      <w:r w:rsidR="00081BF1">
        <w:t>assembly</w:t>
      </w:r>
    </w:p>
    <w:p w14:paraId="7550D76F" w14:textId="3CC4C0A8" w:rsidR="008E4E71" w:rsidRPr="000450BF" w:rsidRDefault="008E4E71" w:rsidP="008E4E71">
      <w:pPr>
        <w:pStyle w:val="SingleTxtG"/>
      </w:pPr>
      <w:r w:rsidRPr="000450BF">
        <w:t>259.</w:t>
      </w:r>
      <w:r w:rsidRPr="000450BF">
        <w:tab/>
      </w:r>
      <w:r w:rsidR="00612768" w:rsidRPr="000450BF">
        <w:t>As in the previous report</w:t>
      </w:r>
      <w:r w:rsidR="007101CE">
        <w:t>,</w:t>
      </w:r>
      <w:r w:rsidRPr="000450BF">
        <w:rPr>
          <w:rStyle w:val="FootnoteReference"/>
        </w:rPr>
        <w:footnoteReference w:id="104"/>
      </w:r>
      <w:r w:rsidRPr="000450BF">
        <w:t xml:space="preserve"> </w:t>
      </w:r>
      <w:r w:rsidR="00612768" w:rsidRPr="000450BF">
        <w:t>the</w:t>
      </w:r>
      <w:r w:rsidRPr="000450BF">
        <w:t xml:space="preserve"> Commission </w:t>
      </w:r>
      <w:r w:rsidR="00612768" w:rsidRPr="000450BF">
        <w:t xml:space="preserve">noted that the freedom of opposition political parties to </w:t>
      </w:r>
      <w:r w:rsidR="00081BF1">
        <w:t>hold peaceful assemblies</w:t>
      </w:r>
      <w:r w:rsidR="00612768" w:rsidRPr="000450BF">
        <w:t xml:space="preserve"> has regularly been </w:t>
      </w:r>
      <w:r w:rsidR="00DE078D" w:rsidRPr="000450BF">
        <w:t>violated</w:t>
      </w:r>
      <w:r w:rsidRPr="000450BF">
        <w:t xml:space="preserve">. </w:t>
      </w:r>
      <w:r w:rsidR="00612768" w:rsidRPr="000450BF">
        <w:t xml:space="preserve">The holding of peaceful meetings by political parties in public places or in their offices is </w:t>
      </w:r>
      <w:r w:rsidR="007101CE">
        <w:t>“</w:t>
      </w:r>
      <w:r w:rsidRPr="000450BF">
        <w:t>essenti</w:t>
      </w:r>
      <w:r w:rsidR="00612768" w:rsidRPr="000450BF">
        <w:t>a</w:t>
      </w:r>
      <w:r w:rsidRPr="000450BF">
        <w:t xml:space="preserve">l </w:t>
      </w:r>
      <w:r w:rsidR="00612768" w:rsidRPr="000450BF">
        <w:t>in the context of elections</w:t>
      </w:r>
      <w:r w:rsidR="007101CE">
        <w:t>”</w:t>
      </w:r>
      <w:r w:rsidRPr="000450BF">
        <w:t xml:space="preserve"> </w:t>
      </w:r>
      <w:r w:rsidR="00612768" w:rsidRPr="000450BF">
        <w:t>because this allows</w:t>
      </w:r>
      <w:r w:rsidRPr="000450BF">
        <w:t xml:space="preserve"> </w:t>
      </w:r>
      <w:r w:rsidR="007101CE">
        <w:t>“</w:t>
      </w:r>
      <w:r w:rsidR="00612768" w:rsidRPr="000450BF">
        <w:t xml:space="preserve">the candidates to mobilise their members, to remind them </w:t>
      </w:r>
      <w:r w:rsidR="006D3FC8" w:rsidRPr="000450BF">
        <w:t xml:space="preserve">of </w:t>
      </w:r>
      <w:r w:rsidR="00612768" w:rsidRPr="000450BF">
        <w:t>and spread their political messages</w:t>
      </w:r>
      <w:r w:rsidR="007101CE">
        <w:t>”.</w:t>
      </w:r>
      <w:r w:rsidRPr="000450BF">
        <w:rPr>
          <w:rStyle w:val="FootnoteReference"/>
        </w:rPr>
        <w:footnoteReference w:id="105"/>
      </w:r>
      <w:r w:rsidRPr="000450BF">
        <w:t xml:space="preserve"> </w:t>
      </w:r>
      <w:r w:rsidR="00081BF1">
        <w:t>According to international h</w:t>
      </w:r>
      <w:r w:rsidR="00612768" w:rsidRPr="000450BF">
        <w:t xml:space="preserve">uman </w:t>
      </w:r>
      <w:r w:rsidR="00081BF1">
        <w:t>r</w:t>
      </w:r>
      <w:r w:rsidR="00612768" w:rsidRPr="000450BF">
        <w:t xml:space="preserve">ights </w:t>
      </w:r>
      <w:r w:rsidR="00081BF1">
        <w:t>l</w:t>
      </w:r>
      <w:r w:rsidR="00612768" w:rsidRPr="000450BF">
        <w:t>aw</w:t>
      </w:r>
      <w:r w:rsidRPr="000450BF">
        <w:t xml:space="preserve">, </w:t>
      </w:r>
      <w:r w:rsidR="00612768" w:rsidRPr="000450BF">
        <w:t xml:space="preserve">the presumption must be in </w:t>
      </w:r>
      <w:r w:rsidR="00E42D0B" w:rsidRPr="000450BF">
        <w:t>favour</w:t>
      </w:r>
      <w:r w:rsidR="00612768" w:rsidRPr="000450BF">
        <w:t xml:space="preserve"> o</w:t>
      </w:r>
      <w:r w:rsidR="006D3FC8" w:rsidRPr="000450BF">
        <w:t>f</w:t>
      </w:r>
      <w:r w:rsidR="00612768" w:rsidRPr="000450BF">
        <w:t xml:space="preserve"> holding such meetings which </w:t>
      </w:r>
      <w:r w:rsidR="00484DAC" w:rsidRPr="000450BF">
        <w:t xml:space="preserve">should only be </w:t>
      </w:r>
      <w:r w:rsidR="00612768" w:rsidRPr="000450BF">
        <w:t xml:space="preserve">subject to </w:t>
      </w:r>
      <w:r w:rsidR="00484DAC" w:rsidRPr="000450BF">
        <w:t xml:space="preserve">a </w:t>
      </w:r>
      <w:r w:rsidR="00081BF1">
        <w:t>procedure</w:t>
      </w:r>
      <w:r w:rsidR="00484DAC" w:rsidRPr="000450BF">
        <w:t xml:space="preserve"> of noti</w:t>
      </w:r>
      <w:r w:rsidR="00081BF1">
        <w:t>fication and not of authorization</w:t>
      </w:r>
      <w:r w:rsidR="00484DAC" w:rsidRPr="000450BF">
        <w:t>, and any res</w:t>
      </w:r>
      <w:r w:rsidR="003A6F25" w:rsidRPr="000450BF">
        <w:t>trictions should be exceptional</w:t>
      </w:r>
      <w:r w:rsidR="007101CE">
        <w:t>.</w:t>
      </w:r>
      <w:r w:rsidRPr="000450BF">
        <w:rPr>
          <w:rStyle w:val="FootnoteReference"/>
        </w:rPr>
        <w:footnoteReference w:id="106"/>
      </w:r>
    </w:p>
    <w:p w14:paraId="3965BD14" w14:textId="35BB6F0B" w:rsidR="008E4E71" w:rsidRPr="000450BF" w:rsidRDefault="008E4E71" w:rsidP="008E4E71">
      <w:pPr>
        <w:pStyle w:val="SingleTxtG"/>
      </w:pPr>
      <w:r w:rsidRPr="000450BF">
        <w:t>260.</w:t>
      </w:r>
      <w:r w:rsidRPr="000450BF">
        <w:tab/>
      </w:r>
      <w:r w:rsidR="00484DAC" w:rsidRPr="000450BF">
        <w:t xml:space="preserve">However, members of the opposition party, namely the members of CNL called </w:t>
      </w:r>
      <w:r w:rsidRPr="000450BF">
        <w:rPr>
          <w:i/>
        </w:rPr>
        <w:t>Inyankamugayo</w:t>
      </w:r>
      <w:r w:rsidRPr="000450BF">
        <w:t xml:space="preserve"> (</w:t>
      </w:r>
      <w:r w:rsidR="00484DAC" w:rsidRPr="000450BF">
        <w:t>those who reject contempt</w:t>
      </w:r>
      <w:r w:rsidRPr="000450BF">
        <w:t xml:space="preserve">), </w:t>
      </w:r>
      <w:r w:rsidR="00081BF1">
        <w:t>were not always</w:t>
      </w:r>
      <w:r w:rsidR="00484DAC" w:rsidRPr="000450BF">
        <w:t xml:space="preserve"> able to organise public meetings, even when they </w:t>
      </w:r>
      <w:r w:rsidR="00081BF1">
        <w:t xml:space="preserve">had </w:t>
      </w:r>
      <w:r w:rsidR="00484DAC" w:rsidRPr="000450BF">
        <w:t>g</w:t>
      </w:r>
      <w:r w:rsidR="00081BF1">
        <w:t>i</w:t>
      </w:r>
      <w:r w:rsidR="00484DAC" w:rsidRPr="000450BF">
        <w:t>ve</w:t>
      </w:r>
      <w:r w:rsidR="00081BF1">
        <w:t>n</w:t>
      </w:r>
      <w:r w:rsidR="00484DAC" w:rsidRPr="000450BF">
        <w:t xml:space="preserve"> prior notice to the authorities and had not received notices of prohibition. Some were arrested simply on account of </w:t>
      </w:r>
      <w:r w:rsidR="00081BF1">
        <w:t xml:space="preserve">being </w:t>
      </w:r>
      <w:r w:rsidR="00333139">
        <w:t xml:space="preserve">with several other </w:t>
      </w:r>
      <w:r w:rsidR="00081BF1">
        <w:t xml:space="preserve">CNL members, </w:t>
      </w:r>
      <w:r w:rsidR="00484DAC" w:rsidRPr="000450BF">
        <w:t xml:space="preserve">including in their homes, </w:t>
      </w:r>
      <w:r w:rsidR="00081BF1">
        <w:t>or</w:t>
      </w:r>
      <w:r w:rsidR="00484DAC" w:rsidRPr="000450BF">
        <w:t xml:space="preserve"> for having allegedly organised or participated in </w:t>
      </w:r>
      <w:r w:rsidR="007101CE">
        <w:t>“</w:t>
      </w:r>
      <w:r w:rsidR="00484DAC" w:rsidRPr="000450BF">
        <w:t>illegal meetings</w:t>
      </w:r>
      <w:r w:rsidR="007101CE">
        <w:t>”.</w:t>
      </w:r>
      <w:r w:rsidRPr="000450BF">
        <w:rPr>
          <w:rStyle w:val="FootnoteReference"/>
        </w:rPr>
        <w:footnoteReference w:id="107"/>
      </w:r>
      <w:r w:rsidRPr="000450BF">
        <w:t xml:space="preserve"> </w:t>
      </w:r>
      <w:r w:rsidR="00484DAC" w:rsidRPr="000450BF">
        <w:t xml:space="preserve">However, there is no such infringement or crime in the </w:t>
      </w:r>
      <w:r w:rsidR="002E6630" w:rsidRPr="000450BF">
        <w:t>Burundian</w:t>
      </w:r>
      <w:r w:rsidR="00484DAC" w:rsidRPr="000450BF">
        <w:t xml:space="preserve"> law, </w:t>
      </w:r>
      <w:r w:rsidR="003A6F25" w:rsidRPr="000450BF">
        <w:t xml:space="preserve">according to which public meetings </w:t>
      </w:r>
      <w:r w:rsidR="002429EE" w:rsidRPr="000450BF">
        <w:t>are only subject to a system of prior noti</w:t>
      </w:r>
      <w:r w:rsidR="00333139">
        <w:t>fication</w:t>
      </w:r>
      <w:r w:rsidR="002429EE" w:rsidRPr="000450BF">
        <w:t xml:space="preserve"> and can only be prohibited or postponed</w:t>
      </w:r>
      <w:r w:rsidR="00951B26" w:rsidRPr="000450BF">
        <w:t xml:space="preserve"> </w:t>
      </w:r>
      <w:r w:rsidR="002429EE" w:rsidRPr="000450BF">
        <w:t>for public order purposes</w:t>
      </w:r>
      <w:r w:rsidR="007101CE">
        <w:t>.</w:t>
      </w:r>
      <w:r w:rsidRPr="000450BF">
        <w:rPr>
          <w:rStyle w:val="FootnoteReference"/>
        </w:rPr>
        <w:footnoteReference w:id="108"/>
      </w:r>
      <w:r w:rsidRPr="000450BF">
        <w:t xml:space="preserve"> </w:t>
      </w:r>
      <w:r w:rsidR="002429EE" w:rsidRPr="000450BF">
        <w:t xml:space="preserve">Meetings and political gatherings, </w:t>
      </w:r>
      <w:r w:rsidR="00333139">
        <w:t>in particular</w:t>
      </w:r>
      <w:r w:rsidR="002429EE" w:rsidRPr="000450BF">
        <w:t xml:space="preserve"> by CNL, have not been authorised or were </w:t>
      </w:r>
      <w:r w:rsidR="00E42D0B" w:rsidRPr="000450BF">
        <w:t>postponed</w:t>
      </w:r>
      <w:r w:rsidR="002429EE" w:rsidRPr="000450BF">
        <w:t xml:space="preserve"> without any real justification other than a vague reference to security reasons</w:t>
      </w:r>
      <w:r w:rsidR="007101CE">
        <w:t>.</w:t>
      </w:r>
      <w:r w:rsidRPr="000450BF">
        <w:rPr>
          <w:rStyle w:val="FootnoteReference"/>
        </w:rPr>
        <w:footnoteReference w:id="109"/>
      </w:r>
      <w:r w:rsidRPr="000450BF">
        <w:t xml:space="preserve"> </w:t>
      </w:r>
      <w:r w:rsidR="002429EE" w:rsidRPr="000450BF">
        <w:t>The</w:t>
      </w:r>
      <w:r w:rsidRPr="000450BF">
        <w:t xml:space="preserve"> Minist</w:t>
      </w:r>
      <w:r w:rsidR="002429EE" w:rsidRPr="000450BF">
        <w:t xml:space="preserve">er of </w:t>
      </w:r>
      <w:r w:rsidR="00E42D0B" w:rsidRPr="000450BF">
        <w:t>Interior</w:t>
      </w:r>
      <w:r w:rsidR="003B79E7" w:rsidRPr="000450BF">
        <w:t>,</w:t>
      </w:r>
      <w:r w:rsidR="00E42D0B" w:rsidRPr="000450BF">
        <w:t xml:space="preserve"> Pascal</w:t>
      </w:r>
      <w:r w:rsidRPr="000450BF">
        <w:t xml:space="preserve"> Barandagiye</w:t>
      </w:r>
      <w:r w:rsidR="003B79E7" w:rsidRPr="000450BF">
        <w:t>,</w:t>
      </w:r>
      <w:r w:rsidRPr="000450BF">
        <w:t xml:space="preserve"> </w:t>
      </w:r>
      <w:r w:rsidR="002429EE" w:rsidRPr="000450BF">
        <w:t xml:space="preserve">has declared that </w:t>
      </w:r>
      <w:r w:rsidR="007101CE">
        <w:t>“</w:t>
      </w:r>
      <w:r w:rsidR="002429EE" w:rsidRPr="000450BF">
        <w:t>no political party has the right to be active in any locality in Burundi in which it is not represented</w:t>
      </w:r>
      <w:r w:rsidR="007101CE">
        <w:t>”.</w:t>
      </w:r>
      <w:r w:rsidRPr="000450BF">
        <w:rPr>
          <w:rStyle w:val="FootnoteReference"/>
        </w:rPr>
        <w:footnoteReference w:id="110"/>
      </w:r>
      <w:r w:rsidRPr="000450BF">
        <w:t xml:space="preserve"> </w:t>
      </w:r>
      <w:r w:rsidR="0071187C" w:rsidRPr="000450BF">
        <w:t>Consequently, b</w:t>
      </w:r>
      <w:r w:rsidR="00736BAD" w:rsidRPr="000450BF">
        <w:t>ecause of</w:t>
      </w:r>
      <w:r w:rsidR="0071187C" w:rsidRPr="000450BF">
        <w:t xml:space="preserve"> fear</w:t>
      </w:r>
      <w:r w:rsidR="00736BAD" w:rsidRPr="000450BF">
        <w:t>,</w:t>
      </w:r>
      <w:r w:rsidR="0071187C" w:rsidRPr="000450BF">
        <w:t xml:space="preserve"> some members carry out their activities clandestinely; while others simply prefer to renounce any political activity</w:t>
      </w:r>
      <w:r w:rsidR="007101CE">
        <w:t>.</w:t>
      </w:r>
      <w:r w:rsidRPr="000450BF">
        <w:rPr>
          <w:rStyle w:val="FootnoteReference"/>
        </w:rPr>
        <w:footnoteReference w:id="111"/>
      </w:r>
      <w:r w:rsidRPr="000450BF">
        <w:t xml:space="preserve"> </w:t>
      </w:r>
      <w:r w:rsidR="0071187C" w:rsidRPr="000450BF">
        <w:t xml:space="preserve">One of these militants </w:t>
      </w:r>
      <w:r w:rsidR="00E42D0B" w:rsidRPr="000450BF">
        <w:t>explained:</w:t>
      </w:r>
    </w:p>
    <w:p w14:paraId="0F137692" w14:textId="272C7A79" w:rsidR="008E4E71" w:rsidRPr="000450BF" w:rsidRDefault="007101CE" w:rsidP="008E4E71">
      <w:pPr>
        <w:pStyle w:val="SingleTxtG"/>
        <w:ind w:left="1701"/>
      </w:pPr>
      <w:r>
        <w:rPr>
          <w:i/>
        </w:rPr>
        <w:t>“</w:t>
      </w:r>
      <w:r w:rsidR="0071187C" w:rsidRPr="000450BF">
        <w:rPr>
          <w:i/>
        </w:rPr>
        <w:t>It is impossible to continue with political activities. We had to stop all political activities in May 2018 because of the harassment. When two or three people from the opposition were talking amongst themselves, they were immediately arrested</w:t>
      </w:r>
      <w:r>
        <w:rPr>
          <w:i/>
        </w:rPr>
        <w:t>”.</w:t>
      </w:r>
      <w:r w:rsidR="008E4E71" w:rsidRPr="000450BF">
        <w:rPr>
          <w:rStyle w:val="FootnoteReference"/>
        </w:rPr>
        <w:footnoteReference w:id="112"/>
      </w:r>
    </w:p>
    <w:p w14:paraId="78B86B65" w14:textId="7888D446" w:rsidR="008E4E71" w:rsidRPr="000450BF" w:rsidRDefault="008E4E71" w:rsidP="008E4E71">
      <w:pPr>
        <w:pStyle w:val="SingleTxtG"/>
      </w:pPr>
      <w:r w:rsidRPr="000450BF">
        <w:t>261.</w:t>
      </w:r>
      <w:r w:rsidRPr="000450BF">
        <w:tab/>
      </w:r>
      <w:r w:rsidR="0071187C" w:rsidRPr="000450BF">
        <w:t xml:space="preserve">In effect, only the party </w:t>
      </w:r>
      <w:r w:rsidRPr="000450BF">
        <w:t xml:space="preserve">CNDD-FDD </w:t>
      </w:r>
      <w:r w:rsidR="0071187C" w:rsidRPr="000450BF">
        <w:t xml:space="preserve">and its youth league, </w:t>
      </w:r>
      <w:r w:rsidR="00E42D0B" w:rsidRPr="000450BF">
        <w:t xml:space="preserve">the </w:t>
      </w:r>
      <w:r w:rsidR="007101CE">
        <w:t>Imbonerakure</w:t>
      </w:r>
      <w:r w:rsidRPr="000450BF">
        <w:t xml:space="preserve">, </w:t>
      </w:r>
      <w:r w:rsidR="0071187C" w:rsidRPr="000450BF">
        <w:t xml:space="preserve">as well as the so called </w:t>
      </w:r>
      <w:r w:rsidR="007101CE">
        <w:t>“citizen”</w:t>
      </w:r>
      <w:r w:rsidR="0071187C" w:rsidRPr="000450BF">
        <w:t xml:space="preserve"> civil society organisations loyal to the power in place, were able to freely exercise their right to freedom of assembly. They regularly </w:t>
      </w:r>
      <w:r w:rsidR="00E42D0B" w:rsidRPr="000450BF">
        <w:t>organised</w:t>
      </w:r>
      <w:r w:rsidR="00333139">
        <w:t xml:space="preserve"> protest marches and</w:t>
      </w:r>
      <w:r w:rsidR="0071187C" w:rsidRPr="000450BF">
        <w:t xml:space="preserve"> demonstrations in order to denounce statements or reports that they </w:t>
      </w:r>
      <w:r w:rsidR="00E42D0B" w:rsidRPr="000450BF">
        <w:t xml:space="preserve">deemed </w:t>
      </w:r>
      <w:proofErr w:type="gramStart"/>
      <w:r w:rsidR="007101CE">
        <w:t>“</w:t>
      </w:r>
      <w:r w:rsidRPr="000450BF">
        <w:t> </w:t>
      </w:r>
      <w:r w:rsidR="0071187C" w:rsidRPr="000450BF">
        <w:t>arnishing</w:t>
      </w:r>
      <w:proofErr w:type="gramEnd"/>
      <w:r w:rsidR="0071187C" w:rsidRPr="000450BF">
        <w:t xml:space="preserve"> to the image of the country</w:t>
      </w:r>
      <w:r w:rsidR="007101CE">
        <w:t>”</w:t>
      </w:r>
      <w:r w:rsidRPr="000450BF">
        <w:t xml:space="preserve"> o</w:t>
      </w:r>
      <w:r w:rsidR="0071187C" w:rsidRPr="000450BF">
        <w:t xml:space="preserve">r that allegedly sought to </w:t>
      </w:r>
      <w:r w:rsidR="007101CE">
        <w:t>“</w:t>
      </w:r>
      <w:r w:rsidR="0071187C" w:rsidRPr="000450BF">
        <w:t>destabilise the country</w:t>
      </w:r>
      <w:r w:rsidR="007101CE">
        <w:t>”</w:t>
      </w:r>
      <w:r w:rsidRPr="000450BF">
        <w:t xml:space="preserve">. </w:t>
      </w:r>
    </w:p>
    <w:p w14:paraId="55FCEFE9" w14:textId="42D78BE6" w:rsidR="008E4E71" w:rsidRPr="000450BF" w:rsidRDefault="008E4E71" w:rsidP="008E4E71">
      <w:pPr>
        <w:pStyle w:val="SingleTxtG"/>
      </w:pPr>
      <w:r w:rsidRPr="000450BF">
        <w:t>262.</w:t>
      </w:r>
      <w:r w:rsidRPr="000450BF">
        <w:tab/>
      </w:r>
      <w:r w:rsidR="0071187C" w:rsidRPr="000450BF">
        <w:t xml:space="preserve">For example, on </w:t>
      </w:r>
      <w:r w:rsidRPr="000450BF">
        <w:t xml:space="preserve">15 </w:t>
      </w:r>
      <w:r w:rsidR="0071187C" w:rsidRPr="000450BF">
        <w:t>and</w:t>
      </w:r>
      <w:r w:rsidRPr="000450BF">
        <w:t xml:space="preserve"> 22 </w:t>
      </w:r>
      <w:r w:rsidR="00E42D0B" w:rsidRPr="000450BF">
        <w:t>September</w:t>
      </w:r>
      <w:r w:rsidRPr="000450BF">
        <w:t xml:space="preserve"> 2018, </w:t>
      </w:r>
      <w:r w:rsidR="0071187C" w:rsidRPr="000450BF">
        <w:t xml:space="preserve">such gatherings were held in several towns in Burundi to denounce the final report of this </w:t>
      </w:r>
      <w:r w:rsidRPr="000450BF">
        <w:t>Commission</w:t>
      </w:r>
      <w:r w:rsidR="007101CE">
        <w:t>;</w:t>
      </w:r>
      <w:r w:rsidRPr="000450BF">
        <w:rPr>
          <w:rStyle w:val="FootnoteReference"/>
        </w:rPr>
        <w:footnoteReference w:id="113"/>
      </w:r>
      <w:r w:rsidRPr="000450BF">
        <w:t xml:space="preserve"> </w:t>
      </w:r>
      <w:r w:rsidR="0071187C" w:rsidRPr="000450BF">
        <w:t xml:space="preserve">on 15 </w:t>
      </w:r>
      <w:r w:rsidR="00E42D0B" w:rsidRPr="000450BF">
        <w:t>December</w:t>
      </w:r>
      <w:r w:rsidR="0071187C" w:rsidRPr="000450BF">
        <w:t xml:space="preserve"> 2018, the </w:t>
      </w:r>
      <w:r w:rsidR="007101CE">
        <w:t>“citizen”</w:t>
      </w:r>
      <w:r w:rsidR="0071187C" w:rsidRPr="000450BF">
        <w:t xml:space="preserve"> civil society</w:t>
      </w:r>
      <w:r w:rsidRPr="000450BF">
        <w:t xml:space="preserve"> organis</w:t>
      </w:r>
      <w:r w:rsidR="0071187C" w:rsidRPr="000450BF">
        <w:t xml:space="preserve">ed </w:t>
      </w:r>
      <w:r w:rsidR="004A1D2F" w:rsidRPr="000450BF">
        <w:t>protest marches</w:t>
      </w:r>
      <w:r w:rsidRPr="000450BF">
        <w:t xml:space="preserve"> </w:t>
      </w:r>
      <w:r w:rsidR="004A1D2F" w:rsidRPr="000450BF">
        <w:t xml:space="preserve">in order to </w:t>
      </w:r>
      <w:r w:rsidR="007101CE">
        <w:t xml:space="preserve">protest against the documentary </w:t>
      </w:r>
      <w:r w:rsidRPr="000450BF">
        <w:rPr>
          <w:i/>
        </w:rPr>
        <w:t>Kamwe Kamwe</w:t>
      </w:r>
      <w:r w:rsidRPr="000450BF">
        <w:t xml:space="preserve"> </w:t>
      </w:r>
      <w:r w:rsidR="004A1D2F" w:rsidRPr="000450BF">
        <w:t>aired by</w:t>
      </w:r>
      <w:r w:rsidRPr="000450BF">
        <w:t xml:space="preserve"> BBC </w:t>
      </w:r>
      <w:r w:rsidR="004A1D2F" w:rsidRPr="000450BF">
        <w:t xml:space="preserve">on </w:t>
      </w:r>
      <w:r w:rsidRPr="000450BF">
        <w:t xml:space="preserve">4 </w:t>
      </w:r>
      <w:r w:rsidR="00E42D0B" w:rsidRPr="000450BF">
        <w:t>December</w:t>
      </w:r>
      <w:r w:rsidRPr="000450BF">
        <w:t xml:space="preserve"> 2018, </w:t>
      </w:r>
      <w:r w:rsidR="004A1D2F" w:rsidRPr="000450BF">
        <w:t>which revealed SNR practice of torturing and executing people in various houses</w:t>
      </w:r>
      <w:r w:rsidR="007101CE">
        <w:t>.</w:t>
      </w:r>
      <w:r w:rsidRPr="000450BF">
        <w:rPr>
          <w:rStyle w:val="FootnoteReference"/>
        </w:rPr>
        <w:footnoteReference w:id="114"/>
      </w:r>
      <w:r w:rsidR="005C782C" w:rsidRPr="000450BF">
        <w:t xml:space="preserve"> </w:t>
      </w:r>
      <w:r w:rsidR="00245E3A" w:rsidRPr="000450BF">
        <w:t>O</w:t>
      </w:r>
      <w:r w:rsidR="004A1D2F" w:rsidRPr="000450BF">
        <w:t>n</w:t>
      </w:r>
      <w:r w:rsidRPr="000450BF">
        <w:t xml:space="preserve"> 29 </w:t>
      </w:r>
      <w:r w:rsidR="00E42D0B" w:rsidRPr="000450BF">
        <w:t>December</w:t>
      </w:r>
      <w:r w:rsidRPr="000450BF">
        <w:t xml:space="preserve"> 2018, </w:t>
      </w:r>
      <w:r w:rsidR="004A1D2F" w:rsidRPr="000450BF">
        <w:t>new protest marches were held to denoun</w:t>
      </w:r>
      <w:r w:rsidR="006C6EAA" w:rsidRPr="000450BF">
        <w:t>c</w:t>
      </w:r>
      <w:r w:rsidR="004A1D2F" w:rsidRPr="000450BF">
        <w:t xml:space="preserve">e the content of the </w:t>
      </w:r>
      <w:r w:rsidR="00AD4FFF" w:rsidRPr="000450BF">
        <w:t>Ugandan</w:t>
      </w:r>
      <w:r w:rsidR="004A1D2F" w:rsidRPr="000450BF">
        <w:t xml:space="preserve"> President’s letter to the </w:t>
      </w:r>
      <w:r w:rsidR="002E6630" w:rsidRPr="000450BF">
        <w:t>Burundian</w:t>
      </w:r>
      <w:r w:rsidR="004A1D2F" w:rsidRPr="000450BF">
        <w:t xml:space="preserve"> President in which </w:t>
      </w:r>
      <w:r w:rsidR="000B7EC6" w:rsidRPr="000450BF">
        <w:t>President</w:t>
      </w:r>
      <w:r w:rsidR="004A1D2F" w:rsidRPr="000450BF">
        <w:t xml:space="preserve"> Museve</w:t>
      </w:r>
      <w:r w:rsidRPr="000450BF">
        <w:t xml:space="preserve">ni </w:t>
      </w:r>
      <w:r w:rsidR="004A1D2F" w:rsidRPr="000450BF">
        <w:t xml:space="preserve">criticised the refusal of </w:t>
      </w:r>
      <w:r w:rsidR="000B7EC6" w:rsidRPr="000450BF">
        <w:t>President</w:t>
      </w:r>
      <w:r w:rsidRPr="000450BF">
        <w:t xml:space="preserve"> Nkurunziza </w:t>
      </w:r>
      <w:r w:rsidR="004A1D2F" w:rsidRPr="000450BF">
        <w:t xml:space="preserve">to hold a dialogue </w:t>
      </w:r>
      <w:r w:rsidR="00AD4FFF" w:rsidRPr="000450BF">
        <w:t>with</w:t>
      </w:r>
      <w:r w:rsidR="004A1D2F" w:rsidRPr="000450BF">
        <w:t xml:space="preserve"> </w:t>
      </w:r>
      <w:r w:rsidR="00736BAD" w:rsidRPr="000450BF">
        <w:t>exiled</w:t>
      </w:r>
      <w:r w:rsidR="004A1D2F" w:rsidRPr="000450BF">
        <w:t xml:space="preserve"> opponents. </w:t>
      </w:r>
    </w:p>
    <w:p w14:paraId="638C9EF9" w14:textId="085CFC1E" w:rsidR="008E4E71" w:rsidRPr="000450BF" w:rsidRDefault="008E4E71" w:rsidP="008E4E71">
      <w:pPr>
        <w:pStyle w:val="SingleTxtG"/>
      </w:pPr>
      <w:r w:rsidRPr="000450BF">
        <w:t>263.</w:t>
      </w:r>
      <w:r w:rsidRPr="000450BF">
        <w:tab/>
      </w:r>
      <w:r w:rsidR="004A1D2F" w:rsidRPr="000450BF">
        <w:t xml:space="preserve">They also rejected the statements of the Conference of the catholic bishops </w:t>
      </w:r>
      <w:r w:rsidR="00DB1D7E">
        <w:t>delivered at the occasion of</w:t>
      </w:r>
      <w:r w:rsidR="004A1D2F" w:rsidRPr="000450BF">
        <w:t xml:space="preserve"> </w:t>
      </w:r>
      <w:r w:rsidR="00AD4FFF" w:rsidRPr="000450BF">
        <w:t>Christmas</w:t>
      </w:r>
      <w:r w:rsidR="00C72738" w:rsidRPr="000450BF">
        <w:t xml:space="preserve"> </w:t>
      </w:r>
      <w:r w:rsidR="00DB1D7E">
        <w:t xml:space="preserve">in </w:t>
      </w:r>
      <w:r w:rsidR="00C72738" w:rsidRPr="000450BF">
        <w:t>2018</w:t>
      </w:r>
      <w:r w:rsidR="004A1D2F" w:rsidRPr="000450BF">
        <w:t xml:space="preserve">, criticising the situation of political intolerance in the country and the loss of </w:t>
      </w:r>
      <w:r w:rsidR="00087E3F" w:rsidRPr="000450BF">
        <w:t xml:space="preserve">the </w:t>
      </w:r>
      <w:r w:rsidR="004A1D2F" w:rsidRPr="000450BF">
        <w:t>gains of the Arusha Peace Agreement</w:t>
      </w:r>
      <w:r w:rsidRPr="000450BF">
        <w:t xml:space="preserve">, </w:t>
      </w:r>
      <w:r w:rsidR="004A1D2F" w:rsidRPr="000450BF">
        <w:t xml:space="preserve">as well as the imposition of new religious </w:t>
      </w:r>
      <w:r w:rsidR="00AD4FFF" w:rsidRPr="000450BF">
        <w:t>practices by</w:t>
      </w:r>
      <w:r w:rsidRPr="000450BF">
        <w:t xml:space="preserve"> CNDD-FDD </w:t>
      </w:r>
      <w:r w:rsidR="004A1D2F" w:rsidRPr="000450BF">
        <w:t>to all its members, such as collective prayers and weekly fasting</w:t>
      </w:r>
      <w:r w:rsidR="007101CE">
        <w:t>.</w:t>
      </w:r>
      <w:r w:rsidRPr="000450BF">
        <w:rPr>
          <w:rStyle w:val="FootnoteReference"/>
        </w:rPr>
        <w:footnoteReference w:id="115"/>
      </w:r>
    </w:p>
    <w:p w14:paraId="24BBB4CA" w14:textId="6B8DB702" w:rsidR="008E4E71" w:rsidRPr="000450BF" w:rsidRDefault="008E4E71" w:rsidP="008E4E71">
      <w:pPr>
        <w:pStyle w:val="SingleTxtG"/>
      </w:pPr>
      <w:r w:rsidRPr="000450BF">
        <w:t>264.</w:t>
      </w:r>
      <w:r w:rsidRPr="000450BF">
        <w:tab/>
      </w:r>
      <w:r w:rsidR="004A1D2F" w:rsidRPr="000450BF">
        <w:t xml:space="preserve">On </w:t>
      </w:r>
      <w:r w:rsidRPr="000450BF">
        <w:t xml:space="preserve">8 </w:t>
      </w:r>
      <w:r w:rsidR="00977D66" w:rsidRPr="000450BF">
        <w:t>June</w:t>
      </w:r>
      <w:r w:rsidRPr="000450BF">
        <w:t xml:space="preserve"> 2019, </w:t>
      </w:r>
      <w:r w:rsidR="004A1D2F" w:rsidRPr="000450BF">
        <w:t xml:space="preserve">protest marches were organised afresh in order to criticise </w:t>
      </w:r>
      <w:r w:rsidR="00AD4FFF" w:rsidRPr="000450BF">
        <w:t>the</w:t>
      </w:r>
      <w:r w:rsidR="004A1D2F" w:rsidRPr="000450BF">
        <w:t xml:space="preserve"> </w:t>
      </w:r>
      <w:r w:rsidR="00AD4FFF" w:rsidRPr="000450BF">
        <w:t>French</w:t>
      </w:r>
      <w:r w:rsidR="004A1D2F" w:rsidRPr="000450BF">
        <w:t xml:space="preserve"> media </w:t>
      </w:r>
      <w:r w:rsidRPr="000450BF">
        <w:t xml:space="preserve">RFI, TV5 Monde </w:t>
      </w:r>
      <w:r w:rsidR="004A1D2F" w:rsidRPr="000450BF">
        <w:t xml:space="preserve">and the newspaper </w:t>
      </w:r>
      <w:r w:rsidRPr="000450BF">
        <w:t xml:space="preserve">Le Monde </w:t>
      </w:r>
      <w:r w:rsidR="004A1D2F" w:rsidRPr="000450BF">
        <w:t xml:space="preserve">which had aired an </w:t>
      </w:r>
      <w:r w:rsidRPr="000450BF">
        <w:t xml:space="preserve">interview </w:t>
      </w:r>
      <w:r w:rsidR="004A1D2F" w:rsidRPr="000450BF">
        <w:t xml:space="preserve">with the human right activist </w:t>
      </w:r>
      <w:r w:rsidRPr="000450BF">
        <w:t xml:space="preserve">Marguerite Barankitse, </w:t>
      </w:r>
      <w:r w:rsidR="00916EC8" w:rsidRPr="000450BF">
        <w:t xml:space="preserve">in which she denounced the human rights situation in the country and pinned the responsibility to </w:t>
      </w:r>
      <w:r w:rsidR="000B7EC6" w:rsidRPr="000450BF">
        <w:t>President</w:t>
      </w:r>
      <w:r w:rsidRPr="000450BF">
        <w:t xml:space="preserve"> Nkurunziza</w:t>
      </w:r>
      <w:r w:rsidR="007101CE">
        <w:t>.</w:t>
      </w:r>
      <w:r w:rsidRPr="000450BF">
        <w:rPr>
          <w:rStyle w:val="FootnoteReference"/>
        </w:rPr>
        <w:footnoteReference w:id="116"/>
      </w:r>
      <w:r w:rsidRPr="000450BF">
        <w:t xml:space="preserve"> </w:t>
      </w:r>
      <w:r w:rsidR="00916EC8" w:rsidRPr="000450BF">
        <w:t>On</w:t>
      </w:r>
      <w:r w:rsidRPr="000450BF">
        <w:t xml:space="preserve"> 29 </w:t>
      </w:r>
      <w:r w:rsidR="00977D66" w:rsidRPr="000450BF">
        <w:t>June</w:t>
      </w:r>
      <w:r w:rsidRPr="000450BF">
        <w:t xml:space="preserve"> 2019, </w:t>
      </w:r>
      <w:r w:rsidR="00916EC8" w:rsidRPr="000450BF">
        <w:t xml:space="preserve">new demonstrations took place to denounce the report published a few days before by </w:t>
      </w:r>
      <w:r w:rsidR="007977FD" w:rsidRPr="000450BF">
        <w:t xml:space="preserve">the </w:t>
      </w:r>
      <w:r w:rsidRPr="000450BF">
        <w:t xml:space="preserve">International Crisis Group (ICG), </w:t>
      </w:r>
      <w:proofErr w:type="gramStart"/>
      <w:r w:rsidRPr="000450BF">
        <w:rPr>
          <w:i/>
        </w:rPr>
        <w:t>Burundi :</w:t>
      </w:r>
      <w:proofErr w:type="gramEnd"/>
      <w:r w:rsidRPr="000450BF">
        <w:rPr>
          <w:i/>
        </w:rPr>
        <w:t xml:space="preserve"> à court d’option</w:t>
      </w:r>
      <w:r w:rsidR="007101CE">
        <w:rPr>
          <w:i/>
        </w:rPr>
        <w:t>,</w:t>
      </w:r>
      <w:r w:rsidRPr="000450BF">
        <w:rPr>
          <w:rStyle w:val="FootnoteReference"/>
        </w:rPr>
        <w:footnoteReference w:id="117"/>
      </w:r>
      <w:r w:rsidRPr="000450BF">
        <w:t xml:space="preserve"> </w:t>
      </w:r>
      <w:r w:rsidR="00916EC8" w:rsidRPr="000450BF">
        <w:t>in which it was recalled that the 2015 political crisis was still unresolved and that ICG was concerne</w:t>
      </w:r>
      <w:r w:rsidR="00DB1D7E">
        <w:t>d by the stalemate the country wa</w:t>
      </w:r>
      <w:r w:rsidR="00916EC8" w:rsidRPr="000450BF">
        <w:t xml:space="preserve">s in </w:t>
      </w:r>
      <w:r w:rsidR="007640B2" w:rsidRPr="000450BF">
        <w:t>on</w:t>
      </w:r>
      <w:r w:rsidR="00916EC8" w:rsidRPr="000450BF">
        <w:t xml:space="preserve"> the </w:t>
      </w:r>
      <w:r w:rsidR="00C27172" w:rsidRPr="000450BF">
        <w:t>eve</w:t>
      </w:r>
      <w:r w:rsidR="00916EC8" w:rsidRPr="000450BF">
        <w:t xml:space="preserve"> of the 2020 e</w:t>
      </w:r>
      <w:r w:rsidRPr="000450BF">
        <w:t xml:space="preserve">lections, </w:t>
      </w:r>
      <w:r w:rsidR="00916EC8" w:rsidRPr="000450BF">
        <w:t xml:space="preserve">as well as a report by </w:t>
      </w:r>
      <w:r w:rsidRPr="000450BF">
        <w:t>Human Rights Watch</w:t>
      </w:r>
      <w:r w:rsidRPr="000450BF">
        <w:rPr>
          <w:rStyle w:val="FootnoteReference"/>
        </w:rPr>
        <w:footnoteReference w:id="118"/>
      </w:r>
      <w:r w:rsidRPr="000450BF">
        <w:t xml:space="preserve"> </w:t>
      </w:r>
      <w:r w:rsidR="00916EC8" w:rsidRPr="000450BF">
        <w:t>denouncing the abuses against the political opposition in the country</w:t>
      </w:r>
      <w:r w:rsidRPr="000450BF">
        <w:t>.</w:t>
      </w:r>
    </w:p>
    <w:p w14:paraId="5013664D" w14:textId="0D2BA466" w:rsidR="008E4E71" w:rsidRPr="000450BF" w:rsidRDefault="008E4E71" w:rsidP="008E4E71">
      <w:pPr>
        <w:pStyle w:val="SingleTxtG"/>
      </w:pPr>
      <w:r w:rsidRPr="000450BF">
        <w:t>265.</w:t>
      </w:r>
      <w:r w:rsidRPr="000450BF">
        <w:tab/>
      </w:r>
      <w:r w:rsidR="006C6EAA" w:rsidRPr="000450BF">
        <w:t xml:space="preserve">Persons were forced </w:t>
      </w:r>
      <w:r w:rsidR="00C27172" w:rsidRPr="000450BF">
        <w:t>to</w:t>
      </w:r>
      <w:r w:rsidR="006C6EAA" w:rsidRPr="000450BF">
        <w:t xml:space="preserve"> participate in these </w:t>
      </w:r>
      <w:r w:rsidR="00C27172" w:rsidRPr="000450BF">
        <w:t>demonstrations</w:t>
      </w:r>
      <w:r w:rsidR="006C6EAA" w:rsidRPr="000450BF">
        <w:t xml:space="preserve">, namely the </w:t>
      </w:r>
      <w:r w:rsidRPr="000450BF">
        <w:rPr>
          <w:i/>
        </w:rPr>
        <w:t>taxi-vélo</w:t>
      </w:r>
      <w:r w:rsidRPr="000450BF">
        <w:t xml:space="preserve"> </w:t>
      </w:r>
      <w:r w:rsidR="006C6EAA" w:rsidRPr="000450BF">
        <w:t>and</w:t>
      </w:r>
      <w:r w:rsidRPr="000450BF">
        <w:t xml:space="preserve"> </w:t>
      </w:r>
      <w:r w:rsidRPr="000450BF">
        <w:rPr>
          <w:i/>
        </w:rPr>
        <w:t>taxi-moto</w:t>
      </w:r>
      <w:r w:rsidR="006C6EAA" w:rsidRPr="000450BF">
        <w:t xml:space="preserve"> drivers</w:t>
      </w:r>
      <w:r w:rsidRPr="000450BF">
        <w:t xml:space="preserve">, </w:t>
      </w:r>
      <w:r w:rsidR="006C6EAA" w:rsidRPr="000450BF">
        <w:t xml:space="preserve">sometimes </w:t>
      </w:r>
      <w:r w:rsidR="00F44396">
        <w:t>as part</w:t>
      </w:r>
      <w:r w:rsidR="006C6EAA" w:rsidRPr="000450BF">
        <w:t xml:space="preserve"> of community work</w:t>
      </w:r>
      <w:r w:rsidR="00301324">
        <w:t>.</w:t>
      </w:r>
      <w:r w:rsidRPr="000450BF">
        <w:rPr>
          <w:rStyle w:val="FootnoteReference"/>
        </w:rPr>
        <w:footnoteReference w:id="119"/>
      </w:r>
    </w:p>
    <w:p w14:paraId="1348654D" w14:textId="5AF9A4ED" w:rsidR="008E4E71" w:rsidRPr="000450BF" w:rsidRDefault="008E4E71" w:rsidP="008E4E71">
      <w:pPr>
        <w:pStyle w:val="SingleTxtG"/>
      </w:pPr>
      <w:r w:rsidRPr="000450BF">
        <w:t>266.</w:t>
      </w:r>
      <w:r w:rsidRPr="000450BF">
        <w:tab/>
      </w:r>
      <w:r w:rsidR="00916EC8" w:rsidRPr="000450BF">
        <w:t xml:space="preserve">In addition, meetings organised by </w:t>
      </w:r>
      <w:r w:rsidRPr="000450BF">
        <w:t xml:space="preserve">CNDD-FDD, </w:t>
      </w:r>
      <w:r w:rsidR="00916EC8" w:rsidRPr="000450BF">
        <w:t xml:space="preserve">namely its youth league but also its women’s league, take place </w:t>
      </w:r>
      <w:r w:rsidR="00C27172" w:rsidRPr="000450BF">
        <w:t>without</w:t>
      </w:r>
      <w:r w:rsidR="00916EC8" w:rsidRPr="000450BF">
        <w:t xml:space="preserve"> any restrictions even when they take the shape of </w:t>
      </w:r>
      <w:r w:rsidR="007101CE">
        <w:t>“</w:t>
      </w:r>
      <w:r w:rsidR="00916EC8" w:rsidRPr="000450BF">
        <w:t xml:space="preserve">a show of </w:t>
      </w:r>
      <w:r w:rsidR="006A1853">
        <w:t>force</w:t>
      </w:r>
      <w:r w:rsidR="007101CE">
        <w:t>”</w:t>
      </w:r>
      <w:r w:rsidRPr="000450BF">
        <w:t xml:space="preserve"> </w:t>
      </w:r>
      <w:r w:rsidR="00916EC8" w:rsidRPr="000450BF">
        <w:t xml:space="preserve">or collective sessions of physical exercise which often have a </w:t>
      </w:r>
      <w:r w:rsidR="00C27172" w:rsidRPr="000450BF">
        <w:t>military</w:t>
      </w:r>
      <w:r w:rsidR="00916EC8" w:rsidRPr="000450BF">
        <w:t xml:space="preserve"> dimension with the objective</w:t>
      </w:r>
      <w:r w:rsidR="00684394" w:rsidRPr="000450BF">
        <w:t>,</w:t>
      </w:r>
      <w:r w:rsidR="00916EC8" w:rsidRPr="000450BF">
        <w:t xml:space="preserve"> or at least the impact, of intimidating the </w:t>
      </w:r>
      <w:r w:rsidRPr="000450BF">
        <w:t>population</w:t>
      </w:r>
      <w:r w:rsidR="006A1853">
        <w:t>.</w:t>
      </w:r>
      <w:r w:rsidRPr="000450BF">
        <w:rPr>
          <w:rStyle w:val="FootnoteReference"/>
        </w:rPr>
        <w:footnoteReference w:id="120"/>
      </w:r>
    </w:p>
    <w:p w14:paraId="5B62FFD5" w14:textId="67BDBF8B" w:rsidR="008E4E71" w:rsidRPr="000450BF" w:rsidRDefault="008E4E71" w:rsidP="008E4E71">
      <w:pPr>
        <w:pStyle w:val="SingleTxtG"/>
      </w:pPr>
      <w:r w:rsidRPr="000450BF">
        <w:t>267.</w:t>
      </w:r>
      <w:r w:rsidRPr="000450BF">
        <w:tab/>
      </w:r>
      <w:r w:rsidR="006C6EAA" w:rsidRPr="000450BF">
        <w:t xml:space="preserve">Generally, the climate of fear was so widespread that people felt the need to participate in the meetings organised by the party </w:t>
      </w:r>
      <w:r w:rsidRPr="000450BF">
        <w:t xml:space="preserve">CNDD-FDD </w:t>
      </w:r>
      <w:r w:rsidR="006C6EAA" w:rsidRPr="000450BF">
        <w:t>or the local administrative authorities for fear of being labelled opponents to the power</w:t>
      </w:r>
      <w:r w:rsidR="006A1853">
        <w:t>.</w:t>
      </w:r>
      <w:r w:rsidRPr="000450BF">
        <w:rPr>
          <w:rStyle w:val="FootnoteReference"/>
        </w:rPr>
        <w:footnoteReference w:id="121"/>
      </w:r>
    </w:p>
    <w:p w14:paraId="7FFD6571" w14:textId="19C73D20" w:rsidR="008E4E71" w:rsidRPr="000450BF" w:rsidRDefault="007101CE" w:rsidP="008E4E71">
      <w:pPr>
        <w:pStyle w:val="SingleTxtG"/>
        <w:ind w:left="1701"/>
        <w:rPr>
          <w:i/>
        </w:rPr>
      </w:pPr>
      <w:r>
        <w:rPr>
          <w:i/>
        </w:rPr>
        <w:t>“</w:t>
      </w:r>
      <w:r w:rsidR="006C6EAA" w:rsidRPr="000450BF">
        <w:rPr>
          <w:i/>
        </w:rPr>
        <w:t>We had to participate in the party’s activities by force. During these meetings, they asked us to denounce those who are not from the party i</w:t>
      </w:r>
      <w:r w:rsidR="001230EB" w:rsidRPr="000450BF">
        <w:rPr>
          <w:i/>
        </w:rPr>
        <w:t>n</w:t>
      </w:r>
      <w:r w:rsidR="008E4E71" w:rsidRPr="000450BF">
        <w:rPr>
          <w:i/>
        </w:rPr>
        <w:t xml:space="preserve"> […]</w:t>
      </w:r>
      <w:r w:rsidR="001230EB" w:rsidRPr="000450BF">
        <w:rPr>
          <w:i/>
        </w:rPr>
        <w:t>.</w:t>
      </w:r>
      <w:r w:rsidR="008E4E71" w:rsidRPr="000450BF">
        <w:rPr>
          <w:i/>
        </w:rPr>
        <w:t xml:space="preserve"> </w:t>
      </w:r>
      <w:r w:rsidR="006C6EAA" w:rsidRPr="000450BF">
        <w:rPr>
          <w:i/>
        </w:rPr>
        <w:t>For every group of 10 houses, there is a weekly meeting organised by the party. Once a month, there was a meeting at the colline level</w:t>
      </w:r>
      <w:r w:rsidR="008E4E71" w:rsidRPr="000450BF">
        <w:rPr>
          <w:i/>
        </w:rPr>
        <w:t xml:space="preserve">. </w:t>
      </w:r>
      <w:r w:rsidR="006C6EAA" w:rsidRPr="000450BF">
        <w:rPr>
          <w:i/>
        </w:rPr>
        <w:t xml:space="preserve">I </w:t>
      </w:r>
      <w:r w:rsidR="00736BAD" w:rsidRPr="000450BF">
        <w:rPr>
          <w:i/>
        </w:rPr>
        <w:t>attended</w:t>
      </w:r>
      <w:r w:rsidR="006C6EAA" w:rsidRPr="000450BF">
        <w:rPr>
          <w:i/>
        </w:rPr>
        <w:t xml:space="preserve"> both meetings. I sometimes participated </w:t>
      </w:r>
      <w:r w:rsidR="00736BAD" w:rsidRPr="000450BF">
        <w:rPr>
          <w:i/>
        </w:rPr>
        <w:t>in</w:t>
      </w:r>
      <w:r w:rsidR="006C6EAA" w:rsidRPr="000450BF">
        <w:rPr>
          <w:i/>
        </w:rPr>
        <w:t xml:space="preserve"> meetings at the communal level. It was the head of the party at the level of the group of 10 houses who led the meetings and sometimes </w:t>
      </w:r>
      <w:r w:rsidR="00C73D96" w:rsidRPr="000450BF">
        <w:rPr>
          <w:i/>
        </w:rPr>
        <w:t>there were authorities at the commune level that attended these meetings</w:t>
      </w:r>
      <w:r>
        <w:rPr>
          <w:i/>
        </w:rPr>
        <w:t>”</w:t>
      </w:r>
      <w:r w:rsidR="006A1853">
        <w:rPr>
          <w:i/>
        </w:rPr>
        <w:t>.</w:t>
      </w:r>
      <w:r w:rsidR="008E4E71" w:rsidRPr="000450BF">
        <w:rPr>
          <w:rStyle w:val="FootnoteReference"/>
        </w:rPr>
        <w:footnoteReference w:id="122"/>
      </w:r>
    </w:p>
    <w:p w14:paraId="3729A2CD" w14:textId="63B5BCB2" w:rsidR="008E4E71" w:rsidRPr="000450BF" w:rsidRDefault="008E4E71" w:rsidP="008E4E71">
      <w:pPr>
        <w:pStyle w:val="H4G"/>
      </w:pPr>
      <w:r w:rsidRPr="000450BF">
        <w:tab/>
        <w:t>d)</w:t>
      </w:r>
      <w:r w:rsidRPr="000450BF">
        <w:tab/>
      </w:r>
      <w:r w:rsidR="00C73D96" w:rsidRPr="000450BF">
        <w:t>Freedom of movement</w:t>
      </w:r>
    </w:p>
    <w:p w14:paraId="53576AF6" w14:textId="25F666B3" w:rsidR="008E4E71" w:rsidRPr="000450BF" w:rsidRDefault="008E4E71" w:rsidP="008E4E71">
      <w:pPr>
        <w:pStyle w:val="SingleTxtG"/>
      </w:pPr>
      <w:r w:rsidRPr="000450BF">
        <w:t>268.</w:t>
      </w:r>
      <w:r w:rsidRPr="000450BF">
        <w:tab/>
      </w:r>
      <w:r w:rsidR="008B44E0" w:rsidRPr="000450BF">
        <w:t>Violations</w:t>
      </w:r>
      <w:r w:rsidR="00874DBD" w:rsidRPr="000450BF">
        <w:t xml:space="preserve"> of </w:t>
      </w:r>
      <w:r w:rsidR="00C73D96" w:rsidRPr="000450BF">
        <w:t xml:space="preserve">the freedom of movement of the </w:t>
      </w:r>
      <w:r w:rsidR="002E6630" w:rsidRPr="000450BF">
        <w:t>Burundian</w:t>
      </w:r>
      <w:r w:rsidR="00C73D96" w:rsidRPr="000450BF">
        <w:t xml:space="preserve"> population continued to be observed </w:t>
      </w:r>
      <w:r w:rsidR="00C27172" w:rsidRPr="000450BF">
        <w:t>throughout</w:t>
      </w:r>
      <w:r w:rsidR="00C73D96" w:rsidRPr="000450BF">
        <w:t xml:space="preserve"> the country as in previous years</w:t>
      </w:r>
      <w:r w:rsidR="006A1853">
        <w:t>,</w:t>
      </w:r>
      <w:r w:rsidRPr="000450BF">
        <w:rPr>
          <w:rStyle w:val="FootnoteReference"/>
        </w:rPr>
        <w:footnoteReference w:id="123"/>
      </w:r>
      <w:r w:rsidRPr="000450BF">
        <w:t xml:space="preserve"> </w:t>
      </w:r>
      <w:r w:rsidR="00C73D96" w:rsidRPr="000450BF">
        <w:t xml:space="preserve">especially in border zones. In fact, on </w:t>
      </w:r>
      <w:r w:rsidRPr="000450BF">
        <w:t xml:space="preserve">7 </w:t>
      </w:r>
      <w:r w:rsidR="007237FC" w:rsidRPr="000450BF">
        <w:t>May</w:t>
      </w:r>
      <w:r w:rsidRPr="000450BF">
        <w:t xml:space="preserve"> 2019, </w:t>
      </w:r>
      <w:r w:rsidR="00C73D96" w:rsidRPr="000450BF">
        <w:t xml:space="preserve">during a security meeting organised in </w:t>
      </w:r>
      <w:r w:rsidRPr="000450BF">
        <w:t xml:space="preserve">commune Mutaho </w:t>
      </w:r>
      <w:r w:rsidR="00C73D96" w:rsidRPr="000450BF">
        <w:t xml:space="preserve">in Gitega </w:t>
      </w:r>
      <w:r w:rsidRPr="000450BF">
        <w:t xml:space="preserve">province, </w:t>
      </w:r>
      <w:r w:rsidR="00C73D96" w:rsidRPr="000450BF">
        <w:t xml:space="preserve">the Head of </w:t>
      </w:r>
      <w:r w:rsidR="005337F7">
        <w:t>S</w:t>
      </w:r>
      <w:r w:rsidR="00C73D96" w:rsidRPr="000450BF">
        <w:t xml:space="preserve">tate asked the administrative authorities, the security and </w:t>
      </w:r>
      <w:r w:rsidR="007237FC" w:rsidRPr="000450BF">
        <w:t>defence</w:t>
      </w:r>
      <w:r w:rsidR="00C73D96" w:rsidRPr="000450BF">
        <w:t xml:space="preserve"> forces, as well as the civil society and the population who are part of the security </w:t>
      </w:r>
      <w:r w:rsidRPr="000450BF">
        <w:rPr>
          <w:i/>
        </w:rPr>
        <w:t>quadrilogie</w:t>
      </w:r>
      <w:r w:rsidRPr="000450BF">
        <w:rPr>
          <w:rStyle w:val="FootnoteReference"/>
        </w:rPr>
        <w:footnoteReference w:id="124"/>
      </w:r>
      <w:r w:rsidRPr="000450BF">
        <w:t xml:space="preserve">, </w:t>
      </w:r>
      <w:r w:rsidR="00C73D96" w:rsidRPr="000450BF">
        <w:t xml:space="preserve">to remain vigilant and to </w:t>
      </w:r>
      <w:r w:rsidR="007101CE">
        <w:t>“</w:t>
      </w:r>
      <w:r w:rsidR="00C73D96" w:rsidRPr="000450BF">
        <w:t>control the borders</w:t>
      </w:r>
      <w:r w:rsidR="007101CE">
        <w:t>”</w:t>
      </w:r>
      <w:r w:rsidRPr="000450BF">
        <w:t xml:space="preserve">. </w:t>
      </w:r>
      <w:r w:rsidR="00C73D96" w:rsidRPr="000450BF">
        <w:t xml:space="preserve">He also asked the </w:t>
      </w:r>
      <w:r w:rsidR="007101CE">
        <w:t>“</w:t>
      </w:r>
      <w:r w:rsidR="00C73D96" w:rsidRPr="000450BF">
        <w:t xml:space="preserve">security authorities and the </w:t>
      </w:r>
      <w:r w:rsidRPr="000450BF">
        <w:t xml:space="preserve">population </w:t>
      </w:r>
      <w:r w:rsidR="00C73D96" w:rsidRPr="000450BF">
        <w:t>to follow closely the population movements, to ensure that these movements are not likely to disrupt peace and security</w:t>
      </w:r>
      <w:r w:rsidR="007101CE">
        <w:t>”</w:t>
      </w:r>
      <w:r w:rsidR="006A1853">
        <w:t>.</w:t>
      </w:r>
      <w:r w:rsidRPr="000450BF">
        <w:rPr>
          <w:rStyle w:val="FootnoteReference"/>
        </w:rPr>
        <w:footnoteReference w:id="125"/>
      </w:r>
    </w:p>
    <w:p w14:paraId="5BAF4D10" w14:textId="0B21A696" w:rsidR="008E4E71" w:rsidRPr="000450BF" w:rsidRDefault="008E4E71" w:rsidP="008E4E71">
      <w:pPr>
        <w:pStyle w:val="SingleTxtG"/>
      </w:pPr>
      <w:r w:rsidRPr="000450BF">
        <w:t>269.</w:t>
      </w:r>
      <w:r w:rsidRPr="000450BF">
        <w:tab/>
      </w:r>
      <w:r w:rsidR="00C73D96" w:rsidRPr="000450BF">
        <w:t xml:space="preserve">Barriers, usually operated by </w:t>
      </w:r>
      <w:r w:rsidRPr="000450BF">
        <w:t xml:space="preserve">Imbonerakure, </w:t>
      </w:r>
      <w:r w:rsidR="00C73D96" w:rsidRPr="000450BF">
        <w:t xml:space="preserve">have been put on the roads in order to control the movement of the </w:t>
      </w:r>
      <w:r w:rsidRPr="000450BF">
        <w:t xml:space="preserve">population </w:t>
      </w:r>
      <w:r w:rsidR="00C73D96" w:rsidRPr="000450BF">
        <w:t>and to stop some people from leaving the country or to arrest them upon their return</w:t>
      </w:r>
      <w:r w:rsidR="006A1853">
        <w:t>.</w:t>
      </w:r>
      <w:r w:rsidRPr="000450BF">
        <w:rPr>
          <w:rStyle w:val="FootnoteReference"/>
        </w:rPr>
        <w:footnoteReference w:id="126"/>
      </w:r>
      <w:r w:rsidRPr="000450BF">
        <w:t xml:space="preserve"> Imbonerakure </w:t>
      </w:r>
      <w:r w:rsidR="00AC6606" w:rsidRPr="000450BF">
        <w:t xml:space="preserve">interrogate people on their travel motives in an </w:t>
      </w:r>
      <w:r w:rsidR="007237FC" w:rsidRPr="000450BF">
        <w:t>atmosphere</w:t>
      </w:r>
      <w:r w:rsidR="00AC6606" w:rsidRPr="000450BF">
        <w:t xml:space="preserve"> of general suspicion of any travel to or from abroad</w:t>
      </w:r>
      <w:r w:rsidR="006A1853">
        <w:t>.</w:t>
      </w:r>
      <w:r w:rsidRPr="000450BF">
        <w:rPr>
          <w:rStyle w:val="FootnoteReference"/>
        </w:rPr>
        <w:footnoteReference w:id="127"/>
      </w:r>
      <w:r w:rsidRPr="000450BF">
        <w:t xml:space="preserve"> </w:t>
      </w:r>
      <w:r w:rsidR="00AC6606" w:rsidRPr="000450BF">
        <w:t xml:space="preserve">A </w:t>
      </w:r>
      <w:r w:rsidR="007237FC" w:rsidRPr="000450BF">
        <w:t>young</w:t>
      </w:r>
      <w:r w:rsidR="00AC6606" w:rsidRPr="000450BF">
        <w:t xml:space="preserve"> man said</w:t>
      </w:r>
      <w:r w:rsidRPr="000450BF">
        <w:t>:</w:t>
      </w:r>
    </w:p>
    <w:p w14:paraId="6F2C35A7" w14:textId="147B729A" w:rsidR="008E4E71" w:rsidRPr="000450BF" w:rsidRDefault="007101CE" w:rsidP="00AC6606">
      <w:pPr>
        <w:pStyle w:val="SingleTxtG"/>
        <w:ind w:left="1701"/>
        <w:rPr>
          <w:i/>
        </w:rPr>
      </w:pPr>
      <w:r>
        <w:rPr>
          <w:i/>
        </w:rPr>
        <w:t>“</w:t>
      </w:r>
      <w:r w:rsidR="00AC6606" w:rsidRPr="000450BF">
        <w:rPr>
          <w:i/>
        </w:rPr>
        <w:t xml:space="preserve">I left </w:t>
      </w:r>
      <w:r w:rsidR="008E4E71" w:rsidRPr="000450BF">
        <w:rPr>
          <w:i/>
        </w:rPr>
        <w:t xml:space="preserve">Burundi </w:t>
      </w:r>
      <w:r w:rsidR="00AC6606" w:rsidRPr="000450BF">
        <w:rPr>
          <w:i/>
        </w:rPr>
        <w:t>on</w:t>
      </w:r>
      <w:r w:rsidR="008E4E71" w:rsidRPr="000450BF">
        <w:rPr>
          <w:i/>
        </w:rPr>
        <w:t xml:space="preserve"> [X] 2018 […] </w:t>
      </w:r>
      <w:r w:rsidR="00AC6606" w:rsidRPr="000450BF">
        <w:rPr>
          <w:i/>
        </w:rPr>
        <w:t xml:space="preserve">There were barriers on the road to leave the country because it is the road that leads to </w:t>
      </w:r>
      <w:r w:rsidR="008E4E71" w:rsidRPr="000450BF">
        <w:rPr>
          <w:i/>
        </w:rPr>
        <w:t xml:space="preserve">Rwanda […] </w:t>
      </w:r>
      <w:proofErr w:type="gramStart"/>
      <w:r w:rsidR="00AC6606" w:rsidRPr="000450BF">
        <w:rPr>
          <w:i/>
        </w:rPr>
        <w:t>On</w:t>
      </w:r>
      <w:proofErr w:type="gramEnd"/>
      <w:r w:rsidR="00AC6606" w:rsidRPr="000450BF">
        <w:rPr>
          <w:i/>
        </w:rPr>
        <w:t xml:space="preserve"> the </w:t>
      </w:r>
      <w:r w:rsidR="007237FC" w:rsidRPr="000450BF">
        <w:rPr>
          <w:i/>
        </w:rPr>
        <w:t>road</w:t>
      </w:r>
      <w:r w:rsidR="00AC6606" w:rsidRPr="000450BF">
        <w:rPr>
          <w:i/>
        </w:rPr>
        <w:t xml:space="preserve">, we found three barriers with </w:t>
      </w:r>
      <w:r w:rsidR="008E4E71" w:rsidRPr="000450BF">
        <w:rPr>
          <w:i/>
        </w:rPr>
        <w:t>Imbonerakure</w:t>
      </w:r>
      <w:r w:rsidR="008E4E71" w:rsidRPr="000450BF">
        <w:t xml:space="preserve">. </w:t>
      </w:r>
      <w:r w:rsidR="008E4E71" w:rsidRPr="000450BF">
        <w:rPr>
          <w:i/>
        </w:rPr>
        <w:t xml:space="preserve">[…] </w:t>
      </w:r>
      <w:r w:rsidR="00AC6606" w:rsidRPr="000450BF">
        <w:rPr>
          <w:i/>
        </w:rPr>
        <w:t xml:space="preserve">The second and the third barriers, were about </w:t>
      </w:r>
      <w:r w:rsidR="008E4E71" w:rsidRPr="000450BF">
        <w:rPr>
          <w:i/>
        </w:rPr>
        <w:t>40 minutes</w:t>
      </w:r>
      <w:r w:rsidR="00AC6606" w:rsidRPr="000450BF">
        <w:rPr>
          <w:i/>
        </w:rPr>
        <w:t xml:space="preserve"> apart</w:t>
      </w:r>
      <w:r w:rsidR="008E4E71" w:rsidRPr="000450BF">
        <w:rPr>
          <w:i/>
        </w:rPr>
        <w:t xml:space="preserve">. </w:t>
      </w:r>
      <w:r w:rsidR="00AC6606" w:rsidRPr="000450BF">
        <w:rPr>
          <w:i/>
        </w:rPr>
        <w:t>The barrier before the border was manned by several police</w:t>
      </w:r>
      <w:r w:rsidR="00B24AF5" w:rsidRPr="000450BF">
        <w:rPr>
          <w:i/>
        </w:rPr>
        <w:t xml:space="preserve"> officers </w:t>
      </w:r>
      <w:r w:rsidR="00AC6606" w:rsidRPr="000450BF">
        <w:rPr>
          <w:i/>
        </w:rPr>
        <w:t xml:space="preserve">and </w:t>
      </w:r>
      <w:r w:rsidR="008E4E71" w:rsidRPr="000450BF">
        <w:rPr>
          <w:i/>
        </w:rPr>
        <w:t xml:space="preserve">Imbonerakure. […] </w:t>
      </w:r>
      <w:r w:rsidR="00AC6606" w:rsidRPr="000450BF">
        <w:rPr>
          <w:i/>
        </w:rPr>
        <w:t xml:space="preserve">They were about </w:t>
      </w:r>
      <w:r w:rsidR="008E4E71" w:rsidRPr="000450BF">
        <w:rPr>
          <w:i/>
        </w:rPr>
        <w:t>12</w:t>
      </w:r>
      <w:r w:rsidR="00AC6606" w:rsidRPr="000450BF">
        <w:rPr>
          <w:i/>
        </w:rPr>
        <w:t xml:space="preserve"> in total</w:t>
      </w:r>
      <w:r w:rsidR="008E4E71" w:rsidRPr="000450BF">
        <w:rPr>
          <w:i/>
        </w:rPr>
        <w:t xml:space="preserve"> (</w:t>
      </w:r>
      <w:r w:rsidR="00AC6606" w:rsidRPr="000450BF">
        <w:rPr>
          <w:i/>
        </w:rPr>
        <w:t xml:space="preserve">around four police officers and </w:t>
      </w:r>
      <w:r w:rsidR="002A0AF2" w:rsidRPr="000450BF">
        <w:rPr>
          <w:i/>
        </w:rPr>
        <w:t>eight Imbonerakure</w:t>
      </w:r>
      <w:r w:rsidR="008E4E71" w:rsidRPr="000450BF">
        <w:rPr>
          <w:i/>
        </w:rPr>
        <w:t xml:space="preserve">). </w:t>
      </w:r>
      <w:r w:rsidR="00AC6606" w:rsidRPr="000450BF">
        <w:rPr>
          <w:i/>
        </w:rPr>
        <w:t xml:space="preserve">We stayed there for about thirty </w:t>
      </w:r>
      <w:r w:rsidR="008E4E71" w:rsidRPr="000450BF">
        <w:rPr>
          <w:i/>
        </w:rPr>
        <w:t xml:space="preserve">minutes. </w:t>
      </w:r>
      <w:r w:rsidR="00AC6606" w:rsidRPr="000450BF">
        <w:rPr>
          <w:i/>
        </w:rPr>
        <w:t>The</w:t>
      </w:r>
      <w:r w:rsidR="008E4E71" w:rsidRPr="000450BF">
        <w:rPr>
          <w:i/>
        </w:rPr>
        <w:t xml:space="preserve"> Imbonerakure </w:t>
      </w:r>
      <w:r w:rsidR="00AC6606" w:rsidRPr="000450BF">
        <w:rPr>
          <w:i/>
        </w:rPr>
        <w:t xml:space="preserve">searched the car. They asked us </w:t>
      </w:r>
      <w:r w:rsidR="008E4E71" w:rsidRPr="000450BF">
        <w:rPr>
          <w:i/>
        </w:rPr>
        <w:t xml:space="preserve">questions </w:t>
      </w:r>
      <w:r w:rsidR="00AC6606" w:rsidRPr="000450BF">
        <w:rPr>
          <w:i/>
        </w:rPr>
        <w:t xml:space="preserve">on the reasons for our trip to </w:t>
      </w:r>
      <w:r w:rsidR="008E4E71" w:rsidRPr="000450BF">
        <w:rPr>
          <w:i/>
        </w:rPr>
        <w:t>Rwanda</w:t>
      </w:r>
      <w:r w:rsidR="008E4E71" w:rsidRPr="000450BF">
        <w:t xml:space="preserve">. </w:t>
      </w:r>
      <w:r w:rsidR="008E4E71" w:rsidRPr="000450BF">
        <w:rPr>
          <w:i/>
        </w:rPr>
        <w:t xml:space="preserve">[…] </w:t>
      </w:r>
      <w:r w:rsidR="00AC6606" w:rsidRPr="000450BF">
        <w:rPr>
          <w:i/>
        </w:rPr>
        <w:t xml:space="preserve">One told me </w:t>
      </w:r>
      <w:r w:rsidR="008E4E71" w:rsidRPr="000450BF">
        <w:rPr>
          <w:i/>
        </w:rPr>
        <w:t xml:space="preserve">[…] </w:t>
      </w:r>
      <w:r w:rsidR="00AC6606" w:rsidRPr="000450BF">
        <w:rPr>
          <w:i/>
        </w:rPr>
        <w:t xml:space="preserve">that I was leaving </w:t>
      </w:r>
      <w:r w:rsidR="008E4E71" w:rsidRPr="000450BF">
        <w:rPr>
          <w:i/>
        </w:rPr>
        <w:t xml:space="preserve">Burundi </w:t>
      </w:r>
      <w:r w:rsidR="00AC6606" w:rsidRPr="000450BF">
        <w:rPr>
          <w:i/>
        </w:rPr>
        <w:t>to join the rebellion and do what our fathers did</w:t>
      </w:r>
      <w:r>
        <w:rPr>
          <w:i/>
        </w:rPr>
        <w:t>”</w:t>
      </w:r>
      <w:r w:rsidR="006A1853">
        <w:rPr>
          <w:i/>
        </w:rPr>
        <w:t>.</w:t>
      </w:r>
      <w:r w:rsidR="008E4E71" w:rsidRPr="000450BF">
        <w:rPr>
          <w:rStyle w:val="FootnoteReference"/>
        </w:rPr>
        <w:footnoteReference w:id="128"/>
      </w:r>
    </w:p>
    <w:p w14:paraId="0E133584" w14:textId="59C2E443" w:rsidR="008E4E71" w:rsidRPr="000450BF" w:rsidRDefault="008E4E71" w:rsidP="008E4E71">
      <w:pPr>
        <w:pStyle w:val="SingleTxtG"/>
      </w:pPr>
      <w:r w:rsidRPr="000450BF">
        <w:t>270.</w:t>
      </w:r>
      <w:r w:rsidRPr="000450BF">
        <w:tab/>
      </w:r>
      <w:r w:rsidR="0038081B" w:rsidRPr="000450BF">
        <w:t xml:space="preserve">Once at such a barrier, to be able to </w:t>
      </w:r>
      <w:r w:rsidR="002A0AF2" w:rsidRPr="000450BF">
        <w:t>continue</w:t>
      </w:r>
      <w:r w:rsidR="0038081B" w:rsidRPr="000450BF">
        <w:t xml:space="preserve"> their journey, </w:t>
      </w:r>
      <w:r w:rsidR="002E6630" w:rsidRPr="000450BF">
        <w:t>Burundian</w:t>
      </w:r>
      <w:r w:rsidR="0038081B" w:rsidRPr="000450BF">
        <w:t xml:space="preserve">s had to show their travel document, or sometimes a receipt confirming that they had paid their </w:t>
      </w:r>
      <w:r w:rsidR="002A0AF2" w:rsidRPr="000450BF">
        <w:t>contribution</w:t>
      </w:r>
      <w:r w:rsidR="0038081B" w:rsidRPr="000450BF">
        <w:t xml:space="preserve"> for the 2020 elections, failing which</w:t>
      </w:r>
      <w:r w:rsidR="005337F7">
        <w:t>,</w:t>
      </w:r>
      <w:r w:rsidR="00246A76" w:rsidRPr="000450BF">
        <w:t xml:space="preserve"> they would then</w:t>
      </w:r>
      <w:r w:rsidR="0038081B" w:rsidRPr="000450BF">
        <w:t xml:space="preserve"> pay varying amount</w:t>
      </w:r>
      <w:r w:rsidR="009445B6" w:rsidRPr="000450BF">
        <w:t>s</w:t>
      </w:r>
      <w:r w:rsidR="0038081B" w:rsidRPr="000450BF">
        <w:t xml:space="preserve"> seemingly for the benefit of </w:t>
      </w:r>
      <w:r w:rsidRPr="000450BF">
        <w:t xml:space="preserve">Imbonerakure </w:t>
      </w:r>
      <w:r w:rsidR="0038081B" w:rsidRPr="000450BF">
        <w:t>themselves</w:t>
      </w:r>
      <w:r w:rsidR="006A1853">
        <w:t>.</w:t>
      </w:r>
      <w:r w:rsidRPr="000450BF">
        <w:rPr>
          <w:rStyle w:val="FootnoteReference"/>
        </w:rPr>
        <w:footnoteReference w:id="129"/>
      </w:r>
      <w:r w:rsidRPr="000450BF">
        <w:t xml:space="preserve"> </w:t>
      </w:r>
      <w:r w:rsidR="0038081B" w:rsidRPr="000450BF">
        <w:t xml:space="preserve">These controls were often accompanied by acts of violence and </w:t>
      </w:r>
      <w:r w:rsidRPr="000450BF">
        <w:t xml:space="preserve">intimidation </w:t>
      </w:r>
      <w:r w:rsidR="0038081B" w:rsidRPr="000450BF">
        <w:t>by</w:t>
      </w:r>
      <w:r w:rsidRPr="000450BF">
        <w:t xml:space="preserve"> Imbonerakure</w:t>
      </w:r>
      <w:r w:rsidR="006A1853">
        <w:t>.</w:t>
      </w:r>
      <w:r w:rsidRPr="000450BF">
        <w:rPr>
          <w:rStyle w:val="FootnoteReference"/>
        </w:rPr>
        <w:footnoteReference w:id="130"/>
      </w:r>
      <w:r w:rsidRPr="000450BF">
        <w:t xml:space="preserve"> </w:t>
      </w:r>
      <w:r w:rsidR="0038081B" w:rsidRPr="000450BF">
        <w:t>A witness gave a detail</w:t>
      </w:r>
      <w:r w:rsidR="005337F7">
        <w:t>ed</w:t>
      </w:r>
      <w:r w:rsidR="0038081B" w:rsidRPr="000450BF">
        <w:t xml:space="preserve"> account of what happened at one such barrier</w:t>
      </w:r>
      <w:r w:rsidRPr="000450BF">
        <w:t>:</w:t>
      </w:r>
    </w:p>
    <w:p w14:paraId="11F8C785" w14:textId="798BEA9D" w:rsidR="008E4E71" w:rsidRPr="000450BF" w:rsidRDefault="007101CE" w:rsidP="00D6433C">
      <w:pPr>
        <w:pStyle w:val="SingleTxtG"/>
        <w:ind w:left="1701"/>
        <w:rPr>
          <w:i/>
        </w:rPr>
      </w:pPr>
      <w:r>
        <w:rPr>
          <w:i/>
        </w:rPr>
        <w:t>“</w:t>
      </w:r>
      <w:r w:rsidR="0038081B" w:rsidRPr="000450BF">
        <w:rPr>
          <w:i/>
        </w:rPr>
        <w:t xml:space="preserve">I was arrested at a barrier operated by four </w:t>
      </w:r>
      <w:r w:rsidR="008E4E71" w:rsidRPr="000450BF">
        <w:rPr>
          <w:i/>
        </w:rPr>
        <w:t xml:space="preserve">Imbonerakure. </w:t>
      </w:r>
      <w:r w:rsidR="0038081B" w:rsidRPr="000450BF">
        <w:rPr>
          <w:i/>
        </w:rPr>
        <w:t>They were in civilian clothing. Two of them had some typ</w:t>
      </w:r>
      <w:r w:rsidR="00B806D8" w:rsidRPr="000450BF">
        <w:rPr>
          <w:i/>
        </w:rPr>
        <w:t>e</w:t>
      </w:r>
      <w:r w:rsidR="0038081B" w:rsidRPr="000450BF">
        <w:rPr>
          <w:i/>
        </w:rPr>
        <w:t xml:space="preserve"> of military beret. They were operating the roadblock. The latter was made up of a rope in the middle of the </w:t>
      </w:r>
      <w:r w:rsidR="002A0AF2" w:rsidRPr="000450BF">
        <w:rPr>
          <w:i/>
        </w:rPr>
        <w:t>road. [</w:t>
      </w:r>
      <w:r w:rsidR="008E4E71" w:rsidRPr="000450BF">
        <w:rPr>
          <w:i/>
        </w:rPr>
        <w:t xml:space="preserve">…] </w:t>
      </w:r>
      <w:r w:rsidR="0038081B" w:rsidRPr="000450BF">
        <w:rPr>
          <w:i/>
        </w:rPr>
        <w:t xml:space="preserve">They introduced themselves as </w:t>
      </w:r>
      <w:r w:rsidR="008E4E71" w:rsidRPr="000450BF">
        <w:rPr>
          <w:i/>
        </w:rPr>
        <w:t xml:space="preserve">Imbonerakure. </w:t>
      </w:r>
      <w:r w:rsidR="0038081B" w:rsidRPr="000450BF">
        <w:rPr>
          <w:i/>
        </w:rPr>
        <w:t>The two that did not hold the rope showed me their party membership card</w:t>
      </w:r>
      <w:r w:rsidR="008E4E71" w:rsidRPr="000450BF">
        <w:rPr>
          <w:i/>
        </w:rPr>
        <w:t xml:space="preserve">. […] </w:t>
      </w:r>
      <w:r w:rsidR="0038081B" w:rsidRPr="000450BF">
        <w:rPr>
          <w:i/>
        </w:rPr>
        <w:t xml:space="preserve">I remember seeing the eagle symbol on the card and their photo. They said </w:t>
      </w:r>
      <w:r w:rsidR="006A1853">
        <w:rPr>
          <w:i/>
        </w:rPr>
        <w:t>‘</w:t>
      </w:r>
      <w:r w:rsidR="0038081B" w:rsidRPr="000450BF">
        <w:rPr>
          <w:i/>
        </w:rPr>
        <w:t xml:space="preserve">We are </w:t>
      </w:r>
      <w:r w:rsidR="004A0922" w:rsidRPr="000450BF">
        <w:rPr>
          <w:i/>
        </w:rPr>
        <w:t xml:space="preserve">the </w:t>
      </w:r>
      <w:r w:rsidR="008E4E71" w:rsidRPr="000450BF">
        <w:rPr>
          <w:i/>
        </w:rPr>
        <w:t xml:space="preserve">Imbonerakure </w:t>
      </w:r>
      <w:r w:rsidR="0038081B" w:rsidRPr="000450BF">
        <w:rPr>
          <w:i/>
        </w:rPr>
        <w:t>of this region. We are responsible for controlling any movement to Tanzania</w:t>
      </w:r>
      <w:r w:rsidR="006A1853">
        <w:rPr>
          <w:i/>
        </w:rPr>
        <w:t>’</w:t>
      </w:r>
      <w:r w:rsidR="008E4E71" w:rsidRPr="000450BF">
        <w:rPr>
          <w:i/>
        </w:rPr>
        <w:t>. A</w:t>
      </w:r>
      <w:r w:rsidR="0038081B" w:rsidRPr="000450BF">
        <w:rPr>
          <w:i/>
        </w:rPr>
        <w:t xml:space="preserve">fter that, they asked me where I was coming from </w:t>
      </w:r>
      <w:r w:rsidR="00D6433C" w:rsidRPr="000450BF">
        <w:rPr>
          <w:i/>
        </w:rPr>
        <w:t xml:space="preserve">and to show my identity documents. Since I did not have travel documents, they asked me to give them money, and since I had no money, those with a membership card </w:t>
      </w:r>
      <w:r w:rsidR="007C44EC" w:rsidRPr="000450BF">
        <w:rPr>
          <w:i/>
        </w:rPr>
        <w:t xml:space="preserve">violently </w:t>
      </w:r>
      <w:r w:rsidR="00D6433C" w:rsidRPr="000450BF">
        <w:rPr>
          <w:i/>
        </w:rPr>
        <w:t>beat me with a sort of club and wanted to imprison me</w:t>
      </w:r>
      <w:r>
        <w:rPr>
          <w:i/>
        </w:rPr>
        <w:t>”</w:t>
      </w:r>
      <w:r w:rsidR="006A1853">
        <w:rPr>
          <w:i/>
        </w:rPr>
        <w:t>.</w:t>
      </w:r>
      <w:r w:rsidR="008E4E71" w:rsidRPr="000450BF">
        <w:rPr>
          <w:rStyle w:val="FootnoteReference"/>
        </w:rPr>
        <w:footnoteReference w:id="131"/>
      </w:r>
    </w:p>
    <w:p w14:paraId="100B067F" w14:textId="3505F4F9" w:rsidR="008E4E71" w:rsidRPr="000450BF" w:rsidRDefault="008E4E71" w:rsidP="008E4E71">
      <w:pPr>
        <w:pStyle w:val="SingleTxtG"/>
      </w:pPr>
      <w:r w:rsidRPr="000450BF">
        <w:t>271.</w:t>
      </w:r>
      <w:r w:rsidRPr="000450BF">
        <w:tab/>
      </w:r>
      <w:r w:rsidR="00D6433C" w:rsidRPr="000450BF">
        <w:t xml:space="preserve">Another witness </w:t>
      </w:r>
      <w:r w:rsidR="002A0AF2" w:rsidRPr="000450BF">
        <w:t>explained:</w:t>
      </w:r>
    </w:p>
    <w:p w14:paraId="1204ED10" w14:textId="53E6C23B" w:rsidR="008E4E71" w:rsidRPr="000450BF" w:rsidRDefault="007101CE" w:rsidP="008E4E71">
      <w:pPr>
        <w:pStyle w:val="SingleTxtG"/>
        <w:ind w:left="1701"/>
        <w:rPr>
          <w:i/>
        </w:rPr>
      </w:pPr>
      <w:r>
        <w:rPr>
          <w:i/>
        </w:rPr>
        <w:t>“</w:t>
      </w:r>
      <w:r w:rsidR="00D6433C" w:rsidRPr="000450BF">
        <w:rPr>
          <w:i/>
        </w:rPr>
        <w:t xml:space="preserve">Before the </w:t>
      </w:r>
      <w:r w:rsidR="002A0AF2" w:rsidRPr="000450BF">
        <w:rPr>
          <w:i/>
        </w:rPr>
        <w:t>referendum,</w:t>
      </w:r>
      <w:r w:rsidR="008E4E71" w:rsidRPr="000450BF">
        <w:rPr>
          <w:i/>
        </w:rPr>
        <w:t xml:space="preserve"> </w:t>
      </w:r>
      <w:r w:rsidR="00D6433C" w:rsidRPr="000450BF">
        <w:rPr>
          <w:i/>
        </w:rPr>
        <w:t xml:space="preserve">there was a sort of harassment. We had to pay various </w:t>
      </w:r>
      <w:r w:rsidR="002A0AF2" w:rsidRPr="000450BF">
        <w:rPr>
          <w:i/>
        </w:rPr>
        <w:t>compulsory</w:t>
      </w:r>
      <w:r w:rsidR="00D6433C" w:rsidRPr="000450BF">
        <w:rPr>
          <w:i/>
        </w:rPr>
        <w:t xml:space="preserve"> </w:t>
      </w:r>
      <w:r w:rsidR="008E4E71" w:rsidRPr="000450BF">
        <w:rPr>
          <w:i/>
        </w:rPr>
        <w:t xml:space="preserve">contributions […] </w:t>
      </w:r>
      <w:r w:rsidR="00D6433C" w:rsidRPr="000450BF">
        <w:rPr>
          <w:i/>
        </w:rPr>
        <w:t>for the e</w:t>
      </w:r>
      <w:r w:rsidR="008E4E71" w:rsidRPr="000450BF">
        <w:rPr>
          <w:i/>
        </w:rPr>
        <w:t xml:space="preserve">lections. </w:t>
      </w:r>
      <w:r w:rsidR="00D6433C" w:rsidRPr="000450BF">
        <w:rPr>
          <w:i/>
        </w:rPr>
        <w:t xml:space="preserve">It was </w:t>
      </w:r>
      <w:r w:rsidR="008E4E71" w:rsidRPr="000450BF">
        <w:rPr>
          <w:i/>
        </w:rPr>
        <w:t>2</w:t>
      </w:r>
      <w:r w:rsidR="00D6433C" w:rsidRPr="000450BF">
        <w:rPr>
          <w:i/>
        </w:rPr>
        <w:t>,</w:t>
      </w:r>
      <w:r w:rsidR="008E4E71" w:rsidRPr="000450BF">
        <w:rPr>
          <w:i/>
        </w:rPr>
        <w:t xml:space="preserve">000 </w:t>
      </w:r>
      <w:r w:rsidR="002E6630" w:rsidRPr="000450BF">
        <w:rPr>
          <w:i/>
        </w:rPr>
        <w:t>Burundian</w:t>
      </w:r>
      <w:r w:rsidR="00D6433C" w:rsidRPr="000450BF">
        <w:rPr>
          <w:i/>
        </w:rPr>
        <w:t xml:space="preserve"> </w:t>
      </w:r>
      <w:r w:rsidR="008E4E71" w:rsidRPr="000450BF">
        <w:rPr>
          <w:i/>
        </w:rPr>
        <w:t xml:space="preserve">francs </w:t>
      </w:r>
      <w:r w:rsidR="008E4E71" w:rsidRPr="000450BF">
        <w:t>[</w:t>
      </w:r>
      <w:r w:rsidR="00D6433C" w:rsidRPr="000450BF">
        <w:t>around</w:t>
      </w:r>
      <w:r w:rsidR="008E4E71" w:rsidRPr="000450BF">
        <w:t xml:space="preserve"> 1 </w:t>
      </w:r>
      <w:r w:rsidR="006A1853">
        <w:t>US</w:t>
      </w:r>
      <w:r w:rsidR="00D6433C" w:rsidRPr="000450BF">
        <w:t xml:space="preserve"> </w:t>
      </w:r>
      <w:r w:rsidR="008E4E71" w:rsidRPr="000450BF">
        <w:t>dollar]</w:t>
      </w:r>
      <w:r w:rsidR="008E4E71" w:rsidRPr="000450BF">
        <w:rPr>
          <w:i/>
        </w:rPr>
        <w:t xml:space="preserve"> p</w:t>
      </w:r>
      <w:r w:rsidR="00D6433C" w:rsidRPr="000450BF">
        <w:rPr>
          <w:i/>
        </w:rPr>
        <w:t>e</w:t>
      </w:r>
      <w:r w:rsidR="008E4E71" w:rsidRPr="000450BF">
        <w:rPr>
          <w:i/>
        </w:rPr>
        <w:t xml:space="preserve">r person, </w:t>
      </w:r>
      <w:r w:rsidR="00D6433C" w:rsidRPr="000450BF">
        <w:rPr>
          <w:i/>
        </w:rPr>
        <w:t>even for children</w:t>
      </w:r>
      <w:r w:rsidR="008E4E71" w:rsidRPr="000450BF">
        <w:rPr>
          <w:i/>
        </w:rPr>
        <w:t xml:space="preserve"> – </w:t>
      </w:r>
      <w:r w:rsidR="00D6433C" w:rsidRPr="000450BF">
        <w:rPr>
          <w:i/>
        </w:rPr>
        <w:t xml:space="preserve">I paid </w:t>
      </w:r>
      <w:r w:rsidR="008E4E71" w:rsidRPr="000450BF">
        <w:rPr>
          <w:i/>
        </w:rPr>
        <w:t>6</w:t>
      </w:r>
      <w:r w:rsidR="00D6433C" w:rsidRPr="000450BF">
        <w:rPr>
          <w:i/>
        </w:rPr>
        <w:t>,</w:t>
      </w:r>
      <w:r w:rsidR="008E4E71" w:rsidRPr="000450BF">
        <w:rPr>
          <w:i/>
        </w:rPr>
        <w:t xml:space="preserve">000 </w:t>
      </w:r>
      <w:r w:rsidR="002E6630" w:rsidRPr="000450BF">
        <w:rPr>
          <w:i/>
        </w:rPr>
        <w:t>Burundian</w:t>
      </w:r>
      <w:r w:rsidR="00D6433C" w:rsidRPr="000450BF">
        <w:rPr>
          <w:i/>
        </w:rPr>
        <w:t xml:space="preserve"> francs</w:t>
      </w:r>
      <w:r w:rsidR="008E4E71" w:rsidRPr="000450BF">
        <w:rPr>
          <w:i/>
        </w:rPr>
        <w:t xml:space="preserve"> </w:t>
      </w:r>
      <w:r w:rsidR="008E4E71" w:rsidRPr="000450BF">
        <w:t>[</w:t>
      </w:r>
      <w:r w:rsidR="00D6433C" w:rsidRPr="000450BF">
        <w:t xml:space="preserve">around 3 </w:t>
      </w:r>
      <w:r w:rsidR="006A1853">
        <w:t>US</w:t>
      </w:r>
      <w:r w:rsidR="00D6433C" w:rsidRPr="000450BF">
        <w:t xml:space="preserve"> dollars</w:t>
      </w:r>
      <w:r w:rsidR="008E4E71" w:rsidRPr="000450BF">
        <w:t>]</w:t>
      </w:r>
      <w:r w:rsidR="008E4E71" w:rsidRPr="000450BF">
        <w:rPr>
          <w:i/>
        </w:rPr>
        <w:t xml:space="preserve"> </w:t>
      </w:r>
      <w:r w:rsidR="00D6433C" w:rsidRPr="000450BF">
        <w:rPr>
          <w:i/>
        </w:rPr>
        <w:t>for my wife, my child and me</w:t>
      </w:r>
      <w:r w:rsidR="008E4E71" w:rsidRPr="000450BF">
        <w:rPr>
          <w:i/>
        </w:rPr>
        <w:t>. […]</w:t>
      </w:r>
      <w:r w:rsidR="00D6433C" w:rsidRPr="000450BF">
        <w:rPr>
          <w:i/>
        </w:rPr>
        <w:t xml:space="preserve"> </w:t>
      </w:r>
      <w:r w:rsidR="008E4E71" w:rsidRPr="000450BF">
        <w:rPr>
          <w:i/>
        </w:rPr>
        <w:t xml:space="preserve">Imbonerakure </w:t>
      </w:r>
      <w:r w:rsidR="00D6433C" w:rsidRPr="000450BF">
        <w:rPr>
          <w:i/>
        </w:rPr>
        <w:t xml:space="preserve">gave me a receipt after I paid that amount. There is no indication that the receipt comes from the party </w:t>
      </w:r>
      <w:r w:rsidR="008E4E71" w:rsidRPr="000450BF">
        <w:rPr>
          <w:i/>
        </w:rPr>
        <w:t>[CNDD-FDD</w:t>
      </w:r>
      <w:r w:rsidR="00D1627C" w:rsidRPr="000450BF">
        <w:rPr>
          <w:i/>
        </w:rPr>
        <w:t>];</w:t>
      </w:r>
      <w:r w:rsidR="008E4E71" w:rsidRPr="000450BF">
        <w:rPr>
          <w:i/>
        </w:rPr>
        <w:t xml:space="preserve"> </w:t>
      </w:r>
      <w:r w:rsidR="00D6433C" w:rsidRPr="000450BF">
        <w:rPr>
          <w:i/>
        </w:rPr>
        <w:t xml:space="preserve">and on that receipt, there is a stamp of the </w:t>
      </w:r>
      <w:r w:rsidR="008E4E71" w:rsidRPr="000450BF">
        <w:rPr>
          <w:i/>
        </w:rPr>
        <w:t xml:space="preserve">commune. </w:t>
      </w:r>
      <w:r w:rsidR="00D6433C" w:rsidRPr="000450BF">
        <w:rPr>
          <w:i/>
        </w:rPr>
        <w:t>You must carry the receipt with you at all times because you had to show it at various control points in order to pass</w:t>
      </w:r>
      <w:r w:rsidR="006A1853">
        <w:rPr>
          <w:i/>
        </w:rPr>
        <w:t>”.</w:t>
      </w:r>
      <w:r w:rsidR="008E4E71" w:rsidRPr="000450BF">
        <w:rPr>
          <w:rStyle w:val="FootnoteReference"/>
        </w:rPr>
        <w:footnoteReference w:id="132"/>
      </w:r>
      <w:r w:rsidR="008E4E71" w:rsidRPr="000450BF">
        <w:rPr>
          <w:i/>
        </w:rPr>
        <w:t xml:space="preserve"> </w:t>
      </w:r>
    </w:p>
    <w:p w14:paraId="620737C2" w14:textId="05C22586" w:rsidR="008E4E71" w:rsidRPr="000450BF" w:rsidRDefault="008E4E71" w:rsidP="008E4E71">
      <w:pPr>
        <w:pStyle w:val="SingleTxtG"/>
      </w:pPr>
      <w:r w:rsidRPr="000450BF">
        <w:t>272.</w:t>
      </w:r>
      <w:r w:rsidRPr="000450BF">
        <w:tab/>
      </w:r>
      <w:r w:rsidR="00D6433C" w:rsidRPr="000450BF">
        <w:t xml:space="preserve">Some local administrative authorities declared </w:t>
      </w:r>
      <w:r w:rsidR="00756951" w:rsidRPr="000450BF">
        <w:t>me</w:t>
      </w:r>
      <w:r w:rsidR="00DC3E2A" w:rsidRPr="000450BF">
        <w:t>a</w:t>
      </w:r>
      <w:r w:rsidR="00756951" w:rsidRPr="000450BF">
        <w:t xml:space="preserve">sures to restrict movements after </w:t>
      </w:r>
      <w:r w:rsidRPr="000450BF">
        <w:t>18</w:t>
      </w:r>
      <w:r w:rsidR="006A4E29" w:rsidRPr="000450BF">
        <w:t>:00</w:t>
      </w:r>
      <w:r w:rsidRPr="000450BF">
        <w:t xml:space="preserve"> </w:t>
      </w:r>
      <w:r w:rsidR="00756951" w:rsidRPr="000450BF">
        <w:t>or</w:t>
      </w:r>
      <w:r w:rsidRPr="000450BF">
        <w:t xml:space="preserve"> 19</w:t>
      </w:r>
      <w:r w:rsidR="006A4E29" w:rsidRPr="000450BF">
        <w:t>:00</w:t>
      </w:r>
      <w:r w:rsidR="00756951" w:rsidRPr="000450BF">
        <w:t xml:space="preserve"> for girls and women only, with the official </w:t>
      </w:r>
      <w:r w:rsidR="00D1627C" w:rsidRPr="000450BF">
        <w:t>objective</w:t>
      </w:r>
      <w:r w:rsidR="00756951" w:rsidRPr="000450BF">
        <w:t xml:space="preserve"> of </w:t>
      </w:r>
      <w:r w:rsidR="007101CE">
        <w:t>“</w:t>
      </w:r>
      <w:r w:rsidR="00756951" w:rsidRPr="000450BF">
        <w:t>curbing unwanted pregnancies and debauchery</w:t>
      </w:r>
      <w:r w:rsidR="007101CE">
        <w:t>”</w:t>
      </w:r>
      <w:r w:rsidRPr="000450BF">
        <w:t>.</w:t>
      </w:r>
    </w:p>
    <w:p w14:paraId="49F2E91D" w14:textId="3D4DD675" w:rsidR="008E4E71" w:rsidRPr="000450BF" w:rsidRDefault="008E4E71" w:rsidP="008E4E71">
      <w:pPr>
        <w:pStyle w:val="H4G"/>
      </w:pPr>
      <w:r w:rsidRPr="000450BF">
        <w:tab/>
        <w:t>e)</w:t>
      </w:r>
      <w:r w:rsidRPr="000450BF">
        <w:tab/>
      </w:r>
      <w:r w:rsidR="005337F7">
        <w:t>F</w:t>
      </w:r>
      <w:r w:rsidR="00FE0811" w:rsidRPr="000450BF">
        <w:t>reedom</w:t>
      </w:r>
      <w:r w:rsidR="005337F7">
        <w:t xml:space="preserve"> of religion</w:t>
      </w:r>
    </w:p>
    <w:p w14:paraId="06E5DCFF" w14:textId="5A65F969" w:rsidR="008E4E71" w:rsidRPr="000450BF" w:rsidRDefault="008E4E71" w:rsidP="008E4E71">
      <w:pPr>
        <w:pStyle w:val="SingleTxtG"/>
      </w:pPr>
      <w:r w:rsidRPr="000450BF">
        <w:t>273.</w:t>
      </w:r>
      <w:r w:rsidRPr="000450BF">
        <w:tab/>
      </w:r>
      <w:r w:rsidR="00FE0811" w:rsidRPr="000450BF">
        <w:t xml:space="preserve">The right to freedom of </w:t>
      </w:r>
      <w:r w:rsidR="004205FF" w:rsidRPr="000450BF">
        <w:t>thought</w:t>
      </w:r>
      <w:r w:rsidR="000658D7">
        <w:t xml:space="preserve"> and religion is protected by international h</w:t>
      </w:r>
      <w:r w:rsidR="00FE0811" w:rsidRPr="000450BF">
        <w:t xml:space="preserve">uman </w:t>
      </w:r>
      <w:r w:rsidR="000658D7">
        <w:t>r</w:t>
      </w:r>
      <w:r w:rsidR="00FE0811" w:rsidRPr="000450BF">
        <w:t xml:space="preserve">ights </w:t>
      </w:r>
      <w:r w:rsidR="000658D7">
        <w:t>l</w:t>
      </w:r>
      <w:r w:rsidR="00FE0811" w:rsidRPr="000450BF">
        <w:t>aw</w:t>
      </w:r>
      <w:r w:rsidR="00925854">
        <w:t>.</w:t>
      </w:r>
      <w:r w:rsidRPr="000450BF">
        <w:rPr>
          <w:rStyle w:val="FootnoteReference"/>
        </w:rPr>
        <w:footnoteReference w:id="133"/>
      </w:r>
      <w:r w:rsidRPr="000450BF">
        <w:t xml:space="preserve"> </w:t>
      </w:r>
      <w:r w:rsidR="004205FF" w:rsidRPr="000450BF">
        <w:t>T</w:t>
      </w:r>
      <w:r w:rsidR="004205FF" w:rsidRPr="000450BF">
        <w:rPr>
          <w:lang w:val="en"/>
        </w:rPr>
        <w:t xml:space="preserve">his right includes </w:t>
      </w:r>
      <w:r w:rsidR="00ED65E8" w:rsidRPr="000450BF">
        <w:rPr>
          <w:lang w:val="en"/>
        </w:rPr>
        <w:t xml:space="preserve">the </w:t>
      </w:r>
      <w:r w:rsidR="004205FF" w:rsidRPr="000450BF">
        <w:rPr>
          <w:lang w:val="en"/>
        </w:rPr>
        <w:t xml:space="preserve">freedom to change </w:t>
      </w:r>
      <w:bookmarkStart w:id="7" w:name="_Hlk39157852"/>
      <w:r w:rsidR="00ED65E8" w:rsidRPr="000450BF">
        <w:rPr>
          <w:lang w:val="en"/>
        </w:rPr>
        <w:t>one’s</w:t>
      </w:r>
      <w:bookmarkEnd w:id="7"/>
      <w:r w:rsidR="004205FF" w:rsidRPr="000450BF">
        <w:rPr>
          <w:lang w:val="en"/>
        </w:rPr>
        <w:t xml:space="preserve"> religion or belief and freedom, either alone or in community with others and in public or private, to manifest </w:t>
      </w:r>
      <w:r w:rsidR="00ED65E8" w:rsidRPr="000450BF">
        <w:rPr>
          <w:lang w:val="en"/>
        </w:rPr>
        <w:t xml:space="preserve">one’s </w:t>
      </w:r>
      <w:r w:rsidR="004205FF" w:rsidRPr="000450BF">
        <w:rPr>
          <w:lang w:val="en"/>
        </w:rPr>
        <w:t xml:space="preserve">religion or belief, </w:t>
      </w:r>
      <w:r w:rsidR="000658D7">
        <w:rPr>
          <w:lang w:val="en"/>
        </w:rPr>
        <w:t>through</w:t>
      </w:r>
      <w:r w:rsidR="004205FF" w:rsidRPr="000450BF">
        <w:rPr>
          <w:lang w:val="en"/>
        </w:rPr>
        <w:t xml:space="preserve"> worship, teaching practice and observance</w:t>
      </w:r>
      <w:r w:rsidR="000658D7">
        <w:rPr>
          <w:lang w:val="en"/>
        </w:rPr>
        <w:t xml:space="preserve"> of rituals</w:t>
      </w:r>
      <w:r w:rsidR="004205FF" w:rsidRPr="000450BF">
        <w:rPr>
          <w:lang w:val="en"/>
        </w:rPr>
        <w:t>.</w:t>
      </w:r>
      <w:r w:rsidR="004205FF" w:rsidRPr="000450BF">
        <w:t xml:space="preserve"> </w:t>
      </w:r>
      <w:r w:rsidR="00FE0811" w:rsidRPr="000450BF">
        <w:t>While it is possible to restrain the right to manifest one’s religion, the right to free thinking and conscience, to have or to adopt a religion of a conviction of one’s c</w:t>
      </w:r>
      <w:r w:rsidR="00707D54" w:rsidRPr="000450BF">
        <w:t>hoice, is protected with no reservation</w:t>
      </w:r>
      <w:r w:rsidR="00925854">
        <w:t>.</w:t>
      </w:r>
      <w:r w:rsidRPr="000450BF">
        <w:rPr>
          <w:rStyle w:val="FootnoteReference"/>
        </w:rPr>
        <w:footnoteReference w:id="134"/>
      </w:r>
      <w:r w:rsidRPr="000450BF">
        <w:t xml:space="preserve"> </w:t>
      </w:r>
      <w:r w:rsidR="00707D54" w:rsidRPr="000450BF">
        <w:t>In addition, the right to the freedom of opinion</w:t>
      </w:r>
      <w:r w:rsidRPr="000450BF">
        <w:rPr>
          <w:rStyle w:val="FootnoteReference"/>
        </w:rPr>
        <w:footnoteReference w:id="135"/>
      </w:r>
      <w:r w:rsidRPr="000450BF">
        <w:t xml:space="preserve"> </w:t>
      </w:r>
      <w:r w:rsidR="00707D54" w:rsidRPr="000450BF">
        <w:t xml:space="preserve">guarantees that all forms of opinion are protected, including those with a religious dimension. </w:t>
      </w:r>
      <w:r w:rsidR="00501763" w:rsidRPr="000450BF">
        <w:t>Harassment</w:t>
      </w:r>
      <w:r w:rsidR="00707D54" w:rsidRPr="000450BF">
        <w:t xml:space="preserve">, intimidation and stigmatisation, including arrest, detention, judgement or </w:t>
      </w:r>
      <w:r w:rsidR="00501763" w:rsidRPr="000450BF">
        <w:t>imprisonment</w:t>
      </w:r>
      <w:r w:rsidR="00707D54" w:rsidRPr="000450BF">
        <w:t xml:space="preserve"> for opinions professed by a person or any form of attempted coercion aimed at getting</w:t>
      </w:r>
      <w:r w:rsidR="00204A65" w:rsidRPr="000450BF">
        <w:t xml:space="preserve"> </w:t>
      </w:r>
      <w:r w:rsidR="00ED65E8" w:rsidRPr="000450BF">
        <w:t xml:space="preserve">someone </w:t>
      </w:r>
      <w:r w:rsidR="00204A65" w:rsidRPr="000450BF">
        <w:t xml:space="preserve">to hold or not </w:t>
      </w:r>
      <w:r w:rsidR="00D5205F" w:rsidRPr="000450BF">
        <w:t>to hold an opinion are prohibited</w:t>
      </w:r>
      <w:r w:rsidR="00925854">
        <w:t>.</w:t>
      </w:r>
      <w:r w:rsidRPr="000450BF">
        <w:rPr>
          <w:rStyle w:val="FootnoteReference"/>
        </w:rPr>
        <w:footnoteReference w:id="136"/>
      </w:r>
    </w:p>
    <w:p w14:paraId="3B5BE5D9" w14:textId="4E521FC6" w:rsidR="008E4E71" w:rsidRPr="000450BF" w:rsidRDefault="008E4E71" w:rsidP="008E4E71">
      <w:pPr>
        <w:pStyle w:val="SingleTxtG"/>
      </w:pPr>
      <w:r w:rsidRPr="000450BF">
        <w:t>274.</w:t>
      </w:r>
      <w:r w:rsidRPr="000450BF">
        <w:tab/>
      </w:r>
      <w:r w:rsidR="004C5A2D" w:rsidRPr="000450BF">
        <w:t xml:space="preserve">In </w:t>
      </w:r>
      <w:r w:rsidRPr="000450BF">
        <w:t xml:space="preserve">Burundi, </w:t>
      </w:r>
      <w:r w:rsidR="004C5A2D" w:rsidRPr="000450BF">
        <w:t xml:space="preserve">persons were forced </w:t>
      </w:r>
      <w:r w:rsidR="009D40CF" w:rsidRPr="000450BF">
        <w:t>to</w:t>
      </w:r>
      <w:r w:rsidR="004C5A2D" w:rsidRPr="000450BF">
        <w:t xml:space="preserve"> take part in the constitutional referendum that took place in May</w:t>
      </w:r>
      <w:r w:rsidRPr="000450BF">
        <w:t xml:space="preserve"> 2019 </w:t>
      </w:r>
      <w:r w:rsidR="004C5A2D" w:rsidRPr="000450BF">
        <w:t xml:space="preserve">or to join </w:t>
      </w:r>
      <w:r w:rsidRPr="000450BF">
        <w:t xml:space="preserve">CNDD-FDD </w:t>
      </w:r>
      <w:r w:rsidR="004C5A2D" w:rsidRPr="000450BF">
        <w:t xml:space="preserve">even if this was against their religious </w:t>
      </w:r>
      <w:r w:rsidR="009D40CF" w:rsidRPr="000450BF">
        <w:t>conviction</w:t>
      </w:r>
      <w:r w:rsidR="004C5A2D" w:rsidRPr="000450BF">
        <w:t xml:space="preserve"> of not taking part in public affairs</w:t>
      </w:r>
      <w:r w:rsidR="00925854">
        <w:t>.</w:t>
      </w:r>
      <w:r w:rsidRPr="000450BF">
        <w:rPr>
          <w:rStyle w:val="FootnoteReference"/>
        </w:rPr>
        <w:footnoteReference w:id="137"/>
      </w:r>
      <w:r w:rsidRPr="000450BF">
        <w:t xml:space="preserve"> </w:t>
      </w:r>
      <w:r w:rsidR="004C5A2D" w:rsidRPr="000450BF">
        <w:t xml:space="preserve">One of the victims </w:t>
      </w:r>
      <w:r w:rsidR="009D40CF" w:rsidRPr="000450BF">
        <w:t>explained:</w:t>
      </w:r>
    </w:p>
    <w:p w14:paraId="4F8D8D0C" w14:textId="30D46E64" w:rsidR="008E4E71" w:rsidRPr="000450BF" w:rsidRDefault="007101CE" w:rsidP="008E4E71">
      <w:pPr>
        <w:pStyle w:val="SingleTxtG"/>
        <w:ind w:left="1701"/>
        <w:rPr>
          <w:i/>
        </w:rPr>
      </w:pPr>
      <w:r>
        <w:rPr>
          <w:i/>
        </w:rPr>
        <w:t>“</w:t>
      </w:r>
      <w:r w:rsidR="004C5A2D" w:rsidRPr="000450BF">
        <w:rPr>
          <w:i/>
        </w:rPr>
        <w:t>One day</w:t>
      </w:r>
      <w:r w:rsidR="008E4E71" w:rsidRPr="000450BF">
        <w:rPr>
          <w:i/>
        </w:rPr>
        <w:t xml:space="preserve">, </w:t>
      </w:r>
      <w:r w:rsidR="004C5A2D" w:rsidRPr="000450BF">
        <w:rPr>
          <w:i/>
        </w:rPr>
        <w:t>on</w:t>
      </w:r>
      <w:r w:rsidR="008E4E71" w:rsidRPr="000450BF">
        <w:rPr>
          <w:i/>
        </w:rPr>
        <w:t xml:space="preserve"> [X] </w:t>
      </w:r>
      <w:r w:rsidR="004C5A2D" w:rsidRPr="000450BF">
        <w:rPr>
          <w:i/>
        </w:rPr>
        <w:t>May</w:t>
      </w:r>
      <w:r w:rsidR="008E4E71" w:rsidRPr="000450BF">
        <w:rPr>
          <w:i/>
        </w:rPr>
        <w:t xml:space="preserve"> 2018, </w:t>
      </w:r>
      <w:r w:rsidR="004C5A2D" w:rsidRPr="000450BF">
        <w:rPr>
          <w:i/>
        </w:rPr>
        <w:t xml:space="preserve">a jeep with tainted windows came to the house </w:t>
      </w:r>
      <w:r w:rsidR="009D40CF" w:rsidRPr="000450BF">
        <w:rPr>
          <w:i/>
        </w:rPr>
        <w:t>and</w:t>
      </w:r>
      <w:r w:rsidR="004C5A2D" w:rsidRPr="000450BF">
        <w:rPr>
          <w:i/>
        </w:rPr>
        <w:t xml:space="preserve"> a man called me and he </w:t>
      </w:r>
      <w:r w:rsidR="009D40CF" w:rsidRPr="000450BF">
        <w:rPr>
          <w:i/>
        </w:rPr>
        <w:t>said,</w:t>
      </w:r>
      <w:r w:rsidR="004C5A2D" w:rsidRPr="000450BF">
        <w:rPr>
          <w:i/>
        </w:rPr>
        <w:t xml:space="preserve"> </w:t>
      </w:r>
      <w:r w:rsidR="00925854">
        <w:rPr>
          <w:i/>
        </w:rPr>
        <w:t>‘</w:t>
      </w:r>
      <w:r w:rsidR="004C5A2D" w:rsidRPr="000450BF">
        <w:rPr>
          <w:i/>
        </w:rPr>
        <w:t>we need you in the party</w:t>
      </w:r>
      <w:r w:rsidR="00925854">
        <w:rPr>
          <w:i/>
        </w:rPr>
        <w:t>’</w:t>
      </w:r>
      <w:r w:rsidR="008E4E71" w:rsidRPr="000450BF">
        <w:rPr>
          <w:i/>
        </w:rPr>
        <w:t xml:space="preserve">. </w:t>
      </w:r>
      <w:r w:rsidR="004C5A2D" w:rsidRPr="000450BF">
        <w:rPr>
          <w:i/>
        </w:rPr>
        <w:t xml:space="preserve">I </w:t>
      </w:r>
      <w:r w:rsidR="00F34F59" w:rsidRPr="000450BF">
        <w:rPr>
          <w:i/>
        </w:rPr>
        <w:t>replied,</w:t>
      </w:r>
      <w:r w:rsidR="00925854">
        <w:rPr>
          <w:i/>
        </w:rPr>
        <w:t xml:space="preserve"> ‘</w:t>
      </w:r>
      <w:r w:rsidR="004C5A2D" w:rsidRPr="000450BF">
        <w:rPr>
          <w:i/>
        </w:rPr>
        <w:t>I cannot join the party because my religion forbids me from joining political parties</w:t>
      </w:r>
      <w:r w:rsidR="00925854">
        <w:rPr>
          <w:i/>
        </w:rPr>
        <w:t>’</w:t>
      </w:r>
      <w:r w:rsidR="008E4E71" w:rsidRPr="000450BF">
        <w:rPr>
          <w:i/>
        </w:rPr>
        <w:t xml:space="preserve">. </w:t>
      </w:r>
      <w:r w:rsidR="004C5A2D" w:rsidRPr="000450BF">
        <w:rPr>
          <w:i/>
        </w:rPr>
        <w:t>I am protestant. I thought that we were done but he responded</w:t>
      </w:r>
      <w:r w:rsidR="00925854">
        <w:rPr>
          <w:i/>
        </w:rPr>
        <w:t>: ‘</w:t>
      </w:r>
      <w:r w:rsidR="004C5A2D" w:rsidRPr="000450BF">
        <w:rPr>
          <w:i/>
        </w:rPr>
        <w:t xml:space="preserve">by </w:t>
      </w:r>
      <w:r w:rsidR="000658D7">
        <w:rPr>
          <w:i/>
        </w:rPr>
        <w:t>will</w:t>
      </w:r>
      <w:r w:rsidR="004C5A2D" w:rsidRPr="000450BF">
        <w:rPr>
          <w:i/>
        </w:rPr>
        <w:t xml:space="preserve"> or by </w:t>
      </w:r>
      <w:r w:rsidR="000658D7">
        <w:rPr>
          <w:i/>
        </w:rPr>
        <w:t>force</w:t>
      </w:r>
      <w:r w:rsidR="004C5A2D" w:rsidRPr="000450BF">
        <w:rPr>
          <w:i/>
        </w:rPr>
        <w:t>, you will join the party</w:t>
      </w:r>
      <w:r w:rsidR="00925854">
        <w:rPr>
          <w:i/>
        </w:rPr>
        <w:t>’</w:t>
      </w:r>
      <w:r w:rsidR="008E4E71" w:rsidRPr="000450BF">
        <w:rPr>
          <w:i/>
        </w:rPr>
        <w:t xml:space="preserve">. </w:t>
      </w:r>
      <w:r w:rsidR="004C5A2D" w:rsidRPr="000450BF">
        <w:rPr>
          <w:i/>
        </w:rPr>
        <w:t xml:space="preserve">In </w:t>
      </w:r>
      <w:r w:rsidR="003D1A21" w:rsidRPr="000450BF">
        <w:rPr>
          <w:i/>
        </w:rPr>
        <w:t>J</w:t>
      </w:r>
      <w:r w:rsidR="004C5A2D" w:rsidRPr="000450BF">
        <w:rPr>
          <w:i/>
        </w:rPr>
        <w:t>une</w:t>
      </w:r>
      <w:r w:rsidR="008E4E71" w:rsidRPr="000450BF">
        <w:rPr>
          <w:i/>
        </w:rPr>
        <w:t xml:space="preserve"> 2018, </w:t>
      </w:r>
      <w:r w:rsidR="004C5A2D" w:rsidRPr="000450BF">
        <w:rPr>
          <w:i/>
        </w:rPr>
        <w:t xml:space="preserve">I was coming from work with </w:t>
      </w:r>
      <w:r w:rsidR="008E4E71" w:rsidRPr="000450BF">
        <w:rPr>
          <w:i/>
        </w:rPr>
        <w:t xml:space="preserve">[…] </w:t>
      </w:r>
      <w:r w:rsidR="004C5A2D" w:rsidRPr="000450BF">
        <w:rPr>
          <w:i/>
        </w:rPr>
        <w:t xml:space="preserve">and a car </w:t>
      </w:r>
      <w:r w:rsidR="003107BF" w:rsidRPr="000450BF">
        <w:rPr>
          <w:i/>
        </w:rPr>
        <w:t>stopped,</w:t>
      </w:r>
      <w:r w:rsidR="004C5A2D" w:rsidRPr="000450BF">
        <w:rPr>
          <w:i/>
        </w:rPr>
        <w:t xml:space="preserve"> and the same person called me</w:t>
      </w:r>
      <w:r w:rsidR="008E4E71" w:rsidRPr="000450BF">
        <w:rPr>
          <w:i/>
        </w:rPr>
        <w:t xml:space="preserve"> […]</w:t>
      </w:r>
      <w:r w:rsidR="003712E3" w:rsidRPr="000450BF">
        <w:rPr>
          <w:i/>
        </w:rPr>
        <w:t>.</w:t>
      </w:r>
      <w:r w:rsidR="008E4E71" w:rsidRPr="000450BF">
        <w:rPr>
          <w:i/>
        </w:rPr>
        <w:t xml:space="preserve"> </w:t>
      </w:r>
      <w:r w:rsidR="004C5A2D" w:rsidRPr="000450BF">
        <w:rPr>
          <w:i/>
        </w:rPr>
        <w:t xml:space="preserve">I remembered his face and he told me </w:t>
      </w:r>
      <w:r w:rsidR="00925854">
        <w:rPr>
          <w:i/>
        </w:rPr>
        <w:t>‘</w:t>
      </w:r>
      <w:r w:rsidR="004C5A2D" w:rsidRPr="000450BF">
        <w:rPr>
          <w:i/>
        </w:rPr>
        <w:t>Still not</w:t>
      </w:r>
      <w:r w:rsidR="008E4E71" w:rsidRPr="000450BF">
        <w:rPr>
          <w:i/>
        </w:rPr>
        <w:t>?</w:t>
      </w:r>
      <w:r w:rsidR="00925854">
        <w:rPr>
          <w:i/>
        </w:rPr>
        <w:t>’</w:t>
      </w:r>
      <w:r w:rsidR="008E4E71" w:rsidRPr="000450BF">
        <w:rPr>
          <w:i/>
        </w:rPr>
        <w:t xml:space="preserve"> </w:t>
      </w:r>
      <w:r w:rsidR="004C5A2D" w:rsidRPr="000450BF">
        <w:rPr>
          <w:i/>
        </w:rPr>
        <w:t>and I answered</w:t>
      </w:r>
      <w:r w:rsidR="00925854">
        <w:rPr>
          <w:i/>
        </w:rPr>
        <w:t xml:space="preserve"> ‘</w:t>
      </w:r>
      <w:r w:rsidR="004C5A2D" w:rsidRPr="000450BF">
        <w:rPr>
          <w:i/>
        </w:rPr>
        <w:t xml:space="preserve">No, I still cannot because I am a </w:t>
      </w:r>
      <w:r w:rsidR="008E4E71" w:rsidRPr="000450BF">
        <w:rPr>
          <w:i/>
        </w:rPr>
        <w:t>born again</w:t>
      </w:r>
      <w:r w:rsidR="00925854">
        <w:rPr>
          <w:i/>
        </w:rPr>
        <w:t>’</w:t>
      </w:r>
      <w:r w:rsidR="008E4E71" w:rsidRPr="000450BF">
        <w:rPr>
          <w:i/>
        </w:rPr>
        <w:t>, [</w:t>
      </w:r>
      <w:r w:rsidR="004C5A2D" w:rsidRPr="000450BF">
        <w:rPr>
          <w:i/>
        </w:rPr>
        <w:t>he said</w:t>
      </w:r>
      <w:r w:rsidR="00925854">
        <w:rPr>
          <w:i/>
        </w:rPr>
        <w:t>] ‘</w:t>
      </w:r>
      <w:r w:rsidR="004C5A2D" w:rsidRPr="000450BF">
        <w:rPr>
          <w:i/>
        </w:rPr>
        <w:t xml:space="preserve">I know you </w:t>
      </w:r>
      <w:r w:rsidR="003107BF" w:rsidRPr="000450BF">
        <w:rPr>
          <w:i/>
        </w:rPr>
        <w:t>are,</w:t>
      </w:r>
      <w:r w:rsidR="004C5A2D" w:rsidRPr="000450BF">
        <w:rPr>
          <w:i/>
        </w:rPr>
        <w:t xml:space="preserve"> but you will still join us</w:t>
      </w:r>
      <w:r w:rsidR="00925854">
        <w:rPr>
          <w:i/>
        </w:rPr>
        <w:t>’.”</w:t>
      </w:r>
      <w:r w:rsidR="008E4E71" w:rsidRPr="000450BF">
        <w:rPr>
          <w:rStyle w:val="FootnoteReference"/>
        </w:rPr>
        <w:footnoteReference w:id="138"/>
      </w:r>
    </w:p>
    <w:p w14:paraId="0468EFB0" w14:textId="766F7E75" w:rsidR="008E4E71" w:rsidRPr="000450BF" w:rsidRDefault="008E4E71" w:rsidP="008E4E71">
      <w:pPr>
        <w:pStyle w:val="SingleTxtG"/>
        <w:rPr>
          <w:i/>
        </w:rPr>
      </w:pPr>
      <w:r w:rsidRPr="000450BF">
        <w:t>275.</w:t>
      </w:r>
      <w:r w:rsidRPr="000450BF">
        <w:tab/>
      </w:r>
      <w:r w:rsidR="004C5A2D" w:rsidRPr="000450BF">
        <w:t>The right to</w:t>
      </w:r>
      <w:r w:rsidR="003712E3" w:rsidRPr="000450BF">
        <w:t xml:space="preserve"> </w:t>
      </w:r>
      <w:r w:rsidR="004C5A2D" w:rsidRPr="000450BF">
        <w:t xml:space="preserve">freedom of religion also covers </w:t>
      </w:r>
      <w:r w:rsidR="007101CE">
        <w:t>“</w:t>
      </w:r>
      <w:r w:rsidR="003D1A21" w:rsidRPr="000450BF">
        <w:t>the indispensable</w:t>
      </w:r>
      <w:r w:rsidR="001B48B9" w:rsidRPr="000450BF">
        <w:t xml:space="preserve"> acts for religious groups to carry out essential </w:t>
      </w:r>
      <w:r w:rsidR="009D40CF" w:rsidRPr="000450BF">
        <w:t>activities</w:t>
      </w:r>
      <w:r w:rsidR="001B48B9" w:rsidRPr="000450BF">
        <w:t xml:space="preserve">, such as the freedom to choose their religious leaders, their priests and their </w:t>
      </w:r>
      <w:r w:rsidR="009D40CF" w:rsidRPr="000450BF">
        <w:t>teachers</w:t>
      </w:r>
      <w:r w:rsidR="00925854" w:rsidRPr="00925854">
        <w:t>”</w:t>
      </w:r>
      <w:r w:rsidR="00925854">
        <w:rPr>
          <w:i/>
        </w:rPr>
        <w:t>.</w:t>
      </w:r>
      <w:r w:rsidRPr="000450BF">
        <w:rPr>
          <w:rStyle w:val="FootnoteReference"/>
        </w:rPr>
        <w:footnoteReference w:id="139"/>
      </w:r>
    </w:p>
    <w:p w14:paraId="48BFDCBF" w14:textId="0509407D" w:rsidR="008E4E71" w:rsidRPr="000450BF" w:rsidRDefault="008E4E71" w:rsidP="008E4E71">
      <w:pPr>
        <w:pStyle w:val="SingleTxtG"/>
      </w:pPr>
      <w:r w:rsidRPr="000450BF">
        <w:t>276.</w:t>
      </w:r>
      <w:r w:rsidRPr="000450BF">
        <w:tab/>
      </w:r>
      <w:r w:rsidR="001B48B9" w:rsidRPr="000450BF">
        <w:t>On</w:t>
      </w:r>
      <w:r w:rsidRPr="000450BF">
        <w:t xml:space="preserve"> 7 </w:t>
      </w:r>
      <w:r w:rsidR="001B48B9" w:rsidRPr="000450BF">
        <w:t>May</w:t>
      </w:r>
      <w:r w:rsidRPr="000450BF">
        <w:t xml:space="preserve"> 2019, </w:t>
      </w:r>
      <w:r w:rsidR="001B48B9" w:rsidRPr="000450BF">
        <w:t xml:space="preserve">during a meeting in Mutaho, in Gitega province with the authorities within the security </w:t>
      </w:r>
      <w:r w:rsidR="001B48B9" w:rsidRPr="000450BF">
        <w:rPr>
          <w:i/>
        </w:rPr>
        <w:t>quadrilog</w:t>
      </w:r>
      <w:r w:rsidR="003712E3" w:rsidRPr="000450BF">
        <w:rPr>
          <w:i/>
        </w:rPr>
        <w:t>ie</w:t>
      </w:r>
      <w:r w:rsidR="001B48B9" w:rsidRPr="000450BF">
        <w:t xml:space="preserve"> </w:t>
      </w:r>
      <w:r w:rsidRPr="000450BF">
        <w:t xml:space="preserve">(administration, </w:t>
      </w:r>
      <w:r w:rsidR="009D40CF" w:rsidRPr="000450BF">
        <w:t>security</w:t>
      </w:r>
      <w:r w:rsidRPr="000450BF">
        <w:t xml:space="preserve">, </w:t>
      </w:r>
      <w:r w:rsidR="009D40CF" w:rsidRPr="000450BF">
        <w:t>defence</w:t>
      </w:r>
      <w:r w:rsidRPr="000450BF">
        <w:t xml:space="preserve"> </w:t>
      </w:r>
      <w:r w:rsidR="001B48B9" w:rsidRPr="000450BF">
        <w:t>and</w:t>
      </w:r>
      <w:r w:rsidRPr="000450BF">
        <w:t xml:space="preserve"> justice) </w:t>
      </w:r>
      <w:r w:rsidR="001B48B9" w:rsidRPr="000450BF">
        <w:t xml:space="preserve">to evaluate the situation in the country, the Head of State recommended that with the elections approaching, the members of the </w:t>
      </w:r>
      <w:proofErr w:type="gramStart"/>
      <w:r w:rsidR="00B86F05" w:rsidRPr="000450BF">
        <w:rPr>
          <w:i/>
        </w:rPr>
        <w:t xml:space="preserve">quadrilogie </w:t>
      </w:r>
      <w:r w:rsidR="001B48B9" w:rsidRPr="000450BF">
        <w:t xml:space="preserve"> should</w:t>
      </w:r>
      <w:proofErr w:type="gramEnd"/>
      <w:r w:rsidR="001B48B9" w:rsidRPr="000450BF">
        <w:t xml:space="preserve"> </w:t>
      </w:r>
      <w:r w:rsidR="007101CE">
        <w:t>“</w:t>
      </w:r>
      <w:r w:rsidRPr="000450BF">
        <w:t>pr</w:t>
      </w:r>
      <w:r w:rsidR="001B48B9" w:rsidRPr="000450BF">
        <w:t>event deviations in the press and the churches</w:t>
      </w:r>
      <w:r w:rsidR="007101CE">
        <w:t>”</w:t>
      </w:r>
      <w:r w:rsidR="00925854">
        <w:t>.</w:t>
      </w:r>
      <w:r w:rsidRPr="000450BF">
        <w:rPr>
          <w:rStyle w:val="FootnoteReference"/>
        </w:rPr>
        <w:footnoteReference w:id="140"/>
      </w:r>
      <w:r w:rsidRPr="000450BF">
        <w:t xml:space="preserve"> </w:t>
      </w:r>
      <w:r w:rsidR="001B48B9" w:rsidRPr="000450BF">
        <w:t xml:space="preserve">At the same time, the </w:t>
      </w:r>
      <w:r w:rsidR="007F5B89">
        <w:t>Government</w:t>
      </w:r>
      <w:r w:rsidR="001B48B9" w:rsidRPr="000450BF">
        <w:t xml:space="preserve"> sought to increase its control on diverse churches of the country, including by trying to intervene in the management of </w:t>
      </w:r>
      <w:r w:rsidR="00ED65E8" w:rsidRPr="000450BF">
        <w:t xml:space="preserve">their </w:t>
      </w:r>
      <w:r w:rsidR="001B48B9" w:rsidRPr="000450BF">
        <w:t>internal affairs, in order to create division</w:t>
      </w:r>
      <w:r w:rsidR="00B86F05" w:rsidRPr="000450BF">
        <w:t>s</w:t>
      </w:r>
      <w:r w:rsidR="001B48B9" w:rsidRPr="000450BF">
        <w:t xml:space="preserve">, in a way that is reminiscent of the divisive </w:t>
      </w:r>
      <w:r w:rsidR="00925854">
        <w:rPr>
          <w:i/>
        </w:rPr>
        <w:t>nyakurisation</w:t>
      </w:r>
      <w:r w:rsidRPr="000450BF">
        <w:t xml:space="preserve"> </w:t>
      </w:r>
      <w:r w:rsidR="0033593A" w:rsidRPr="000450BF">
        <w:t xml:space="preserve">policy </w:t>
      </w:r>
      <w:r w:rsidR="00863148" w:rsidRPr="000450BF">
        <w:t>of the opposition political parties carried out by the authorities</w:t>
      </w:r>
      <w:r w:rsidR="00925854">
        <w:t>.</w:t>
      </w:r>
      <w:r w:rsidRPr="000450BF">
        <w:rPr>
          <w:rStyle w:val="FootnoteReference"/>
        </w:rPr>
        <w:footnoteReference w:id="141"/>
      </w:r>
    </w:p>
    <w:p w14:paraId="038472DE" w14:textId="78A5C420" w:rsidR="008E4E71" w:rsidRPr="000450BF" w:rsidRDefault="008E4E71" w:rsidP="008E4E71">
      <w:pPr>
        <w:pStyle w:val="SingleTxtG"/>
      </w:pPr>
      <w:r w:rsidRPr="000450BF">
        <w:t>277.</w:t>
      </w:r>
      <w:r w:rsidRPr="000450BF">
        <w:tab/>
      </w:r>
      <w:r w:rsidR="00863148" w:rsidRPr="000450BF">
        <w:t xml:space="preserve">The </w:t>
      </w:r>
      <w:r w:rsidR="002E6630" w:rsidRPr="000450BF">
        <w:t>Burundian</w:t>
      </w:r>
      <w:r w:rsidR="0033593A">
        <w:t xml:space="preserve"> branch of the S</w:t>
      </w:r>
      <w:r w:rsidR="00873024" w:rsidRPr="000450BF">
        <w:t xml:space="preserve">eventh </w:t>
      </w:r>
      <w:r w:rsidR="00B24FC6" w:rsidRPr="000450BF">
        <w:t>Adventist</w:t>
      </w:r>
      <w:r w:rsidR="00863148" w:rsidRPr="000450BF">
        <w:t xml:space="preserve"> </w:t>
      </w:r>
      <w:r w:rsidR="0033593A">
        <w:t>C</w:t>
      </w:r>
      <w:r w:rsidR="00863148" w:rsidRPr="000450BF">
        <w:t xml:space="preserve">hurch is a </w:t>
      </w:r>
      <w:r w:rsidR="00873024" w:rsidRPr="000450BF">
        <w:t>v</w:t>
      </w:r>
      <w:r w:rsidR="00863148" w:rsidRPr="000450BF">
        <w:t xml:space="preserve">ictim of this practice. </w:t>
      </w:r>
      <w:r w:rsidRPr="000450BF">
        <w:t>Pasteur Lamec Barishinga</w:t>
      </w:r>
      <w:r w:rsidR="0033593A">
        <w:t xml:space="preserve"> was nominated at the Head of this C</w:t>
      </w:r>
      <w:r w:rsidR="00863148" w:rsidRPr="000450BF">
        <w:t>hurch by regional bodie</w:t>
      </w:r>
      <w:r w:rsidR="00873024" w:rsidRPr="000450BF">
        <w:t>s</w:t>
      </w:r>
      <w:r w:rsidR="00863148" w:rsidRPr="000450BF">
        <w:t xml:space="preserve"> in November 2018, </w:t>
      </w:r>
      <w:r w:rsidR="0033593A">
        <w:t>in accordance with</w:t>
      </w:r>
      <w:r w:rsidR="00863148" w:rsidRPr="000450BF">
        <w:t xml:space="preserve"> its internal process</w:t>
      </w:r>
      <w:r w:rsidR="00B86F05" w:rsidRPr="000450BF">
        <w:t>. On 10 May 2019, he</w:t>
      </w:r>
      <w:r w:rsidR="00863148" w:rsidRPr="000450BF">
        <w:t xml:space="preserve"> was arrested for </w:t>
      </w:r>
      <w:r w:rsidR="007101CE">
        <w:t>“</w:t>
      </w:r>
      <w:r w:rsidRPr="000450BF">
        <w:t>r</w:t>
      </w:r>
      <w:r w:rsidR="00863148" w:rsidRPr="000450BF">
        <w:t>e</w:t>
      </w:r>
      <w:r w:rsidR="00925854">
        <w:t>bellion</w:t>
      </w:r>
      <w:r w:rsidR="007101CE">
        <w:t>”</w:t>
      </w:r>
      <w:r w:rsidRPr="000450BF">
        <w:t xml:space="preserve"> </w:t>
      </w:r>
      <w:r w:rsidR="00873024" w:rsidRPr="000450BF">
        <w:t xml:space="preserve">with one of his deputies and </w:t>
      </w:r>
      <w:r w:rsidRPr="000450BF">
        <w:t xml:space="preserve">21 </w:t>
      </w:r>
      <w:r w:rsidR="00F6244A" w:rsidRPr="000450BF">
        <w:t>members of the congregation</w:t>
      </w:r>
      <w:r w:rsidR="00873024" w:rsidRPr="000450BF">
        <w:t xml:space="preserve">. In fact, the Minister of Interior refused to take act of his nomination and decided to maintain </w:t>
      </w:r>
      <w:r w:rsidR="00B24FC6" w:rsidRPr="000450BF">
        <w:t>Pastor</w:t>
      </w:r>
      <w:r w:rsidRPr="000450BF">
        <w:t xml:space="preserve"> Joseph Ndikubwayo </w:t>
      </w:r>
      <w:r w:rsidR="00873024" w:rsidRPr="000450BF">
        <w:t xml:space="preserve">as the recognised holder of that </w:t>
      </w:r>
      <w:r w:rsidRPr="000450BF">
        <w:t xml:space="preserve">position, </w:t>
      </w:r>
      <w:r w:rsidR="00873024" w:rsidRPr="000450BF">
        <w:t xml:space="preserve">whereas the latter </w:t>
      </w:r>
      <w:r w:rsidR="0033593A">
        <w:t>had been</w:t>
      </w:r>
      <w:r w:rsidR="00873024" w:rsidRPr="000450BF">
        <w:t xml:space="preserve"> revoked by the instances of the </w:t>
      </w:r>
      <w:r w:rsidR="00B24FC6" w:rsidRPr="000450BF">
        <w:t>Adventist</w:t>
      </w:r>
      <w:r w:rsidR="0033593A">
        <w:t xml:space="preserve"> C</w:t>
      </w:r>
      <w:r w:rsidR="00873024" w:rsidRPr="000450BF">
        <w:t xml:space="preserve">hurch for serious misconduct, including embezzlement of funds. Pastor </w:t>
      </w:r>
      <w:r w:rsidRPr="000450BF">
        <w:t xml:space="preserve">Joseph Ndikubwayo </w:t>
      </w:r>
      <w:r w:rsidR="00873024" w:rsidRPr="000450BF">
        <w:t xml:space="preserve">is close to power, in </w:t>
      </w:r>
      <w:r w:rsidR="00A837B3" w:rsidRPr="000450BF">
        <w:t>fact</w:t>
      </w:r>
      <w:r w:rsidR="00873024" w:rsidRPr="000450BF">
        <w:t xml:space="preserve"> he was nominated in 2016 to the National Security Council of the </w:t>
      </w:r>
      <w:r w:rsidR="007F5B89">
        <w:t>Government</w:t>
      </w:r>
      <w:r w:rsidR="00A837B3" w:rsidRPr="000450BF">
        <w:t>.</w:t>
      </w:r>
    </w:p>
    <w:p w14:paraId="0B375C35" w14:textId="4C11B81D" w:rsidR="008E4E71" w:rsidRPr="000450BF" w:rsidRDefault="008E4E71" w:rsidP="008E4E71">
      <w:pPr>
        <w:pStyle w:val="SingleTxtG"/>
      </w:pPr>
      <w:r w:rsidRPr="000450BF">
        <w:t>278.</w:t>
      </w:r>
      <w:r w:rsidRPr="000450BF">
        <w:tab/>
      </w:r>
      <w:r w:rsidR="00873024" w:rsidRPr="000450BF">
        <w:t>On 13 May</w:t>
      </w:r>
      <w:r w:rsidRPr="000450BF">
        <w:t xml:space="preserve"> 2019, Ted Wilson, </w:t>
      </w:r>
      <w:r w:rsidR="00786CD4" w:rsidRPr="000450BF">
        <w:t>P</w:t>
      </w:r>
      <w:r w:rsidR="00873024" w:rsidRPr="000450BF">
        <w:t>resident of the International Adventist Church based in the United States, publicly denounced the violations of the religious freedom of</w:t>
      </w:r>
      <w:r w:rsidR="00786CD4" w:rsidRPr="000450BF">
        <w:t xml:space="preserve"> the </w:t>
      </w:r>
      <w:r w:rsidR="0033593A">
        <w:t>C</w:t>
      </w:r>
      <w:r w:rsidR="00786CD4" w:rsidRPr="000450BF">
        <w:t xml:space="preserve">hurch by the </w:t>
      </w:r>
      <w:r w:rsidR="002E6630" w:rsidRPr="000450BF">
        <w:t>Burundian</w:t>
      </w:r>
      <w:r w:rsidR="00873024" w:rsidRPr="000450BF">
        <w:t xml:space="preserve"> authorit</w:t>
      </w:r>
      <w:r w:rsidR="005579C7" w:rsidRPr="000450BF">
        <w:t>ies wh</w:t>
      </w:r>
      <w:r w:rsidR="00873024" w:rsidRPr="000450BF">
        <w:t xml:space="preserve">o had </w:t>
      </w:r>
      <w:r w:rsidR="00D37B2A" w:rsidRPr="000450BF">
        <w:t>imprisoned</w:t>
      </w:r>
      <w:r w:rsidR="00873024" w:rsidRPr="000450BF">
        <w:t xml:space="preserve">, beaten and </w:t>
      </w:r>
      <w:r w:rsidR="00D37B2A" w:rsidRPr="000450BF">
        <w:t>intimidated</w:t>
      </w:r>
      <w:r w:rsidR="00873024" w:rsidRPr="000450BF">
        <w:t xml:space="preserve"> its leaders and its members in order to prevent </w:t>
      </w:r>
      <w:r w:rsidRPr="000450BF">
        <w:t>Past</w:t>
      </w:r>
      <w:r w:rsidR="00873024" w:rsidRPr="000450BF">
        <w:t>o</w:t>
      </w:r>
      <w:r w:rsidRPr="000450BF">
        <w:t xml:space="preserve">r Lamec Barishinga </w:t>
      </w:r>
      <w:r w:rsidR="00873024" w:rsidRPr="000450BF">
        <w:t xml:space="preserve">from taking up his functions. The pastor, his deputy and </w:t>
      </w:r>
      <w:r w:rsidR="00F6244A" w:rsidRPr="000450BF">
        <w:t>congregation members</w:t>
      </w:r>
      <w:r w:rsidR="00873024" w:rsidRPr="000450BF">
        <w:t xml:space="preserve"> were finally released at the beginning of June</w:t>
      </w:r>
      <w:r w:rsidR="0033593A">
        <w:t xml:space="preserve"> 2019</w:t>
      </w:r>
      <w:r w:rsidR="00873024" w:rsidRPr="000450BF">
        <w:t>. However, the i</w:t>
      </w:r>
      <w:r w:rsidR="0033593A">
        <w:t>nstitutional crisis within the C</w:t>
      </w:r>
      <w:r w:rsidR="00873024" w:rsidRPr="000450BF">
        <w:t xml:space="preserve">hurch is still </w:t>
      </w:r>
      <w:r w:rsidR="002F39D0" w:rsidRPr="000450BF">
        <w:t>un</w:t>
      </w:r>
      <w:r w:rsidR="00873024" w:rsidRPr="000450BF">
        <w:t>resolved</w:t>
      </w:r>
      <w:r w:rsidR="00925854">
        <w:t>.</w:t>
      </w:r>
      <w:r w:rsidRPr="000450BF">
        <w:rPr>
          <w:rStyle w:val="FootnoteReference"/>
        </w:rPr>
        <w:footnoteReference w:id="142"/>
      </w:r>
      <w:r w:rsidRPr="000450BF">
        <w:t xml:space="preserve"> </w:t>
      </w:r>
      <w:r w:rsidR="00873024" w:rsidRPr="000450BF">
        <w:t>On</w:t>
      </w:r>
      <w:r w:rsidRPr="000450BF">
        <w:t xml:space="preserve"> 28 </w:t>
      </w:r>
      <w:r w:rsidR="00873024" w:rsidRPr="000450BF">
        <w:t>July</w:t>
      </w:r>
      <w:r w:rsidRPr="000450BF">
        <w:t xml:space="preserve"> 2019, </w:t>
      </w:r>
      <w:r w:rsidR="00F6244A" w:rsidRPr="000450BF">
        <w:t xml:space="preserve">in Cibitoke </w:t>
      </w:r>
      <w:r w:rsidRPr="000450BF">
        <w:t xml:space="preserve">province </w:t>
      </w:r>
      <w:r w:rsidR="00F6244A" w:rsidRPr="000450BF">
        <w:t xml:space="preserve">at the headquarters of the evangelical mission in </w:t>
      </w:r>
      <w:r w:rsidRPr="000450BF">
        <w:t xml:space="preserve">Buganda, </w:t>
      </w:r>
      <w:proofErr w:type="gramStart"/>
      <w:r w:rsidR="00F6244A" w:rsidRPr="000450BF">
        <w:t>p</w:t>
      </w:r>
      <w:r w:rsidRPr="000450BF">
        <w:t>ast</w:t>
      </w:r>
      <w:r w:rsidR="00F6244A" w:rsidRPr="000450BF">
        <w:t>o</w:t>
      </w:r>
      <w:r w:rsidRPr="000450BF">
        <w:t>r</w:t>
      </w:r>
      <w:proofErr w:type="gramEnd"/>
      <w:r w:rsidRPr="000450BF">
        <w:t xml:space="preserve"> Joseph Ndikubwayo </w:t>
      </w:r>
      <w:r w:rsidR="00D37B2A" w:rsidRPr="000450BF">
        <w:t>arrived;</w:t>
      </w:r>
      <w:r w:rsidR="00F6244A" w:rsidRPr="000450BF">
        <w:t xml:space="preserve"> accompanied by representatives of the provincial administration and members of security forces in order to put in place the governing bodies </w:t>
      </w:r>
      <w:r w:rsidR="00077D82" w:rsidRPr="000450BF">
        <w:t>of</w:t>
      </w:r>
      <w:r w:rsidR="00F6244A" w:rsidRPr="000450BF">
        <w:t xml:space="preserve"> the mission. However, the congregation firmly opposed this attempt since they do not recognise this pastor as </w:t>
      </w:r>
      <w:r w:rsidR="0033593A">
        <w:t>the legitimate leader of their C</w:t>
      </w:r>
      <w:r w:rsidR="00F6244A" w:rsidRPr="000450BF">
        <w:t xml:space="preserve">hurch. Fighting ensued and persons were wounded. </w:t>
      </w:r>
    </w:p>
    <w:p w14:paraId="65D92183" w14:textId="2FAB87C4" w:rsidR="008E4E71" w:rsidRPr="000450BF" w:rsidRDefault="008E4E71" w:rsidP="008E4E71">
      <w:pPr>
        <w:pStyle w:val="SingleTxtG"/>
      </w:pPr>
      <w:r w:rsidRPr="000450BF">
        <w:t>279.</w:t>
      </w:r>
      <w:r w:rsidRPr="000450BF">
        <w:tab/>
      </w:r>
      <w:r w:rsidR="00F6244A" w:rsidRPr="000450BF">
        <w:t>More genera</w:t>
      </w:r>
      <w:r w:rsidR="0033593A">
        <w:t>lly, the relations between c</w:t>
      </w:r>
      <w:r w:rsidR="00F6244A" w:rsidRPr="000450BF">
        <w:t>hurch</w:t>
      </w:r>
      <w:r w:rsidR="0033593A">
        <w:t>es</w:t>
      </w:r>
      <w:r w:rsidR="00F6244A" w:rsidRPr="000450BF">
        <w:t xml:space="preserve"> and the </w:t>
      </w:r>
      <w:r w:rsidR="007F5B89">
        <w:t>Government</w:t>
      </w:r>
      <w:r w:rsidR="00F6244A" w:rsidRPr="000450BF">
        <w:t xml:space="preserve"> are tensed and </w:t>
      </w:r>
      <w:r w:rsidR="007F5B89">
        <w:t>Government</w:t>
      </w:r>
      <w:r w:rsidR="00F6244A" w:rsidRPr="000450BF">
        <w:t xml:space="preserve"> allies have warned the religious leaders in order to discourage them from uttering pronouncement that </w:t>
      </w:r>
      <w:r w:rsidR="00D37B2A" w:rsidRPr="000450BF">
        <w:t>are</w:t>
      </w:r>
      <w:r w:rsidR="00F6244A" w:rsidRPr="000450BF">
        <w:t xml:space="preserve"> either critical or of a </w:t>
      </w:r>
      <w:r w:rsidR="007101CE">
        <w:t>“</w:t>
      </w:r>
      <w:r w:rsidR="00F6244A" w:rsidRPr="000450BF">
        <w:t>political nature</w:t>
      </w:r>
      <w:r w:rsidR="007101CE">
        <w:t>”</w:t>
      </w:r>
      <w:r w:rsidR="00925854">
        <w:t>.</w:t>
      </w:r>
      <w:r w:rsidRPr="000450BF">
        <w:rPr>
          <w:rStyle w:val="FootnoteReference"/>
        </w:rPr>
        <w:footnoteReference w:id="143"/>
      </w:r>
      <w:r w:rsidRPr="000450BF">
        <w:t xml:space="preserve"> </w:t>
      </w:r>
      <w:r w:rsidR="00F6244A" w:rsidRPr="000450BF">
        <w:t>In April</w:t>
      </w:r>
      <w:r w:rsidRPr="000450BF">
        <w:t xml:space="preserve"> 2019, </w:t>
      </w:r>
      <w:r w:rsidR="00F6244A" w:rsidRPr="000450BF">
        <w:t xml:space="preserve">the catholic bishops made the decision to </w:t>
      </w:r>
      <w:r w:rsidR="00795299" w:rsidRPr="000450BF">
        <w:t xml:space="preserve">stop </w:t>
      </w:r>
      <w:r w:rsidR="007029FD" w:rsidRPr="000450BF">
        <w:t>allowing</w:t>
      </w:r>
      <w:r w:rsidR="00795299" w:rsidRPr="000450BF">
        <w:t xml:space="preserve"> speeches by political leaders during masses which are deemed incompatible with the religious mission</w:t>
      </w:r>
      <w:r w:rsidR="00925854">
        <w:t>.</w:t>
      </w:r>
      <w:r w:rsidRPr="000450BF">
        <w:rPr>
          <w:rStyle w:val="FootnoteReference"/>
        </w:rPr>
        <w:footnoteReference w:id="144"/>
      </w:r>
      <w:r w:rsidRPr="000450BF">
        <w:t xml:space="preserve"> </w:t>
      </w:r>
      <w:r w:rsidR="00795299" w:rsidRPr="000450BF">
        <w:t>On 8 June</w:t>
      </w:r>
      <w:r w:rsidRPr="000450BF">
        <w:t xml:space="preserve"> 2019, </w:t>
      </w:r>
      <w:r w:rsidR="00795299" w:rsidRPr="000450BF">
        <w:t xml:space="preserve">during demonstrations organised by the </w:t>
      </w:r>
      <w:r w:rsidR="007101CE">
        <w:t>“</w:t>
      </w:r>
      <w:r w:rsidR="00925854">
        <w:t>citizen</w:t>
      </w:r>
      <w:r w:rsidR="007101CE">
        <w:t>”</w:t>
      </w:r>
      <w:r w:rsidR="007029FD" w:rsidRPr="000450BF">
        <w:t xml:space="preserve"> </w:t>
      </w:r>
      <w:r w:rsidR="00795299" w:rsidRPr="000450BF">
        <w:t>civil society</w:t>
      </w:r>
      <w:r w:rsidR="0033593A">
        <w:t xml:space="preserve"> organisations</w:t>
      </w:r>
      <w:r w:rsidRPr="000450BF">
        <w:t xml:space="preserve">, </w:t>
      </w:r>
      <w:r w:rsidR="007029FD" w:rsidRPr="000450BF">
        <w:t xml:space="preserve">one of their representatives denounced the participation of bishops in the political life of the country, including their repeated references to the Arusha Peace </w:t>
      </w:r>
      <w:r w:rsidR="00D37B2A" w:rsidRPr="000450BF">
        <w:t>Agreement</w:t>
      </w:r>
      <w:r w:rsidR="007029FD" w:rsidRPr="000450BF">
        <w:t xml:space="preserve">. Referencing the position of some bishops in 2015 with regards to </w:t>
      </w:r>
      <w:r w:rsidR="00077D82" w:rsidRPr="000450BF">
        <w:t>President Nkurunziza’s third term</w:t>
      </w:r>
      <w:r w:rsidRPr="000450BF">
        <w:t xml:space="preserve">, </w:t>
      </w:r>
      <w:r w:rsidR="002F39D0" w:rsidRPr="000450BF">
        <w:t>specifically</w:t>
      </w:r>
      <w:r w:rsidR="007029FD" w:rsidRPr="000450BF">
        <w:t xml:space="preserve"> the Archbishop of </w:t>
      </w:r>
      <w:r w:rsidRPr="000450BF">
        <w:t>Gitega</w:t>
      </w:r>
      <w:r w:rsidR="002F39D0" w:rsidRPr="000450BF">
        <w:t>;</w:t>
      </w:r>
      <w:r w:rsidRPr="000450BF">
        <w:t xml:space="preserve"> Monseigneur Simon Ntamwana, </w:t>
      </w:r>
      <w:r w:rsidR="002F39D0" w:rsidRPr="000450BF">
        <w:t xml:space="preserve">he </w:t>
      </w:r>
      <w:r w:rsidR="007029FD" w:rsidRPr="000450BF">
        <w:t>qualified the bishops as opponents of the</w:t>
      </w:r>
      <w:r w:rsidRPr="000450BF">
        <w:t xml:space="preserve"> </w:t>
      </w:r>
      <w:r w:rsidR="007F5B89">
        <w:t>Government</w:t>
      </w:r>
      <w:r w:rsidR="003107BF" w:rsidRPr="000450BF">
        <w:t>:</w:t>
      </w:r>
    </w:p>
    <w:p w14:paraId="55E78AA3" w14:textId="581E2DA5" w:rsidR="008E4E71" w:rsidRPr="000450BF" w:rsidRDefault="007101CE" w:rsidP="008E4E71">
      <w:pPr>
        <w:pStyle w:val="SingleTxtG"/>
        <w:ind w:left="1701"/>
        <w:rPr>
          <w:i/>
        </w:rPr>
      </w:pPr>
      <w:r>
        <w:rPr>
          <w:i/>
        </w:rPr>
        <w:t>“</w:t>
      </w:r>
      <w:r w:rsidR="007029FD" w:rsidRPr="000450BF">
        <w:rPr>
          <w:i/>
        </w:rPr>
        <w:t>We want to give a message. We req</w:t>
      </w:r>
      <w:r w:rsidR="0033593A">
        <w:rPr>
          <w:i/>
        </w:rPr>
        <w:t>uest that you pass it onto the C</w:t>
      </w:r>
      <w:r w:rsidR="007029FD" w:rsidRPr="000450BF">
        <w:rPr>
          <w:i/>
        </w:rPr>
        <w:t xml:space="preserve">hurch leaders. We ask them not to teach us the Arusha </w:t>
      </w:r>
      <w:r w:rsidR="0033593A">
        <w:rPr>
          <w:i/>
        </w:rPr>
        <w:t>A</w:t>
      </w:r>
      <w:r w:rsidR="007029FD" w:rsidRPr="000450BF">
        <w:rPr>
          <w:i/>
        </w:rPr>
        <w:t>greement in churches. They should stop teaching us about war. They should not saw discord during the elections as they did in 2015</w:t>
      </w:r>
      <w:r w:rsidR="008E4E71" w:rsidRPr="000450BF">
        <w:rPr>
          <w:i/>
        </w:rPr>
        <w:t xml:space="preserve">. [...] </w:t>
      </w:r>
      <w:r w:rsidR="007029FD" w:rsidRPr="000450BF">
        <w:rPr>
          <w:i/>
        </w:rPr>
        <w:t xml:space="preserve">They opposed </w:t>
      </w:r>
      <w:r w:rsidR="0033593A">
        <w:rPr>
          <w:i/>
        </w:rPr>
        <w:t xml:space="preserve">the State and we know it. </w:t>
      </w:r>
      <w:proofErr w:type="gramStart"/>
      <w:r w:rsidR="0033593A">
        <w:rPr>
          <w:i/>
        </w:rPr>
        <w:t>Your</w:t>
      </w:r>
      <w:proofErr w:type="gramEnd"/>
      <w:r w:rsidR="0033593A">
        <w:rPr>
          <w:i/>
        </w:rPr>
        <w:t xml:space="preserve"> E</w:t>
      </w:r>
      <w:r w:rsidR="007029FD" w:rsidRPr="000450BF">
        <w:rPr>
          <w:i/>
        </w:rPr>
        <w:t>xcellency, the representative o</w:t>
      </w:r>
      <w:r w:rsidR="00E52234" w:rsidRPr="000450BF">
        <w:rPr>
          <w:i/>
        </w:rPr>
        <w:t xml:space="preserve">f the Pope here in Burundi, please communicate this message to your </w:t>
      </w:r>
      <w:r w:rsidR="00D37B2A" w:rsidRPr="000450BF">
        <w:rPr>
          <w:i/>
        </w:rPr>
        <w:t>Episcopalian</w:t>
      </w:r>
      <w:r w:rsidR="00E52234" w:rsidRPr="000450BF">
        <w:rPr>
          <w:i/>
        </w:rPr>
        <w:t xml:space="preserve"> entities here in Buru</w:t>
      </w:r>
      <w:r w:rsidR="008109EC" w:rsidRPr="000450BF">
        <w:rPr>
          <w:i/>
        </w:rPr>
        <w:t>ndi: we were surprised and s</w:t>
      </w:r>
      <w:r w:rsidR="009E4EA9" w:rsidRPr="000450BF">
        <w:rPr>
          <w:i/>
        </w:rPr>
        <w:t>hock</w:t>
      </w:r>
      <w:r w:rsidR="00E52234" w:rsidRPr="000450BF">
        <w:rPr>
          <w:i/>
        </w:rPr>
        <w:t xml:space="preserve">ed to hear a priest say to his congregation that voting for </w:t>
      </w:r>
      <w:r w:rsidR="008E4E71" w:rsidRPr="000450BF">
        <w:rPr>
          <w:i/>
        </w:rPr>
        <w:t xml:space="preserve">Nkurunziza </w:t>
      </w:r>
      <w:r w:rsidR="00E52234" w:rsidRPr="000450BF">
        <w:rPr>
          <w:i/>
        </w:rPr>
        <w:t>is the same as being a slave</w:t>
      </w:r>
      <w:r w:rsidR="008E4E71" w:rsidRPr="000450BF">
        <w:rPr>
          <w:i/>
        </w:rPr>
        <w:t>. [...]</w:t>
      </w:r>
      <w:r w:rsidR="00E52234" w:rsidRPr="000450BF">
        <w:rPr>
          <w:i/>
        </w:rPr>
        <w:t xml:space="preserve">And that is not all, there are also pastors. You know it. Do not say that we only denounce one group. There are also pastors who preached </w:t>
      </w:r>
      <w:r w:rsidR="0033593A">
        <w:rPr>
          <w:i/>
        </w:rPr>
        <w:t>fasle</w:t>
      </w:r>
      <w:r w:rsidR="00E52234" w:rsidRPr="000450BF">
        <w:rPr>
          <w:i/>
        </w:rPr>
        <w:t xml:space="preserve"> news. They were </w:t>
      </w:r>
      <w:r w:rsidR="008E4E71" w:rsidRPr="000450BF">
        <w:rPr>
          <w:i/>
        </w:rPr>
        <w:t>PDC [</w:t>
      </w:r>
      <w:r w:rsidR="00D37B2A" w:rsidRPr="000450BF">
        <w:rPr>
          <w:i/>
        </w:rPr>
        <w:t>Party</w:t>
      </w:r>
      <w:r w:rsidR="008E4E71" w:rsidRPr="000450BF">
        <w:rPr>
          <w:i/>
        </w:rPr>
        <w:t xml:space="preserve"> Démocrate-Chrétien]. </w:t>
      </w:r>
      <w:r w:rsidR="00E52234" w:rsidRPr="000450BF">
        <w:rPr>
          <w:i/>
        </w:rPr>
        <w:t xml:space="preserve">They spread fear amongst </w:t>
      </w:r>
      <w:r w:rsidR="002E6630" w:rsidRPr="000450BF">
        <w:rPr>
          <w:i/>
        </w:rPr>
        <w:t>Burundian</w:t>
      </w:r>
      <w:r w:rsidR="00E52234" w:rsidRPr="000450BF">
        <w:rPr>
          <w:i/>
        </w:rPr>
        <w:t xml:space="preserve">s by saying that blood would flow, that no one should pray for </w:t>
      </w:r>
      <w:r w:rsidR="008E4E71" w:rsidRPr="000450BF">
        <w:rPr>
          <w:i/>
        </w:rPr>
        <w:t xml:space="preserve">Burundi, </w:t>
      </w:r>
      <w:r w:rsidR="00D556DF" w:rsidRPr="000450BF">
        <w:rPr>
          <w:i/>
        </w:rPr>
        <w:t>that there is a war</w:t>
      </w:r>
      <w:r>
        <w:rPr>
          <w:i/>
        </w:rPr>
        <w:t>”</w:t>
      </w:r>
      <w:r w:rsidR="00925854">
        <w:rPr>
          <w:i/>
        </w:rPr>
        <w:t>.</w:t>
      </w:r>
      <w:r w:rsidR="008E4E71" w:rsidRPr="000450BF">
        <w:rPr>
          <w:rStyle w:val="FootnoteReference"/>
        </w:rPr>
        <w:footnoteReference w:id="145"/>
      </w:r>
    </w:p>
    <w:p w14:paraId="2EBE6635" w14:textId="5A6C2463" w:rsidR="008E4E71" w:rsidRPr="000450BF" w:rsidRDefault="008E4E71" w:rsidP="008E4E71">
      <w:pPr>
        <w:pStyle w:val="SingleTxtG"/>
      </w:pPr>
      <w:r w:rsidRPr="000450BF">
        <w:t>280.</w:t>
      </w:r>
      <w:r w:rsidRPr="000450BF">
        <w:tab/>
      </w:r>
      <w:r w:rsidR="00077D82" w:rsidRPr="000450BF">
        <w:t>Nevertheless, o</w:t>
      </w:r>
      <w:r w:rsidR="00D556DF" w:rsidRPr="000450BF">
        <w:t>n</w:t>
      </w:r>
      <w:r w:rsidRPr="000450BF">
        <w:t xml:space="preserve"> 11 </w:t>
      </w:r>
      <w:r w:rsidR="00D556DF" w:rsidRPr="000450BF">
        <w:t xml:space="preserve">June 2019, the Conference </w:t>
      </w:r>
      <w:r w:rsidR="0033593A">
        <w:t>of Catholic B</w:t>
      </w:r>
      <w:r w:rsidR="009E4EA9" w:rsidRPr="000450BF">
        <w:t>ishop</w:t>
      </w:r>
      <w:r w:rsidR="0033593A">
        <w:t>s</w:t>
      </w:r>
      <w:r w:rsidR="009E4EA9" w:rsidRPr="000450BF">
        <w:t xml:space="preserve"> in Burundi </w:t>
      </w:r>
      <w:r w:rsidR="00EE3C6E" w:rsidRPr="000450BF">
        <w:t>decided</w:t>
      </w:r>
      <w:r w:rsidR="009E4EA9" w:rsidRPr="000450BF">
        <w:t xml:space="preserve"> to express its concern in relation to </w:t>
      </w:r>
      <w:r w:rsidR="007101CE">
        <w:t>“</w:t>
      </w:r>
      <w:r w:rsidR="009E4EA9" w:rsidRPr="000450BF">
        <w:t xml:space="preserve">the progressive increase of political intolerance which </w:t>
      </w:r>
      <w:r w:rsidRPr="000450BF">
        <w:t xml:space="preserve">[…] </w:t>
      </w:r>
      <w:r w:rsidR="009E4EA9" w:rsidRPr="000450BF">
        <w:t>seems to be the reason behind clashes and deaths</w:t>
      </w:r>
      <w:r w:rsidR="007101CE">
        <w:t>”</w:t>
      </w:r>
      <w:r w:rsidR="00925854">
        <w:t>.</w:t>
      </w:r>
      <w:r w:rsidRPr="000450BF">
        <w:rPr>
          <w:rStyle w:val="FootnoteReference"/>
        </w:rPr>
        <w:footnoteReference w:id="146"/>
      </w:r>
    </w:p>
    <w:p w14:paraId="5963D4AC" w14:textId="22CABDD6" w:rsidR="008E4E71" w:rsidRPr="000450BF" w:rsidRDefault="008E4E71" w:rsidP="008E4E71">
      <w:pPr>
        <w:pStyle w:val="SingleTxtG"/>
      </w:pPr>
      <w:r w:rsidRPr="000450BF">
        <w:t>281.</w:t>
      </w:r>
      <w:r w:rsidRPr="000450BF">
        <w:tab/>
      </w:r>
      <w:r w:rsidR="008425FC" w:rsidRPr="000450BF">
        <w:t>On</w:t>
      </w:r>
      <w:r w:rsidRPr="000450BF">
        <w:t xml:space="preserve"> 15 </w:t>
      </w:r>
      <w:r w:rsidR="008425FC" w:rsidRPr="000450BF">
        <w:t>August</w:t>
      </w:r>
      <w:r w:rsidRPr="000450BF">
        <w:t xml:space="preserve"> 2019, </w:t>
      </w:r>
      <w:r w:rsidR="008425FC" w:rsidRPr="000450BF">
        <w:t xml:space="preserve">during the celebration that marked the catholic </w:t>
      </w:r>
      <w:r w:rsidR="0033593A">
        <w:t>holid</w:t>
      </w:r>
      <w:r w:rsidR="00CE596D" w:rsidRPr="000450BF">
        <w:t xml:space="preserve">ay of </w:t>
      </w:r>
      <w:r w:rsidR="002F39D0" w:rsidRPr="000450BF">
        <w:t>A</w:t>
      </w:r>
      <w:r w:rsidR="00CE596D" w:rsidRPr="000450BF">
        <w:t>ss</w:t>
      </w:r>
      <w:r w:rsidR="004236B5" w:rsidRPr="000450BF">
        <w:t>u</w:t>
      </w:r>
      <w:r w:rsidR="00CE596D" w:rsidRPr="000450BF">
        <w:t xml:space="preserve">mption </w:t>
      </w:r>
      <w:r w:rsidR="002F1036" w:rsidRPr="000450BF">
        <w:t xml:space="preserve">at the Mugera sanctuary in the </w:t>
      </w:r>
      <w:r w:rsidR="00CE596D" w:rsidRPr="000450BF">
        <w:t xml:space="preserve">province of </w:t>
      </w:r>
      <w:r w:rsidRPr="000450BF">
        <w:t xml:space="preserve">Gitega, </w:t>
      </w:r>
      <w:r w:rsidR="002F1036" w:rsidRPr="000450BF">
        <w:t>the</w:t>
      </w:r>
      <w:r w:rsidRPr="000450BF">
        <w:t xml:space="preserve"> </w:t>
      </w:r>
      <w:r w:rsidR="0033593A">
        <w:t>President of the N</w:t>
      </w:r>
      <w:r w:rsidR="002F1036" w:rsidRPr="000450BF">
        <w:t xml:space="preserve">ational </w:t>
      </w:r>
      <w:r w:rsidR="0033593A">
        <w:t>A</w:t>
      </w:r>
      <w:r w:rsidR="004200DD" w:rsidRPr="000450BF">
        <w:t>ssembly, Pascal</w:t>
      </w:r>
      <w:r w:rsidRPr="000450BF">
        <w:t xml:space="preserve"> Nyabenda,</w:t>
      </w:r>
      <w:r w:rsidR="0033593A">
        <w:t xml:space="preserve"> urged the C</w:t>
      </w:r>
      <w:r w:rsidR="002F1036" w:rsidRPr="000450BF">
        <w:t>hurch authorities not to meddle in politics and to remain neutral as t</w:t>
      </w:r>
      <w:r w:rsidR="0033593A">
        <w:t>hey deliver their sermons. The B</w:t>
      </w:r>
      <w:r w:rsidR="002F1036" w:rsidRPr="000450BF">
        <w:t>ishop of the Muyinga diocese</w:t>
      </w:r>
      <w:r w:rsidRPr="000450BF">
        <w:t xml:space="preserve">, Monseigneur Joachim Ntahondereye, </w:t>
      </w:r>
      <w:r w:rsidR="002F1036" w:rsidRPr="000450BF">
        <w:t xml:space="preserve">responded to him </w:t>
      </w:r>
      <w:r w:rsidR="0033593A">
        <w:t>by saying that the duty of the C</w:t>
      </w:r>
      <w:r w:rsidR="002F1036" w:rsidRPr="000450BF">
        <w:t>hurch is to faithful</w:t>
      </w:r>
      <w:r w:rsidR="00924C4D" w:rsidRPr="000450BF">
        <w:t>ly</w:t>
      </w:r>
      <w:r w:rsidR="002F1036" w:rsidRPr="000450BF">
        <w:t xml:space="preserve"> preach the word of </w:t>
      </w:r>
      <w:r w:rsidR="004200DD" w:rsidRPr="000450BF">
        <w:t>God</w:t>
      </w:r>
      <w:r w:rsidR="002F1036" w:rsidRPr="000450BF">
        <w:t xml:space="preserve"> </w:t>
      </w:r>
      <w:r w:rsidR="00924C4D" w:rsidRPr="000450BF">
        <w:t>e</w:t>
      </w:r>
      <w:r w:rsidR="002F1036" w:rsidRPr="000450BF">
        <w:t>ven when the latter hurts</w:t>
      </w:r>
      <w:r w:rsidRPr="000450BF">
        <w:t>.</w:t>
      </w:r>
      <w:r w:rsidRPr="000450BF">
        <w:rPr>
          <w:rStyle w:val="FootnoteReference"/>
        </w:rPr>
        <w:footnoteReference w:id="147"/>
      </w:r>
    </w:p>
    <w:p w14:paraId="65E2A705" w14:textId="63D96A3B" w:rsidR="008E4E71" w:rsidRPr="000450BF" w:rsidRDefault="008E4E71" w:rsidP="008E4E71">
      <w:pPr>
        <w:pStyle w:val="H4G"/>
      </w:pPr>
      <w:r w:rsidRPr="000450BF">
        <w:tab/>
        <w:t>f)</w:t>
      </w:r>
      <w:r w:rsidRPr="000450BF">
        <w:tab/>
      </w:r>
      <w:r w:rsidR="002F1036" w:rsidRPr="000450BF">
        <w:t xml:space="preserve">The right to take part in the conduct of public affairs </w:t>
      </w:r>
    </w:p>
    <w:p w14:paraId="432E512B" w14:textId="7E0AB734" w:rsidR="008E4E71" w:rsidRPr="000450BF" w:rsidRDefault="008E4E71" w:rsidP="008E4E71">
      <w:pPr>
        <w:pStyle w:val="SingleTxtG"/>
      </w:pPr>
      <w:r w:rsidRPr="000450BF">
        <w:t>282.</w:t>
      </w:r>
      <w:r w:rsidRPr="000450BF">
        <w:tab/>
      </w:r>
      <w:r w:rsidR="002F1036" w:rsidRPr="000450BF">
        <w:t xml:space="preserve">The right to take part in the conduct of public affairs </w:t>
      </w:r>
      <w:r w:rsidR="00AF09B0" w:rsidRPr="000450BF">
        <w:t xml:space="preserve">is guaranteed by </w:t>
      </w:r>
      <w:r w:rsidR="00B63247" w:rsidRPr="000450BF">
        <w:t xml:space="preserve">the </w:t>
      </w:r>
      <w:r w:rsidR="005F68FA">
        <w:t>i</w:t>
      </w:r>
      <w:r w:rsidR="00AF09B0" w:rsidRPr="000450BF">
        <w:t xml:space="preserve">nternational </w:t>
      </w:r>
      <w:r w:rsidR="005F68FA">
        <w:t>h</w:t>
      </w:r>
      <w:r w:rsidR="00AF09B0" w:rsidRPr="000450BF">
        <w:t xml:space="preserve">uman </w:t>
      </w:r>
      <w:r w:rsidR="005F68FA">
        <w:t>r</w:t>
      </w:r>
      <w:r w:rsidR="00AF09B0" w:rsidRPr="000450BF">
        <w:t xml:space="preserve">ights </w:t>
      </w:r>
      <w:r w:rsidR="005F68FA">
        <w:t>l</w:t>
      </w:r>
      <w:r w:rsidR="00AF09B0" w:rsidRPr="000450BF">
        <w:t>aw</w:t>
      </w:r>
      <w:r w:rsidR="00925854">
        <w:t>.</w:t>
      </w:r>
      <w:r w:rsidRPr="000450BF">
        <w:rPr>
          <w:rStyle w:val="FootnoteReference"/>
        </w:rPr>
        <w:footnoteReference w:id="148"/>
      </w:r>
      <w:r w:rsidRPr="000450BF">
        <w:t xml:space="preserve"> </w:t>
      </w:r>
      <w:r w:rsidR="00AF09B0" w:rsidRPr="000450BF">
        <w:t>It includes the right to vote and to be elected, and the right to</w:t>
      </w:r>
      <w:r w:rsidR="00B63247" w:rsidRPr="000450BF">
        <w:t xml:space="preserve"> have access to public </w:t>
      </w:r>
      <w:r w:rsidR="005F68FA">
        <w:t>service</w:t>
      </w:r>
      <w:r w:rsidR="00925854">
        <w:t>.</w:t>
      </w:r>
      <w:r w:rsidRPr="000450BF">
        <w:rPr>
          <w:rStyle w:val="FootnoteReference"/>
        </w:rPr>
        <w:footnoteReference w:id="149"/>
      </w:r>
      <w:r w:rsidRPr="000450BF">
        <w:t xml:space="preserve"> </w:t>
      </w:r>
      <w:r w:rsidR="00AF09B0" w:rsidRPr="000450BF">
        <w:t xml:space="preserve">However, the </w:t>
      </w:r>
      <w:r w:rsidR="002E6630" w:rsidRPr="000450BF">
        <w:t>Burundian</w:t>
      </w:r>
      <w:r w:rsidR="00AF09B0" w:rsidRPr="000450BF">
        <w:t xml:space="preserve"> legal framework is not fully compatible with international human rights law and the </w:t>
      </w:r>
      <w:r w:rsidRPr="000450BF">
        <w:t xml:space="preserve">Commission </w:t>
      </w:r>
      <w:r w:rsidR="00AF09B0" w:rsidRPr="000450BF">
        <w:t>has</w:t>
      </w:r>
      <w:r w:rsidRPr="000450BF">
        <w:t xml:space="preserve"> </w:t>
      </w:r>
      <w:r w:rsidR="00AF09B0" w:rsidRPr="000450BF">
        <w:t xml:space="preserve">documented violations of the right to vote freely in the context of the constitutional referendum of May </w:t>
      </w:r>
      <w:r w:rsidRPr="000450BF">
        <w:t>2018.</w:t>
      </w:r>
    </w:p>
    <w:p w14:paraId="62ECBD1B" w14:textId="42E872DA" w:rsidR="008E4E71" w:rsidRPr="000450BF" w:rsidRDefault="008E4E71" w:rsidP="008E4E71">
      <w:pPr>
        <w:pStyle w:val="H56G"/>
      </w:pPr>
      <w:r w:rsidRPr="000450BF">
        <w:tab/>
      </w:r>
      <w:r w:rsidRPr="000450BF">
        <w:tab/>
        <w:t>(i)</w:t>
      </w:r>
      <w:r w:rsidRPr="000450BF">
        <w:tab/>
      </w:r>
      <w:r w:rsidR="000546B5" w:rsidRPr="000450BF">
        <w:t>The</w:t>
      </w:r>
      <w:r w:rsidR="00C54A17" w:rsidRPr="000450BF">
        <w:t xml:space="preserve"> right</w:t>
      </w:r>
      <w:r w:rsidR="003771BD" w:rsidRPr="000450BF">
        <w:t xml:space="preserve"> to stand as </w:t>
      </w:r>
      <w:r w:rsidR="00924C4D" w:rsidRPr="000450BF">
        <w:t xml:space="preserve">a </w:t>
      </w:r>
      <w:r w:rsidR="003771BD" w:rsidRPr="000450BF">
        <w:t xml:space="preserve">candidate for election and to be elected to office </w:t>
      </w:r>
    </w:p>
    <w:p w14:paraId="2F1F9086" w14:textId="34269137" w:rsidR="008E4E71" w:rsidRPr="000450BF" w:rsidRDefault="008E4E71" w:rsidP="008E4E71">
      <w:pPr>
        <w:pStyle w:val="SingleTxtG"/>
      </w:pPr>
      <w:r w:rsidRPr="000450BF">
        <w:t>283.</w:t>
      </w:r>
      <w:r w:rsidRPr="000450BF">
        <w:tab/>
      </w:r>
      <w:r w:rsidR="003771BD" w:rsidRPr="000450BF">
        <w:t>In</w:t>
      </w:r>
      <w:r w:rsidRPr="000450BF">
        <w:t xml:space="preserve"> Burundi, </w:t>
      </w:r>
      <w:r w:rsidR="00573C4F">
        <w:t>a new Electoral</w:t>
      </w:r>
      <w:r w:rsidR="003771BD" w:rsidRPr="000450BF">
        <w:t xml:space="preserve"> </w:t>
      </w:r>
      <w:r w:rsidR="00573C4F">
        <w:t>C</w:t>
      </w:r>
      <w:r w:rsidR="003771BD" w:rsidRPr="000450BF">
        <w:t xml:space="preserve">ode was promulgated </w:t>
      </w:r>
      <w:r w:rsidR="004200DD" w:rsidRPr="000450BF">
        <w:t>on 20</w:t>
      </w:r>
      <w:r w:rsidRPr="000450BF">
        <w:t xml:space="preserve"> </w:t>
      </w:r>
      <w:r w:rsidR="004200DD" w:rsidRPr="000450BF">
        <w:t>May</w:t>
      </w:r>
      <w:r w:rsidRPr="000450BF">
        <w:t xml:space="preserve"> 2019</w:t>
      </w:r>
      <w:r w:rsidR="007B7AFD">
        <w:t>,</w:t>
      </w:r>
      <w:r w:rsidRPr="000450BF">
        <w:rPr>
          <w:rStyle w:val="FootnoteReference"/>
        </w:rPr>
        <w:footnoteReference w:id="150"/>
      </w:r>
      <w:proofErr w:type="gramStart"/>
      <w:r w:rsidRPr="000450BF">
        <w:t>,</w:t>
      </w:r>
      <w:proofErr w:type="gramEnd"/>
      <w:r w:rsidRPr="000450BF">
        <w:t xml:space="preserve"> </w:t>
      </w:r>
      <w:r w:rsidR="003771BD" w:rsidRPr="000450BF">
        <w:t xml:space="preserve">less than a year before the </w:t>
      </w:r>
      <w:r w:rsidR="00647433" w:rsidRPr="000450BF">
        <w:t>forthcoming</w:t>
      </w:r>
      <w:r w:rsidR="005B4C50" w:rsidRPr="000450BF">
        <w:t xml:space="preserve"> elections</w:t>
      </w:r>
      <w:r w:rsidR="003771BD" w:rsidRPr="000450BF">
        <w:t xml:space="preserve"> of </w:t>
      </w:r>
      <w:r w:rsidRPr="000450BF">
        <w:t xml:space="preserve">2020. </w:t>
      </w:r>
      <w:r w:rsidR="00573C4F">
        <w:t>Officially, this new Electoral C</w:t>
      </w:r>
      <w:r w:rsidR="003771BD" w:rsidRPr="000450BF">
        <w:t xml:space="preserve">ode was justified by the need </w:t>
      </w:r>
      <w:r w:rsidR="00794FE7" w:rsidRPr="000450BF">
        <w:t xml:space="preserve">to </w:t>
      </w:r>
      <w:r w:rsidR="005A77A1" w:rsidRPr="000450BF">
        <w:t xml:space="preserve">conform </w:t>
      </w:r>
      <w:r w:rsidR="004F661A" w:rsidRPr="000450BF">
        <w:t xml:space="preserve">to the law </w:t>
      </w:r>
      <w:r w:rsidR="00FC4B91" w:rsidRPr="000450BF">
        <w:t xml:space="preserve">regulating the </w:t>
      </w:r>
      <w:r w:rsidR="00180C63" w:rsidRPr="000450BF">
        <w:t xml:space="preserve">elections with the new </w:t>
      </w:r>
      <w:r w:rsidRPr="000450BF">
        <w:t xml:space="preserve">Constitution </w:t>
      </w:r>
      <w:r w:rsidR="00C83E3F" w:rsidRPr="000450BF">
        <w:t xml:space="preserve">promulgated on 7 June </w:t>
      </w:r>
      <w:r w:rsidRPr="000450BF">
        <w:t xml:space="preserve">2018. </w:t>
      </w:r>
      <w:r w:rsidR="00573C4F">
        <w:t>This new Electoral C</w:t>
      </w:r>
      <w:r w:rsidR="00797478" w:rsidRPr="000450BF">
        <w:t xml:space="preserve">ode </w:t>
      </w:r>
      <w:r w:rsidR="0084064B" w:rsidRPr="000450BF">
        <w:t xml:space="preserve">imposed </w:t>
      </w:r>
      <w:r w:rsidR="00220629" w:rsidRPr="000450BF">
        <w:t xml:space="preserve">significant </w:t>
      </w:r>
      <w:r w:rsidR="00AB5576" w:rsidRPr="000450BF">
        <w:t xml:space="preserve">restrictions </w:t>
      </w:r>
      <w:r w:rsidR="009D1E86" w:rsidRPr="000450BF">
        <w:t>to independent candidates</w:t>
      </w:r>
      <w:r w:rsidR="00D70549" w:rsidRPr="000450BF">
        <w:t xml:space="preserve"> to be recognised as </w:t>
      </w:r>
      <w:r w:rsidR="009230D2" w:rsidRPr="000450BF">
        <w:t>such;</w:t>
      </w:r>
      <w:r w:rsidR="00B55163" w:rsidRPr="000450BF">
        <w:t xml:space="preserve"> </w:t>
      </w:r>
      <w:r w:rsidR="00D70549" w:rsidRPr="000450BF">
        <w:t xml:space="preserve">as well as </w:t>
      </w:r>
      <w:r w:rsidR="00B36858" w:rsidRPr="000450BF">
        <w:t xml:space="preserve">in relation </w:t>
      </w:r>
      <w:r w:rsidR="00225332" w:rsidRPr="000450BF">
        <w:t>to sta</w:t>
      </w:r>
      <w:r w:rsidR="00C5184C" w:rsidRPr="000450BF">
        <w:t>n</w:t>
      </w:r>
      <w:r w:rsidR="00C73A01" w:rsidRPr="000450BF">
        <w:t xml:space="preserve">ding for elections at any </w:t>
      </w:r>
      <w:r w:rsidR="00466F25" w:rsidRPr="000450BF">
        <w:t xml:space="preserve">level </w:t>
      </w:r>
      <w:r w:rsidR="00BA6843" w:rsidRPr="000450BF">
        <w:t>(</w:t>
      </w:r>
      <w:r w:rsidR="009230D2" w:rsidRPr="000450BF">
        <w:t>presidency</w:t>
      </w:r>
      <w:r w:rsidR="00BA6843" w:rsidRPr="000450BF">
        <w:t xml:space="preserve">, </w:t>
      </w:r>
      <w:r w:rsidRPr="000450BF">
        <w:t>parl</w:t>
      </w:r>
      <w:r w:rsidR="00BA6843" w:rsidRPr="000450BF">
        <w:t>ia</w:t>
      </w:r>
      <w:r w:rsidRPr="000450BF">
        <w:t xml:space="preserve">ment, commune </w:t>
      </w:r>
      <w:r w:rsidR="00BA6843" w:rsidRPr="000450BF">
        <w:t xml:space="preserve">and </w:t>
      </w:r>
      <w:r w:rsidRPr="000450BF">
        <w:rPr>
          <w:i/>
        </w:rPr>
        <w:t>colline</w:t>
      </w:r>
      <w:r w:rsidRPr="000450BF">
        <w:t xml:space="preserve">) </w:t>
      </w:r>
      <w:r w:rsidR="001277DA" w:rsidRPr="000450BF">
        <w:t xml:space="preserve">and being elected to office. </w:t>
      </w:r>
      <w:r w:rsidR="00B55163" w:rsidRPr="000450BF">
        <w:t xml:space="preserve">Given the </w:t>
      </w:r>
      <w:r w:rsidR="007C5AE6" w:rsidRPr="000450BF">
        <w:t>strict authorisation regime for political parties in place in Burundi</w:t>
      </w:r>
      <w:r w:rsidR="00702FC4" w:rsidRPr="000450BF">
        <w:t xml:space="preserve"> as well as the phenomenon of separation and division that they are prey to</w:t>
      </w:r>
      <w:r w:rsidR="007B7AFD">
        <w:t>,</w:t>
      </w:r>
      <w:r w:rsidRPr="000450BF">
        <w:rPr>
          <w:rStyle w:val="FootnoteReference"/>
        </w:rPr>
        <w:footnoteReference w:id="151"/>
      </w:r>
      <w:r w:rsidRPr="000450BF">
        <w:t xml:space="preserve"> </w:t>
      </w:r>
      <w:r w:rsidR="00B71E3B" w:rsidRPr="000450BF">
        <w:t xml:space="preserve">the possibility of having independent candidates </w:t>
      </w:r>
      <w:r w:rsidR="002B51C1" w:rsidRPr="000450BF">
        <w:t xml:space="preserve">is </w:t>
      </w:r>
      <w:r w:rsidR="009230D2" w:rsidRPr="000450BF">
        <w:t>nevertheless</w:t>
      </w:r>
      <w:r w:rsidR="002B51C1" w:rsidRPr="000450BF">
        <w:t xml:space="preserve"> particu</w:t>
      </w:r>
      <w:r w:rsidRPr="000450BF">
        <w:t>la</w:t>
      </w:r>
      <w:r w:rsidR="002B51C1" w:rsidRPr="000450BF">
        <w:t xml:space="preserve">rly important. </w:t>
      </w:r>
    </w:p>
    <w:p w14:paraId="68F824BE" w14:textId="0AE2142D" w:rsidR="008E4E71" w:rsidRPr="000450BF" w:rsidRDefault="008E4E71" w:rsidP="008E4E71">
      <w:pPr>
        <w:pStyle w:val="SingleTxtG"/>
      </w:pPr>
      <w:r w:rsidRPr="000450BF">
        <w:t>284.</w:t>
      </w:r>
      <w:r w:rsidRPr="000450BF">
        <w:tab/>
      </w:r>
      <w:r w:rsidR="00DE0025" w:rsidRPr="000450BF">
        <w:t xml:space="preserve">The </w:t>
      </w:r>
      <w:r w:rsidR="00573C4F">
        <w:t>C</w:t>
      </w:r>
      <w:r w:rsidR="00DE0025" w:rsidRPr="000450BF">
        <w:t xml:space="preserve">ode drastically limits persons </w:t>
      </w:r>
      <w:r w:rsidR="00F4193C" w:rsidRPr="000450BF">
        <w:t xml:space="preserve">who can claim the title </w:t>
      </w:r>
      <w:r w:rsidR="00573C4F">
        <w:t>of “</w:t>
      </w:r>
      <w:r w:rsidR="00F4193C" w:rsidRPr="000450BF">
        <w:t>independent</w:t>
      </w:r>
      <w:r w:rsidR="00573C4F">
        <w:t>”</w:t>
      </w:r>
      <w:r w:rsidR="00F4193C" w:rsidRPr="000450BF">
        <w:t xml:space="preserve">, as it requires </w:t>
      </w:r>
      <w:r w:rsidR="00924C4D" w:rsidRPr="000450BF">
        <w:t xml:space="preserve">the </w:t>
      </w:r>
      <w:r w:rsidR="00FB49A6" w:rsidRPr="000450BF">
        <w:t xml:space="preserve">non adherence to a political party for </w:t>
      </w:r>
      <w:r w:rsidR="0098736F" w:rsidRPr="000450BF">
        <w:t>more than a</w:t>
      </w:r>
      <w:r w:rsidR="00FB49A6" w:rsidRPr="000450BF">
        <w:t xml:space="preserve"> year</w:t>
      </w:r>
      <w:r w:rsidR="008632FB" w:rsidRPr="000450BF">
        <w:t xml:space="preserve">, and no leadership role </w:t>
      </w:r>
      <w:r w:rsidR="00620C97" w:rsidRPr="000450BF">
        <w:t>in a political party for</w:t>
      </w:r>
      <w:r w:rsidR="0098736F" w:rsidRPr="000450BF">
        <w:t xml:space="preserve"> more than two years.</w:t>
      </w:r>
      <w:r w:rsidRPr="000450BF">
        <w:t xml:space="preserve"> </w:t>
      </w:r>
      <w:r w:rsidR="00C51AC2" w:rsidRPr="000450BF">
        <w:t>It</w:t>
      </w:r>
      <w:r w:rsidR="005F768F" w:rsidRPr="000450BF">
        <w:t xml:space="preserve"> also requires one to have asserted </w:t>
      </w:r>
      <w:r w:rsidR="007101CE">
        <w:t>“</w:t>
      </w:r>
      <w:r w:rsidR="00B57861" w:rsidRPr="000450BF">
        <w:t>his independence from the usual political cleavages by proposing a personal social project</w:t>
      </w:r>
      <w:r w:rsidR="007101CE">
        <w:t>”</w:t>
      </w:r>
      <w:r w:rsidRPr="000450BF">
        <w:t xml:space="preserve">. </w:t>
      </w:r>
      <w:r w:rsidR="00C51AC2" w:rsidRPr="000450BF">
        <w:t xml:space="preserve">The </w:t>
      </w:r>
      <w:r w:rsidRPr="000450BF">
        <w:t xml:space="preserve">coalitions </w:t>
      </w:r>
      <w:r w:rsidR="00C51AC2" w:rsidRPr="000450BF">
        <w:t xml:space="preserve">of </w:t>
      </w:r>
      <w:r w:rsidR="00924C4D" w:rsidRPr="000450BF">
        <w:t>i</w:t>
      </w:r>
      <w:r w:rsidR="00FA7410" w:rsidRPr="000450BF">
        <w:t>ndependent candidates are not authorised</w:t>
      </w:r>
      <w:r w:rsidR="007B7AFD">
        <w:t>.</w:t>
      </w:r>
      <w:r w:rsidRPr="000450BF">
        <w:rPr>
          <w:rStyle w:val="FootnoteReference"/>
        </w:rPr>
        <w:footnoteReference w:id="152"/>
      </w:r>
      <w:r w:rsidRPr="000450BF">
        <w:t xml:space="preserve"> </w:t>
      </w:r>
      <w:r w:rsidR="00AA47B5" w:rsidRPr="000450BF">
        <w:t>This reinforces the control of political parties on their members</w:t>
      </w:r>
      <w:r w:rsidRPr="000450BF">
        <w:t xml:space="preserve">, </w:t>
      </w:r>
      <w:r w:rsidR="0048265D" w:rsidRPr="000450BF">
        <w:t xml:space="preserve">as they can prevent internal disagreement knowing that an exclusion from the party </w:t>
      </w:r>
      <w:r w:rsidRPr="000450BF">
        <w:t>(</w:t>
      </w:r>
      <w:r w:rsidR="00394626" w:rsidRPr="000450BF">
        <w:t>or threat of exclusion</w:t>
      </w:r>
      <w:r w:rsidRPr="000450BF">
        <w:t xml:space="preserve">) </w:t>
      </w:r>
      <w:r w:rsidR="00394626" w:rsidRPr="000450BF">
        <w:t>within 1 or 2 years of an upcoming election</w:t>
      </w:r>
      <w:r w:rsidRPr="000450BF">
        <w:t xml:space="preserve">, </w:t>
      </w:r>
      <w:r w:rsidR="00394626" w:rsidRPr="000450BF">
        <w:t xml:space="preserve">means that the person </w:t>
      </w:r>
      <w:r w:rsidR="00D913D7" w:rsidRPr="000450BF">
        <w:t>will not have the right to stand as a candidate</w:t>
      </w:r>
      <w:r w:rsidRPr="000450BF">
        <w:t xml:space="preserve">, </w:t>
      </w:r>
      <w:r w:rsidR="00D913D7" w:rsidRPr="000450BF">
        <w:t>even independently</w:t>
      </w:r>
      <w:r w:rsidRPr="000450BF">
        <w:t>.</w:t>
      </w:r>
    </w:p>
    <w:p w14:paraId="12A6727B" w14:textId="0004828A" w:rsidR="008E4E71" w:rsidRPr="000450BF" w:rsidRDefault="008E4E71" w:rsidP="008E4E71">
      <w:pPr>
        <w:pStyle w:val="SingleTxtG"/>
      </w:pPr>
      <w:r w:rsidRPr="000450BF">
        <w:t>285.</w:t>
      </w:r>
      <w:r w:rsidRPr="000450BF">
        <w:tab/>
      </w:r>
      <w:r w:rsidR="00924C4D" w:rsidRPr="000450BF">
        <w:t>The e</w:t>
      </w:r>
      <w:r w:rsidR="00EE54A9" w:rsidRPr="000450BF">
        <w:t>lection</w:t>
      </w:r>
      <w:r w:rsidRPr="000450BF">
        <w:t xml:space="preserve"> </w:t>
      </w:r>
      <w:r w:rsidR="00D22639" w:rsidRPr="000450BF">
        <w:t>of parliamentarians is done</w:t>
      </w:r>
      <w:r w:rsidR="004F1146" w:rsidRPr="000450BF">
        <w:t xml:space="preserve"> by</w:t>
      </w:r>
      <w:r w:rsidR="00D22639" w:rsidRPr="000450BF">
        <w:t xml:space="preserve"> proportiona</w:t>
      </w:r>
      <w:r w:rsidR="004F1146" w:rsidRPr="000450BF">
        <w:t>l representation</w:t>
      </w:r>
      <w:r w:rsidRPr="000450BF">
        <w:t xml:space="preserve">. </w:t>
      </w:r>
      <w:r w:rsidR="00924C4D" w:rsidRPr="000450BF">
        <w:t>I</w:t>
      </w:r>
      <w:r w:rsidR="00D22639" w:rsidRPr="000450BF">
        <w:t>n order to be elected as a representative</w:t>
      </w:r>
      <w:r w:rsidRPr="000450BF">
        <w:t xml:space="preserve">, </w:t>
      </w:r>
      <w:r w:rsidR="0081558D" w:rsidRPr="000450BF">
        <w:t xml:space="preserve">an independent candidate must have obtained more than </w:t>
      </w:r>
      <w:r w:rsidRPr="000450BF">
        <w:t>40</w:t>
      </w:r>
      <w:r w:rsidR="007B7AFD">
        <w:t> </w:t>
      </w:r>
      <w:r w:rsidRPr="000450BF">
        <w:t xml:space="preserve">% </w:t>
      </w:r>
      <w:r w:rsidR="003A0FFC" w:rsidRPr="000450BF">
        <w:t>of</w:t>
      </w:r>
      <w:r w:rsidR="0081558D" w:rsidRPr="000450BF">
        <w:t xml:space="preserve"> the votes </w:t>
      </w:r>
      <w:r w:rsidR="003A0FFC" w:rsidRPr="000450BF">
        <w:t xml:space="preserve">in the electoral </w:t>
      </w:r>
      <w:r w:rsidR="00924C4D" w:rsidRPr="000450BF">
        <w:t>constituency</w:t>
      </w:r>
      <w:r w:rsidRPr="000450BF">
        <w:t xml:space="preserve"> </w:t>
      </w:r>
      <w:r w:rsidR="00AD025A" w:rsidRPr="000450BF">
        <w:t>in which he stood</w:t>
      </w:r>
      <w:r w:rsidRPr="000450BF">
        <w:t xml:space="preserve">, </w:t>
      </w:r>
      <w:r w:rsidR="00AD025A" w:rsidRPr="000450BF">
        <w:t xml:space="preserve">which seems thoroughly </w:t>
      </w:r>
      <w:r w:rsidR="009B1205" w:rsidRPr="000450BF">
        <w:t xml:space="preserve">unrealistic in the context of a proportional suffrage </w:t>
      </w:r>
      <w:r w:rsidR="00376AD5" w:rsidRPr="000450BF">
        <w:t>in which ind</w:t>
      </w:r>
      <w:r w:rsidR="00914281" w:rsidRPr="000450BF">
        <w:t>e</w:t>
      </w:r>
      <w:r w:rsidR="00376AD5" w:rsidRPr="000450BF">
        <w:t>pendent coalitions are prohibited</w:t>
      </w:r>
      <w:r w:rsidRPr="000450BF">
        <w:t xml:space="preserve">. </w:t>
      </w:r>
      <w:r w:rsidR="00914281" w:rsidRPr="000450BF">
        <w:t>C</w:t>
      </w:r>
      <w:r w:rsidR="00376AD5" w:rsidRPr="000450BF">
        <w:t xml:space="preserve">andidates affiliated </w:t>
      </w:r>
      <w:r w:rsidR="00914281" w:rsidRPr="000450BF">
        <w:t>to</w:t>
      </w:r>
      <w:r w:rsidR="00703904" w:rsidRPr="000450BF">
        <w:t xml:space="preserve"> political parties or </w:t>
      </w:r>
      <w:r w:rsidR="00914281" w:rsidRPr="000450BF">
        <w:t>to</w:t>
      </w:r>
      <w:r w:rsidR="00703904" w:rsidRPr="000450BF">
        <w:t xml:space="preserve"> coalitions of political parties must</w:t>
      </w:r>
      <w:r w:rsidR="00914281" w:rsidRPr="000450BF">
        <w:t>,</w:t>
      </w:r>
      <w:r w:rsidR="00703904" w:rsidRPr="000450BF">
        <w:t xml:space="preserve"> for their part</w:t>
      </w:r>
      <w:r w:rsidR="00914281" w:rsidRPr="000450BF">
        <w:t>,</w:t>
      </w:r>
      <w:r w:rsidR="00703904" w:rsidRPr="000450BF">
        <w:t xml:space="preserve"> </w:t>
      </w:r>
      <w:r w:rsidR="00F86345" w:rsidRPr="000450BF">
        <w:t>obtain only 2</w:t>
      </w:r>
      <w:r w:rsidR="007B7AFD">
        <w:t> </w:t>
      </w:r>
      <w:r w:rsidR="00F86345" w:rsidRPr="000450BF">
        <w:t xml:space="preserve">% of the votes cast </w:t>
      </w:r>
      <w:r w:rsidR="00914281" w:rsidRPr="000450BF">
        <w:t>a</w:t>
      </w:r>
      <w:r w:rsidR="00DD20A1" w:rsidRPr="000450BF">
        <w:t xml:space="preserve">t the </w:t>
      </w:r>
      <w:r w:rsidRPr="000450BF">
        <w:t xml:space="preserve">national </w:t>
      </w:r>
      <w:r w:rsidR="00DD20A1" w:rsidRPr="000450BF">
        <w:t xml:space="preserve">level </w:t>
      </w:r>
      <w:r w:rsidR="007E1F0A" w:rsidRPr="000450BF">
        <w:t>in order to be elected</w:t>
      </w:r>
      <w:r w:rsidR="007B7AFD">
        <w:t>.</w:t>
      </w:r>
      <w:r w:rsidRPr="000450BF">
        <w:rPr>
          <w:rStyle w:val="FootnoteReference"/>
        </w:rPr>
        <w:footnoteReference w:id="153"/>
      </w:r>
      <w:r w:rsidRPr="000450BF">
        <w:t xml:space="preserve"> CENI </w:t>
      </w:r>
      <w:r w:rsidR="00914281" w:rsidRPr="000450BF">
        <w:t>h</w:t>
      </w:r>
      <w:r w:rsidR="00F73AD7" w:rsidRPr="000450BF">
        <w:t xml:space="preserve">as the capacity to nominate </w:t>
      </w:r>
      <w:r w:rsidR="00666993" w:rsidRPr="000450BF">
        <w:t xml:space="preserve">representatives amongst political parties </w:t>
      </w:r>
      <w:r w:rsidR="00880EEF" w:rsidRPr="000450BF">
        <w:t xml:space="preserve">that have obtained at least </w:t>
      </w:r>
      <w:r w:rsidRPr="000450BF">
        <w:t>2</w:t>
      </w:r>
      <w:r w:rsidR="007B7AFD">
        <w:t> </w:t>
      </w:r>
      <w:r w:rsidRPr="000450BF">
        <w:t xml:space="preserve">% </w:t>
      </w:r>
      <w:r w:rsidR="00880EEF" w:rsidRPr="000450BF">
        <w:t xml:space="preserve">of the votes, in order to </w:t>
      </w:r>
      <w:r w:rsidR="00245E5D" w:rsidRPr="000450BF">
        <w:t>guarantee</w:t>
      </w:r>
      <w:r w:rsidR="00880EEF" w:rsidRPr="000450BF">
        <w:t xml:space="preserve"> the respect of </w:t>
      </w:r>
      <w:r w:rsidR="00A25B62" w:rsidRPr="000450BF">
        <w:t>ethnic and gender quotas imposed by the</w:t>
      </w:r>
      <w:r w:rsidRPr="000450BF">
        <w:t xml:space="preserve"> Constitution (60</w:t>
      </w:r>
      <w:r w:rsidR="007B7AFD">
        <w:t> </w:t>
      </w:r>
      <w:r w:rsidRPr="000450BF">
        <w:t>% Hutus, 40</w:t>
      </w:r>
      <w:r w:rsidR="007B7AFD">
        <w:t> </w:t>
      </w:r>
      <w:r w:rsidRPr="000450BF">
        <w:t xml:space="preserve">% Tutsis </w:t>
      </w:r>
      <w:r w:rsidR="006A789A" w:rsidRPr="000450BF">
        <w:t xml:space="preserve">with a minimum of </w:t>
      </w:r>
      <w:r w:rsidRPr="000450BF">
        <w:t>30</w:t>
      </w:r>
      <w:r w:rsidR="007B7AFD">
        <w:t> </w:t>
      </w:r>
      <w:r w:rsidRPr="000450BF">
        <w:t xml:space="preserve">% </w:t>
      </w:r>
      <w:r w:rsidR="006A789A" w:rsidRPr="000450BF">
        <w:t>women</w:t>
      </w:r>
      <w:r w:rsidRPr="000450BF">
        <w:t>)</w:t>
      </w:r>
      <w:r w:rsidR="007B7AFD">
        <w:t>.</w:t>
      </w:r>
      <w:r w:rsidRPr="000450BF">
        <w:rPr>
          <w:rStyle w:val="FootnoteReference"/>
        </w:rPr>
        <w:footnoteReference w:id="154"/>
      </w:r>
    </w:p>
    <w:p w14:paraId="168289EA" w14:textId="1BA2F1C2" w:rsidR="008E4E71" w:rsidRPr="000450BF" w:rsidRDefault="008E4E71" w:rsidP="008E4E71">
      <w:pPr>
        <w:pStyle w:val="SingleTxtG"/>
      </w:pPr>
      <w:r w:rsidRPr="000450BF">
        <w:t>286.</w:t>
      </w:r>
      <w:r w:rsidRPr="000450BF">
        <w:tab/>
      </w:r>
      <w:r w:rsidR="006A789A" w:rsidRPr="000450BF">
        <w:t xml:space="preserve">In order to </w:t>
      </w:r>
      <w:r w:rsidR="00914281" w:rsidRPr="000450BF">
        <w:t>b</w:t>
      </w:r>
      <w:r w:rsidR="00356C6A" w:rsidRPr="000450BF">
        <w:t xml:space="preserve">e elected </w:t>
      </w:r>
      <w:r w:rsidR="00914281" w:rsidRPr="000450BF">
        <w:t>to</w:t>
      </w:r>
      <w:r w:rsidR="00356C6A" w:rsidRPr="000450BF">
        <w:t xml:space="preserve"> </w:t>
      </w:r>
      <w:r w:rsidR="00E678A0" w:rsidRPr="000450BF">
        <w:t xml:space="preserve">a position of </w:t>
      </w:r>
      <w:r w:rsidR="0040337C">
        <w:t>S</w:t>
      </w:r>
      <w:r w:rsidR="00E678A0" w:rsidRPr="000450BF">
        <w:t>enator</w:t>
      </w:r>
      <w:r w:rsidR="00914281" w:rsidRPr="000450BF">
        <w:t>;</w:t>
      </w:r>
      <w:r w:rsidR="00E678A0" w:rsidRPr="000450BF">
        <w:t xml:space="preserve"> the candidates</w:t>
      </w:r>
      <w:r w:rsidR="00914281" w:rsidRPr="000450BF">
        <w:t>;</w:t>
      </w:r>
      <w:r w:rsidR="00E678A0" w:rsidRPr="000450BF">
        <w:t xml:space="preserve"> w</w:t>
      </w:r>
      <w:r w:rsidR="00914281" w:rsidRPr="000450BF">
        <w:t>he</w:t>
      </w:r>
      <w:r w:rsidR="00E678A0" w:rsidRPr="000450BF">
        <w:t>ther independ</w:t>
      </w:r>
      <w:r w:rsidR="00914281" w:rsidRPr="000450BF">
        <w:t>e</w:t>
      </w:r>
      <w:r w:rsidR="00E678A0" w:rsidRPr="000450BF">
        <w:t>nt or members of political parties</w:t>
      </w:r>
      <w:r w:rsidR="00914281" w:rsidRPr="000450BF">
        <w:t>;</w:t>
      </w:r>
      <w:r w:rsidR="00E678A0" w:rsidRPr="000450BF">
        <w:t xml:space="preserve"> </w:t>
      </w:r>
      <w:r w:rsidR="00503A23" w:rsidRPr="000450BF">
        <w:t xml:space="preserve">must obtain more than </w:t>
      </w:r>
      <w:r w:rsidRPr="000450BF">
        <w:t>50</w:t>
      </w:r>
      <w:r w:rsidR="007B7AFD">
        <w:t> </w:t>
      </w:r>
      <w:r w:rsidRPr="000450BF">
        <w:t xml:space="preserve">% </w:t>
      </w:r>
      <w:r w:rsidR="00503A23" w:rsidRPr="000450BF">
        <w:t xml:space="preserve">of cast votes </w:t>
      </w:r>
      <w:r w:rsidR="00153672" w:rsidRPr="000450BF">
        <w:t xml:space="preserve">in the electoral </w:t>
      </w:r>
      <w:r w:rsidR="00924C4D" w:rsidRPr="000450BF">
        <w:t>constituency</w:t>
      </w:r>
      <w:r w:rsidRPr="000450BF">
        <w:t xml:space="preserve"> </w:t>
      </w:r>
      <w:r w:rsidR="00153672" w:rsidRPr="000450BF">
        <w:t>during the first two turns and</w:t>
      </w:r>
      <w:r w:rsidR="00914281" w:rsidRPr="000450BF">
        <w:t>,</w:t>
      </w:r>
      <w:r w:rsidR="00153672" w:rsidRPr="000450BF">
        <w:t xml:space="preserve"> from the </w:t>
      </w:r>
      <w:r w:rsidR="00914281" w:rsidRPr="000450BF">
        <w:t>thi</w:t>
      </w:r>
      <w:r w:rsidR="00153672" w:rsidRPr="000450BF">
        <w:t>rd turn</w:t>
      </w:r>
      <w:r w:rsidR="00B32D3B" w:rsidRPr="000450BF">
        <w:t>, the majority of votes cast</w:t>
      </w:r>
      <w:r w:rsidR="007B7AFD">
        <w:t>.</w:t>
      </w:r>
      <w:r w:rsidRPr="000450BF">
        <w:rPr>
          <w:rStyle w:val="FootnoteReference"/>
        </w:rPr>
        <w:footnoteReference w:id="155"/>
      </w:r>
    </w:p>
    <w:p w14:paraId="28F19673" w14:textId="302FE74A" w:rsidR="008E4E71" w:rsidRPr="000450BF" w:rsidRDefault="008E4E71" w:rsidP="008E4E71">
      <w:pPr>
        <w:pStyle w:val="SingleTxtG"/>
      </w:pPr>
      <w:r w:rsidRPr="000450BF">
        <w:t>287.</w:t>
      </w:r>
      <w:r w:rsidRPr="000450BF">
        <w:tab/>
      </w:r>
      <w:r w:rsidR="00145CE0" w:rsidRPr="000450BF">
        <w:t xml:space="preserve">The independent candidates at the National Assembly or the Senate do not have the right </w:t>
      </w:r>
      <w:r w:rsidR="004E7952" w:rsidRPr="000450BF">
        <w:t xml:space="preserve">to have a </w:t>
      </w:r>
      <w:r w:rsidR="00914281" w:rsidRPr="000450BF">
        <w:t>deputy</w:t>
      </w:r>
      <w:r w:rsidRPr="000450BF">
        <w:t xml:space="preserve"> </w:t>
      </w:r>
      <w:r w:rsidR="004E7952" w:rsidRPr="000450BF">
        <w:t>and in case their seat bec</w:t>
      </w:r>
      <w:r w:rsidR="00914281" w:rsidRPr="000450BF">
        <w:t>o</w:t>
      </w:r>
      <w:r w:rsidR="004E7952" w:rsidRPr="000450BF">
        <w:t>me vacant</w:t>
      </w:r>
      <w:r w:rsidR="00914281" w:rsidRPr="000450BF">
        <w:t>;</w:t>
      </w:r>
      <w:r w:rsidR="004E7952" w:rsidRPr="000450BF">
        <w:t xml:space="preserve"> it will be attributed </w:t>
      </w:r>
      <w:r w:rsidR="008363F9" w:rsidRPr="000450BF">
        <w:t xml:space="preserve">by </w:t>
      </w:r>
      <w:r w:rsidRPr="000450BF">
        <w:t xml:space="preserve">CENI </w:t>
      </w:r>
      <w:r w:rsidR="00527420" w:rsidRPr="000450BF">
        <w:t xml:space="preserve">to a </w:t>
      </w:r>
      <w:r w:rsidRPr="000450BF">
        <w:t>candidat</w:t>
      </w:r>
      <w:r w:rsidR="00527420" w:rsidRPr="000450BF">
        <w:t>e</w:t>
      </w:r>
      <w:r w:rsidR="00996551" w:rsidRPr="000450BF">
        <w:t xml:space="preserve"> </w:t>
      </w:r>
      <w:r w:rsidR="00914281" w:rsidRPr="000450BF">
        <w:t>o</w:t>
      </w:r>
      <w:r w:rsidR="00996551" w:rsidRPr="000450BF">
        <w:t xml:space="preserve">n the list of one of the political parties </w:t>
      </w:r>
      <w:r w:rsidR="009721AF" w:rsidRPr="000450BF">
        <w:t>that obtained the least votes during the elections, without</w:t>
      </w:r>
      <w:r w:rsidR="00386495" w:rsidRPr="000450BF">
        <w:t xml:space="preserve"> </w:t>
      </w:r>
      <w:r w:rsidR="009721AF" w:rsidRPr="000450BF">
        <w:t>organis</w:t>
      </w:r>
      <w:r w:rsidR="00386495" w:rsidRPr="000450BF">
        <w:t>ing</w:t>
      </w:r>
      <w:r w:rsidR="009721AF" w:rsidRPr="000450BF">
        <w:t xml:space="preserve"> partial </w:t>
      </w:r>
      <w:r w:rsidR="00386495" w:rsidRPr="000450BF">
        <w:t>elections</w:t>
      </w:r>
      <w:r w:rsidR="007B7AFD">
        <w:t>.</w:t>
      </w:r>
      <w:r w:rsidRPr="000450BF">
        <w:rPr>
          <w:rStyle w:val="FootnoteReference"/>
        </w:rPr>
        <w:footnoteReference w:id="156"/>
      </w:r>
    </w:p>
    <w:p w14:paraId="57257558" w14:textId="33FA2F40" w:rsidR="008E4E71" w:rsidRPr="000450BF" w:rsidRDefault="008E4E71" w:rsidP="008E4E71">
      <w:pPr>
        <w:pStyle w:val="SingleTxtG"/>
      </w:pPr>
      <w:r w:rsidRPr="000450BF">
        <w:t>288.</w:t>
      </w:r>
      <w:r w:rsidRPr="000450BF">
        <w:tab/>
      </w:r>
      <w:r w:rsidR="001858A7">
        <w:t xml:space="preserve">Members of </w:t>
      </w:r>
      <w:r w:rsidR="00CD73A8" w:rsidRPr="000450BF">
        <w:t xml:space="preserve">the communal </w:t>
      </w:r>
      <w:r w:rsidR="001858A7">
        <w:t>councils</w:t>
      </w:r>
      <w:r w:rsidR="00CD73A8" w:rsidRPr="000450BF">
        <w:t xml:space="preserve"> are also elected </w:t>
      </w:r>
      <w:r w:rsidR="001858A7">
        <w:t>by</w:t>
      </w:r>
      <w:r w:rsidR="00CD73A8" w:rsidRPr="000450BF">
        <w:t xml:space="preserve"> proportion</w:t>
      </w:r>
      <w:r w:rsidR="001858A7">
        <w:t>al representation</w:t>
      </w:r>
      <w:r w:rsidR="00F33186" w:rsidRPr="000450BF">
        <w:t>;</w:t>
      </w:r>
      <w:r w:rsidR="00CD73A8" w:rsidRPr="000450BF">
        <w:t xml:space="preserve"> and an independent candidate must obtain more than 10</w:t>
      </w:r>
      <w:r w:rsidR="007B7AFD">
        <w:t> </w:t>
      </w:r>
      <w:r w:rsidR="00CD73A8" w:rsidRPr="000450BF">
        <w:t xml:space="preserve">% </w:t>
      </w:r>
      <w:r w:rsidR="00817E2B" w:rsidRPr="000450BF">
        <w:t xml:space="preserve">of the votes cast; as opposed to only 2% </w:t>
      </w:r>
      <w:r w:rsidR="00914281" w:rsidRPr="000450BF">
        <w:t>for</w:t>
      </w:r>
      <w:r w:rsidR="00817E2B" w:rsidRPr="000450BF">
        <w:t xml:space="preserve"> candidates </w:t>
      </w:r>
      <w:r w:rsidR="00914281" w:rsidRPr="000450BF">
        <w:t>put forward by</w:t>
      </w:r>
      <w:r w:rsidR="00817E2B" w:rsidRPr="000450BF">
        <w:t xml:space="preserve"> political parties</w:t>
      </w:r>
      <w:r w:rsidR="007B7AFD">
        <w:t>.</w:t>
      </w:r>
      <w:r w:rsidRPr="000450BF">
        <w:rPr>
          <w:rStyle w:val="FootnoteReference"/>
        </w:rPr>
        <w:footnoteReference w:id="157"/>
      </w:r>
    </w:p>
    <w:p w14:paraId="53139A51" w14:textId="7EB7D940" w:rsidR="008E4E71" w:rsidRPr="000450BF" w:rsidRDefault="008E4E71" w:rsidP="008E4E71">
      <w:pPr>
        <w:pStyle w:val="SingleTxtG"/>
      </w:pPr>
      <w:r w:rsidRPr="000450BF">
        <w:t>289.</w:t>
      </w:r>
      <w:r w:rsidRPr="000450BF">
        <w:tab/>
      </w:r>
      <w:r w:rsidR="00711675" w:rsidRPr="000450BF">
        <w:t xml:space="preserve">With regards to the financial guarantees required to stand for an election, the independent candidates </w:t>
      </w:r>
      <w:r w:rsidR="00106B73" w:rsidRPr="000450BF">
        <w:t xml:space="preserve">are treated in a discriminatory manner in this area as well in order to stand for elections </w:t>
      </w:r>
      <w:r w:rsidR="004E3358" w:rsidRPr="000450BF">
        <w:t xml:space="preserve">at the National Assembly. </w:t>
      </w:r>
      <w:r w:rsidR="003D648C" w:rsidRPr="000450BF">
        <w:t>T</w:t>
      </w:r>
      <w:r w:rsidR="004E3358" w:rsidRPr="000450BF">
        <w:t xml:space="preserve">he </w:t>
      </w:r>
      <w:r w:rsidR="003D648C" w:rsidRPr="000450BF">
        <w:t>deposit</w:t>
      </w:r>
      <w:r w:rsidRPr="000450BF">
        <w:t xml:space="preserve"> </w:t>
      </w:r>
      <w:r w:rsidR="003D648C" w:rsidRPr="000450BF">
        <w:t xml:space="preserve">of </w:t>
      </w:r>
      <w:r w:rsidRPr="000450BF">
        <w:t>500</w:t>
      </w:r>
      <w:r w:rsidR="003D648C" w:rsidRPr="000450BF">
        <w:t>,</w:t>
      </w:r>
      <w:r w:rsidRPr="000450BF">
        <w:t xml:space="preserve">000 </w:t>
      </w:r>
      <w:r w:rsidR="003D648C" w:rsidRPr="000450BF">
        <w:t>B</w:t>
      </w:r>
      <w:r w:rsidRPr="000450BF">
        <w:t>urund</w:t>
      </w:r>
      <w:r w:rsidR="003D648C" w:rsidRPr="000450BF">
        <w:t xml:space="preserve">ian francs </w:t>
      </w:r>
      <w:r w:rsidRPr="000450BF">
        <w:t>(</w:t>
      </w:r>
      <w:r w:rsidR="003D648C" w:rsidRPr="000450BF">
        <w:t xml:space="preserve">approximately </w:t>
      </w:r>
      <w:r w:rsidRPr="000450BF">
        <w:t xml:space="preserve">270 </w:t>
      </w:r>
      <w:r w:rsidR="007B7AFD">
        <w:t>US</w:t>
      </w:r>
      <w:r w:rsidR="003D648C" w:rsidRPr="000450BF">
        <w:t xml:space="preserve"> </w:t>
      </w:r>
      <w:r w:rsidRPr="000450BF">
        <w:t xml:space="preserve">dollars) </w:t>
      </w:r>
      <w:r w:rsidR="004E3358" w:rsidRPr="000450BF">
        <w:t xml:space="preserve">is </w:t>
      </w:r>
      <w:r w:rsidR="00DF3330" w:rsidRPr="000450BF">
        <w:t xml:space="preserve">refunded </w:t>
      </w:r>
      <w:r w:rsidR="003D648C" w:rsidRPr="000450BF">
        <w:t xml:space="preserve">only </w:t>
      </w:r>
      <w:r w:rsidR="00DF3330" w:rsidRPr="000450BF">
        <w:t>if the independent candidate obtains 40</w:t>
      </w:r>
      <w:r w:rsidR="007B7AFD">
        <w:t> </w:t>
      </w:r>
      <w:r w:rsidR="00DF3330" w:rsidRPr="000450BF">
        <w:t xml:space="preserve">% of the cast votes </w:t>
      </w:r>
      <w:r w:rsidR="003D648C" w:rsidRPr="000450BF">
        <w:t>in the</w:t>
      </w:r>
      <w:r w:rsidRPr="000450BF">
        <w:t xml:space="preserve"> </w:t>
      </w:r>
      <w:r w:rsidR="00924C4D" w:rsidRPr="000450BF">
        <w:t>constituency</w:t>
      </w:r>
      <w:r w:rsidRPr="000450BF">
        <w:t>,</w:t>
      </w:r>
      <w:r w:rsidR="00CD22BB" w:rsidRPr="000450BF">
        <w:t xml:space="preserve"> whereas candidates from political parties can be reimbursed </w:t>
      </w:r>
      <w:r w:rsidR="0056321D" w:rsidRPr="000450BF">
        <w:t>for the</w:t>
      </w:r>
      <w:r w:rsidR="00721453" w:rsidRPr="000450BF">
        <w:t>ir</w:t>
      </w:r>
      <w:r w:rsidR="0056321D" w:rsidRPr="000450BF">
        <w:t xml:space="preserve"> guarantee if the party obtains 2</w:t>
      </w:r>
      <w:r w:rsidR="007B7AFD">
        <w:t> </w:t>
      </w:r>
      <w:r w:rsidR="0056321D" w:rsidRPr="000450BF">
        <w:t xml:space="preserve">% </w:t>
      </w:r>
      <w:r w:rsidR="003D648C" w:rsidRPr="000450BF">
        <w:t xml:space="preserve">of the </w:t>
      </w:r>
      <w:r w:rsidR="0056321D" w:rsidRPr="000450BF">
        <w:t>votes at the national level</w:t>
      </w:r>
      <w:r w:rsidR="007B7AFD">
        <w:t>.</w:t>
      </w:r>
      <w:r w:rsidRPr="000450BF">
        <w:rPr>
          <w:rStyle w:val="FootnoteReference"/>
        </w:rPr>
        <w:footnoteReference w:id="158"/>
      </w:r>
      <w:r w:rsidRPr="000450BF">
        <w:t xml:space="preserve"> </w:t>
      </w:r>
      <w:r w:rsidR="003D648C" w:rsidRPr="000450BF">
        <w:t>For</w:t>
      </w:r>
      <w:r w:rsidR="00721453" w:rsidRPr="000450BF">
        <w:t xml:space="preserve"> presidential </w:t>
      </w:r>
      <w:r w:rsidR="007A7376" w:rsidRPr="000450BF">
        <w:t>election, the</w:t>
      </w:r>
      <w:r w:rsidR="00052F65" w:rsidRPr="000450BF">
        <w:t xml:space="preserve"> required financial guarantee was doubled </w:t>
      </w:r>
      <w:r w:rsidR="00EE2779" w:rsidRPr="000450BF">
        <w:t xml:space="preserve">and is now at </w:t>
      </w:r>
      <w:r w:rsidR="003D648C" w:rsidRPr="000450BF">
        <w:t>thirty</w:t>
      </w:r>
      <w:r w:rsidRPr="000450BF">
        <w:t xml:space="preserve"> million </w:t>
      </w:r>
      <w:r w:rsidR="003D648C" w:rsidRPr="000450BF">
        <w:t xml:space="preserve">Burundian francs </w:t>
      </w:r>
      <w:r w:rsidRPr="000450BF">
        <w:t>(</w:t>
      </w:r>
      <w:bookmarkStart w:id="8" w:name="_Hlk25519637"/>
      <w:r w:rsidR="003D648C" w:rsidRPr="000450BF">
        <w:t>approximately</w:t>
      </w:r>
      <w:bookmarkEnd w:id="8"/>
      <w:r w:rsidR="003D648C" w:rsidRPr="000450BF">
        <w:t xml:space="preserve"> </w:t>
      </w:r>
      <w:r w:rsidRPr="000450BF">
        <w:t>17</w:t>
      </w:r>
      <w:r w:rsidR="003D648C" w:rsidRPr="000450BF">
        <w:t>,</w:t>
      </w:r>
      <w:r w:rsidRPr="000450BF">
        <w:t xml:space="preserve">000 </w:t>
      </w:r>
      <w:r w:rsidR="007B7AFD">
        <w:t>US</w:t>
      </w:r>
      <w:r w:rsidR="003D648C" w:rsidRPr="000450BF">
        <w:t xml:space="preserve"> dollars</w:t>
      </w:r>
      <w:r w:rsidRPr="000450BF">
        <w:t xml:space="preserve">), </w:t>
      </w:r>
      <w:r w:rsidR="00EE2779" w:rsidRPr="000450BF">
        <w:t xml:space="preserve">which will be reimbursed to all the candidates </w:t>
      </w:r>
      <w:r w:rsidR="009D441F" w:rsidRPr="000450BF">
        <w:t xml:space="preserve">including independent candidates who are declared ineligible by </w:t>
      </w:r>
      <w:r w:rsidRPr="000450BF">
        <w:t xml:space="preserve">CENI </w:t>
      </w:r>
      <w:r w:rsidR="003D648C" w:rsidRPr="000450BF">
        <w:t>o</w:t>
      </w:r>
      <w:r w:rsidR="00621323" w:rsidRPr="000450BF">
        <w:t>r who obtained at least 5</w:t>
      </w:r>
      <w:r w:rsidR="007B7AFD">
        <w:t> </w:t>
      </w:r>
      <w:r w:rsidR="00621323" w:rsidRPr="000450BF">
        <w:t xml:space="preserve">% of the votes cast </w:t>
      </w:r>
      <w:r w:rsidR="003D648C" w:rsidRPr="000450BF">
        <w:t>during</w:t>
      </w:r>
      <w:r w:rsidR="00621323" w:rsidRPr="000450BF">
        <w:t xml:space="preserve"> the first round</w:t>
      </w:r>
      <w:r w:rsidR="007B7AFD">
        <w:t>.</w:t>
      </w:r>
      <w:r w:rsidRPr="000450BF">
        <w:rPr>
          <w:rStyle w:val="FootnoteReference"/>
        </w:rPr>
        <w:footnoteReference w:id="159"/>
      </w:r>
      <w:r w:rsidRPr="000450BF">
        <w:t xml:space="preserve"> </w:t>
      </w:r>
      <w:r w:rsidR="0082281B" w:rsidRPr="000450BF">
        <w:t>T</w:t>
      </w:r>
      <w:r w:rsidR="00982A74" w:rsidRPr="000450BF">
        <w:t xml:space="preserve">he </w:t>
      </w:r>
      <w:r w:rsidR="0082281B" w:rsidRPr="000450BF">
        <w:t xml:space="preserve">deposit of </w:t>
      </w:r>
      <w:r w:rsidRPr="000450BF">
        <w:t>400</w:t>
      </w:r>
      <w:r w:rsidR="0082281B" w:rsidRPr="000450BF">
        <w:t>,</w:t>
      </w:r>
      <w:r w:rsidRPr="000450BF">
        <w:t xml:space="preserve">000 </w:t>
      </w:r>
      <w:r w:rsidR="003D648C" w:rsidRPr="000450BF">
        <w:t xml:space="preserve">Burundian francs </w:t>
      </w:r>
      <w:r w:rsidRPr="000450BF">
        <w:t>(</w:t>
      </w:r>
      <w:r w:rsidR="003D648C" w:rsidRPr="000450BF">
        <w:t>approximately</w:t>
      </w:r>
      <w:r w:rsidRPr="000450BF">
        <w:t xml:space="preserve"> 220 </w:t>
      </w:r>
      <w:r w:rsidR="007B7AFD">
        <w:t>US</w:t>
      </w:r>
      <w:r w:rsidR="003D648C" w:rsidRPr="000450BF">
        <w:t xml:space="preserve"> dollars</w:t>
      </w:r>
      <w:r w:rsidRPr="000450BF">
        <w:t xml:space="preserve">) </w:t>
      </w:r>
      <w:r w:rsidR="00982A74" w:rsidRPr="000450BF">
        <w:t>for the election to the Senate</w:t>
      </w:r>
      <w:r w:rsidR="0082281B" w:rsidRPr="000450BF">
        <w:t xml:space="preserve"> </w:t>
      </w:r>
      <w:r w:rsidR="00FC6054" w:rsidRPr="000450BF">
        <w:t>is reimbursed to all the candidates who obtain</w:t>
      </w:r>
      <w:r w:rsidRPr="000450BF">
        <w:t xml:space="preserve"> 5</w:t>
      </w:r>
      <w:r w:rsidR="007B7AFD">
        <w:t> </w:t>
      </w:r>
      <w:r w:rsidRPr="000450BF">
        <w:t xml:space="preserve">% </w:t>
      </w:r>
      <w:r w:rsidR="0082281B" w:rsidRPr="000450BF">
        <w:t xml:space="preserve">of </w:t>
      </w:r>
      <w:r w:rsidR="007A7376" w:rsidRPr="000450BF">
        <w:t>the votes</w:t>
      </w:r>
      <w:r w:rsidR="0082281B" w:rsidRPr="000450BF">
        <w:t xml:space="preserve"> cast in the</w:t>
      </w:r>
      <w:r w:rsidRPr="000450BF">
        <w:t xml:space="preserve"> </w:t>
      </w:r>
      <w:r w:rsidR="00924C4D" w:rsidRPr="000450BF">
        <w:t>constituency</w:t>
      </w:r>
      <w:r w:rsidR="007B7AFD">
        <w:t>.</w:t>
      </w:r>
      <w:r w:rsidRPr="000450BF">
        <w:rPr>
          <w:rStyle w:val="FootnoteReference"/>
        </w:rPr>
        <w:footnoteReference w:id="160"/>
      </w:r>
    </w:p>
    <w:p w14:paraId="3213FE1A" w14:textId="5DA4198D" w:rsidR="008E4E71" w:rsidRPr="000450BF" w:rsidRDefault="008E4E71" w:rsidP="008E4E71">
      <w:pPr>
        <w:pStyle w:val="SingleTxtG"/>
      </w:pPr>
      <w:r w:rsidRPr="000450BF">
        <w:t>290.</w:t>
      </w:r>
      <w:r w:rsidRPr="000450BF">
        <w:tab/>
      </w:r>
      <w:r w:rsidR="0082281B" w:rsidRPr="000450BF">
        <w:t>T</w:t>
      </w:r>
      <w:r w:rsidR="002E700D" w:rsidRPr="000450BF">
        <w:t xml:space="preserve">he provisions that impose specific constraints to independent candidates to stand for election or to be elected to office are contrary </w:t>
      </w:r>
      <w:r w:rsidR="00F54E32" w:rsidRPr="000450BF">
        <w:t xml:space="preserve">to the international human rights law which provides that the exercise of civil and political rights, namely </w:t>
      </w:r>
      <w:r w:rsidR="00D16155" w:rsidRPr="000450BF">
        <w:t xml:space="preserve">that of taking part </w:t>
      </w:r>
      <w:r w:rsidR="0082281B" w:rsidRPr="000450BF">
        <w:t xml:space="preserve">in </w:t>
      </w:r>
      <w:r w:rsidR="00D16155" w:rsidRPr="000450BF">
        <w:t>the conduct of public affairs</w:t>
      </w:r>
      <w:r w:rsidR="008C64C0" w:rsidRPr="000450BF">
        <w:t xml:space="preserve">, and </w:t>
      </w:r>
      <w:r w:rsidR="00D16155" w:rsidRPr="000450BF">
        <w:t xml:space="preserve">therefore </w:t>
      </w:r>
      <w:r w:rsidR="008C64C0" w:rsidRPr="000450BF">
        <w:t>to stand and be elected to public office</w:t>
      </w:r>
      <w:r w:rsidR="0082281B" w:rsidRPr="000450BF">
        <w:t>;</w:t>
      </w:r>
      <w:r w:rsidR="009B3DB4" w:rsidRPr="000450BF">
        <w:t xml:space="preserve"> must not be linked </w:t>
      </w:r>
      <w:r w:rsidR="0082281B" w:rsidRPr="000450BF">
        <w:t xml:space="preserve">to </w:t>
      </w:r>
      <w:r w:rsidR="009B3DB4" w:rsidRPr="000450BF">
        <w:t>the adherence to a political party</w:t>
      </w:r>
      <w:r w:rsidR="007B7AFD">
        <w:t>.</w:t>
      </w:r>
      <w:r w:rsidRPr="000450BF">
        <w:rPr>
          <w:rStyle w:val="FootnoteReference"/>
        </w:rPr>
        <w:footnoteReference w:id="161"/>
      </w:r>
    </w:p>
    <w:p w14:paraId="4407FBC5" w14:textId="423F44D0" w:rsidR="008E4E71" w:rsidRPr="000450BF" w:rsidRDefault="008E4E71" w:rsidP="008E4E71">
      <w:pPr>
        <w:pStyle w:val="SingleTxtG"/>
      </w:pPr>
      <w:r w:rsidRPr="000450BF">
        <w:t>291.</w:t>
      </w:r>
      <w:r w:rsidRPr="000450BF">
        <w:tab/>
      </w:r>
      <w:r w:rsidR="0082281B" w:rsidRPr="000450BF">
        <w:t>F</w:t>
      </w:r>
      <w:r w:rsidR="004872E4" w:rsidRPr="000450BF">
        <w:t xml:space="preserve">inally, the new </w:t>
      </w:r>
      <w:r w:rsidR="002A5133">
        <w:t>Electoral C</w:t>
      </w:r>
      <w:r w:rsidR="004872E4" w:rsidRPr="000450BF">
        <w:t>ode maintain</w:t>
      </w:r>
      <w:r w:rsidR="002A5133">
        <w:t>s</w:t>
      </w:r>
      <w:r w:rsidR="004872E4" w:rsidRPr="000450BF">
        <w:t xml:space="preserve"> the deprivation </w:t>
      </w:r>
      <w:r w:rsidR="0082281B" w:rsidRPr="000450BF">
        <w:t>of the</w:t>
      </w:r>
      <w:r w:rsidR="008044A4" w:rsidRPr="000450BF">
        <w:t xml:space="preserve"> right to vote of persons under </w:t>
      </w:r>
      <w:r w:rsidR="004E0EB0" w:rsidRPr="000450BF">
        <w:t>preventive detention</w:t>
      </w:r>
      <w:r w:rsidR="007B7AFD">
        <w:t>,</w:t>
      </w:r>
      <w:r w:rsidRPr="000450BF">
        <w:rPr>
          <w:rStyle w:val="FootnoteReference"/>
        </w:rPr>
        <w:footnoteReference w:id="162"/>
      </w:r>
      <w:r w:rsidRPr="000450BF">
        <w:t xml:space="preserve"> </w:t>
      </w:r>
      <w:r w:rsidR="004E0EB0" w:rsidRPr="000450BF">
        <w:t xml:space="preserve">whereas these persons have not yet been </w:t>
      </w:r>
      <w:r w:rsidR="006C0B16" w:rsidRPr="000450BF">
        <w:t xml:space="preserve">condemned, and that according to the presumption of innocence, </w:t>
      </w:r>
      <w:r w:rsidR="00343FB3" w:rsidRPr="000450BF">
        <w:t xml:space="preserve">they should continue to fully enjoy </w:t>
      </w:r>
      <w:r w:rsidR="0082281B" w:rsidRPr="000450BF">
        <w:t xml:space="preserve">all </w:t>
      </w:r>
      <w:r w:rsidR="00343FB3" w:rsidRPr="000450BF">
        <w:t>their civil and political rights</w:t>
      </w:r>
      <w:r w:rsidRPr="000450BF">
        <w:t>.</w:t>
      </w:r>
    </w:p>
    <w:p w14:paraId="0152839F" w14:textId="318AC1DE" w:rsidR="008E4E71" w:rsidRPr="000450BF" w:rsidRDefault="008E4E71" w:rsidP="008E4E71">
      <w:pPr>
        <w:pStyle w:val="H56G"/>
      </w:pPr>
      <w:r w:rsidRPr="000450BF">
        <w:tab/>
      </w:r>
      <w:r w:rsidRPr="000450BF">
        <w:tab/>
        <w:t>(ii)</w:t>
      </w:r>
      <w:r w:rsidRPr="000450BF">
        <w:tab/>
      </w:r>
      <w:r w:rsidR="00F10455" w:rsidRPr="000450BF">
        <w:t>T</w:t>
      </w:r>
      <w:r w:rsidR="00A97F03" w:rsidRPr="000450BF">
        <w:t xml:space="preserve">he right to vote freely </w:t>
      </w:r>
    </w:p>
    <w:p w14:paraId="55901013" w14:textId="392F6C37" w:rsidR="008E4E71" w:rsidRPr="000450BF" w:rsidRDefault="008E4E71" w:rsidP="008A28C5">
      <w:pPr>
        <w:pStyle w:val="SingleTxtG"/>
      </w:pPr>
      <w:r w:rsidRPr="000450BF">
        <w:t>292.</w:t>
      </w:r>
      <w:r w:rsidRPr="000450BF">
        <w:tab/>
      </w:r>
      <w:r w:rsidR="0082281B" w:rsidRPr="000450BF">
        <w:t>T</w:t>
      </w:r>
      <w:r w:rsidR="00A97F03" w:rsidRPr="000450BF">
        <w:t>he right to take part in the conduct of public affairs</w:t>
      </w:r>
      <w:r w:rsidRPr="000450BF">
        <w:rPr>
          <w:rStyle w:val="FootnoteReference"/>
        </w:rPr>
        <w:footnoteReference w:id="163"/>
      </w:r>
      <w:r w:rsidRPr="000450BF">
        <w:t xml:space="preserve"> </w:t>
      </w:r>
      <w:r w:rsidR="003C1C9F" w:rsidRPr="000450BF">
        <w:t>includes the right to vote and to be elected, and the right to hold public office</w:t>
      </w:r>
      <w:r w:rsidRPr="000450BF">
        <w:rPr>
          <w:rStyle w:val="FootnoteReference"/>
        </w:rPr>
        <w:footnoteReference w:id="164"/>
      </w:r>
      <w:r w:rsidRPr="000450BF">
        <w:t xml:space="preserve"> </w:t>
      </w:r>
      <w:r w:rsidR="002A5133">
        <w:t>as the Human Rights C</w:t>
      </w:r>
      <w:r w:rsidR="00A902D1" w:rsidRPr="000450BF">
        <w:t xml:space="preserve">ommittee has clarified </w:t>
      </w:r>
      <w:r w:rsidR="007101CE">
        <w:t>“</w:t>
      </w:r>
      <w:r w:rsidR="00FC54B3" w:rsidRPr="000450BF">
        <w:t xml:space="preserve">Persons entitled to vote must be free to vote for any candidate for election and for or against any proposal submitted to referendum or plebiscite, and free to support or to oppose </w:t>
      </w:r>
      <w:r w:rsidR="007F5B89">
        <w:t>Government</w:t>
      </w:r>
      <w:r w:rsidR="00FC54B3" w:rsidRPr="000450BF">
        <w:t>,</w:t>
      </w:r>
      <w:r w:rsidR="009A1CB7" w:rsidRPr="000450BF">
        <w:t xml:space="preserve"> </w:t>
      </w:r>
      <w:r w:rsidR="00FC54B3" w:rsidRPr="000450BF">
        <w:t>without undue influence or coercion of any kind which may distort or inhibit the free expression of the elector</w:t>
      </w:r>
      <w:r w:rsidR="00907E34" w:rsidRPr="000450BF">
        <w:t>s</w:t>
      </w:r>
      <w:r w:rsidR="00A53C01">
        <w:t>’</w:t>
      </w:r>
      <w:r w:rsidR="00FC54B3" w:rsidRPr="000450BF">
        <w:t xml:space="preserve"> will. </w:t>
      </w:r>
      <w:r w:rsidR="008A28C5" w:rsidRPr="000450BF">
        <w:t>Voters should be able to form opinions</w:t>
      </w:r>
      <w:r w:rsidR="000B73CF" w:rsidRPr="000450BF">
        <w:t xml:space="preserve"> </w:t>
      </w:r>
      <w:r w:rsidR="008A28C5" w:rsidRPr="000450BF">
        <w:t>independently, free of violence or threat of violence, compulsion, inducement or manipulative interference of any kind</w:t>
      </w:r>
      <w:r w:rsidR="000B73CF" w:rsidRPr="000450BF">
        <w:t xml:space="preserve"> </w:t>
      </w:r>
      <w:r w:rsidRPr="000450BF">
        <w:t xml:space="preserve">[…] </w:t>
      </w:r>
      <w:r w:rsidR="00B9224E" w:rsidRPr="000450BF">
        <w:t xml:space="preserve">Results of honest elections must be respected and </w:t>
      </w:r>
      <w:r w:rsidR="00D80E1A" w:rsidRPr="000450BF">
        <w:t>implemented</w:t>
      </w:r>
      <w:r w:rsidR="00A53C01">
        <w:t>”.</w:t>
      </w:r>
      <w:r w:rsidRPr="000450BF">
        <w:rPr>
          <w:rStyle w:val="FootnoteReference"/>
        </w:rPr>
        <w:footnoteReference w:id="165"/>
      </w:r>
    </w:p>
    <w:p w14:paraId="12C59447" w14:textId="06C4B428" w:rsidR="008E4E71" w:rsidRPr="000450BF" w:rsidRDefault="008E4E71" w:rsidP="008E4E71">
      <w:pPr>
        <w:pStyle w:val="SingleTxtG"/>
      </w:pPr>
      <w:r w:rsidRPr="000450BF">
        <w:t>293.</w:t>
      </w:r>
      <w:r w:rsidRPr="000450BF">
        <w:tab/>
      </w:r>
      <w:r w:rsidR="009B6E52" w:rsidRPr="000450BF">
        <w:t xml:space="preserve">During the constitutional </w:t>
      </w:r>
      <w:r w:rsidRPr="000450BF">
        <w:t xml:space="preserve">referendum, </w:t>
      </w:r>
      <w:r w:rsidR="0082281B" w:rsidRPr="000450BF">
        <w:t>t</w:t>
      </w:r>
      <w:r w:rsidR="00DE52C1" w:rsidRPr="000450BF">
        <w:t xml:space="preserve">here were several violations of this right because the </w:t>
      </w:r>
      <w:r w:rsidRPr="000450BF">
        <w:t xml:space="preserve">Imbonerakure </w:t>
      </w:r>
      <w:r w:rsidR="007A4919" w:rsidRPr="000450BF">
        <w:t xml:space="preserve">sought to constrain persons to vote and to choose </w:t>
      </w:r>
      <w:r w:rsidR="007101CE">
        <w:t>“</w:t>
      </w:r>
      <w:r w:rsidR="00184E60" w:rsidRPr="000450BF">
        <w:t>yes</w:t>
      </w:r>
      <w:r w:rsidR="007101CE">
        <w:t>”</w:t>
      </w:r>
      <w:r w:rsidRPr="000450BF">
        <w:t xml:space="preserve">, </w:t>
      </w:r>
      <w:r w:rsidR="00BA2EEB" w:rsidRPr="000450BF">
        <w:t xml:space="preserve">by intimidating them and threatening them and </w:t>
      </w:r>
      <w:r w:rsidR="00184E60" w:rsidRPr="000450BF">
        <w:t>seeking</w:t>
      </w:r>
      <w:r w:rsidR="00BA2EEB" w:rsidRPr="000450BF">
        <w:t xml:space="preserve"> to control the votes</w:t>
      </w:r>
      <w:r w:rsidR="00874947" w:rsidRPr="000450BF">
        <w:t>,</w:t>
      </w:r>
      <w:r w:rsidR="00BA2EEB" w:rsidRPr="000450BF">
        <w:t xml:space="preserve"> including </w:t>
      </w:r>
      <w:r w:rsidR="002A5133">
        <w:t>at</w:t>
      </w:r>
      <w:r w:rsidR="00785875" w:rsidRPr="000450BF">
        <w:t xml:space="preserve"> the </w:t>
      </w:r>
      <w:r w:rsidR="002A5133">
        <w:t>polling</w:t>
      </w:r>
      <w:r w:rsidR="00785875" w:rsidRPr="000450BF">
        <w:t xml:space="preserve"> </w:t>
      </w:r>
      <w:r w:rsidR="002A5133">
        <w:t>stations</w:t>
      </w:r>
      <w:r w:rsidR="00785875" w:rsidRPr="000450BF">
        <w:t xml:space="preserve"> and in the voting booths</w:t>
      </w:r>
      <w:r w:rsidR="00A53C01">
        <w:t>.</w:t>
      </w:r>
      <w:r w:rsidRPr="000450BF">
        <w:rPr>
          <w:rStyle w:val="FootnoteReference"/>
        </w:rPr>
        <w:footnoteReference w:id="166"/>
      </w:r>
      <w:r w:rsidRPr="000450BF">
        <w:t xml:space="preserve"> </w:t>
      </w:r>
      <w:r w:rsidR="000300FF" w:rsidRPr="000450BF">
        <w:t xml:space="preserve">One of the participants to the referendum recounted </w:t>
      </w:r>
      <w:r w:rsidR="002A5133">
        <w:t>how it unfolded</w:t>
      </w:r>
      <w:r w:rsidR="007A7376" w:rsidRPr="000450BF">
        <w:t>:</w:t>
      </w:r>
    </w:p>
    <w:p w14:paraId="40D631E6" w14:textId="787F1019" w:rsidR="008E4E71" w:rsidRPr="000450BF" w:rsidRDefault="007101CE" w:rsidP="00C76FE6">
      <w:pPr>
        <w:pStyle w:val="SingleTxtG"/>
        <w:ind w:left="1701"/>
        <w:rPr>
          <w:i/>
        </w:rPr>
      </w:pPr>
      <w:r>
        <w:rPr>
          <w:i/>
        </w:rPr>
        <w:t>“</w:t>
      </w:r>
      <w:r w:rsidR="00F10455" w:rsidRPr="000450BF">
        <w:rPr>
          <w:i/>
        </w:rPr>
        <w:t xml:space="preserve">I </w:t>
      </w:r>
      <w:r w:rsidR="00C76FE6" w:rsidRPr="000450BF">
        <w:rPr>
          <w:i/>
        </w:rPr>
        <w:t xml:space="preserve">went to the </w:t>
      </w:r>
      <w:r w:rsidR="002A5133">
        <w:rPr>
          <w:i/>
        </w:rPr>
        <w:t>polling station</w:t>
      </w:r>
      <w:r w:rsidR="008E4E71" w:rsidRPr="000450BF">
        <w:rPr>
          <w:i/>
        </w:rPr>
        <w:t xml:space="preserve">. […] </w:t>
      </w:r>
      <w:r w:rsidR="00C76FE6" w:rsidRPr="000450BF">
        <w:rPr>
          <w:i/>
        </w:rPr>
        <w:t xml:space="preserve">They had built voting booths beforehand for anyone to go in and put what they wanted in the </w:t>
      </w:r>
      <w:r w:rsidR="007A7376" w:rsidRPr="000450BF">
        <w:rPr>
          <w:i/>
        </w:rPr>
        <w:t>envelope</w:t>
      </w:r>
      <w:r w:rsidR="00C76FE6" w:rsidRPr="000450BF">
        <w:rPr>
          <w:i/>
        </w:rPr>
        <w:t xml:space="preserve">. But on that day, there was an </w:t>
      </w:r>
      <w:r w:rsidR="008E4E71" w:rsidRPr="000450BF">
        <w:rPr>
          <w:i/>
        </w:rPr>
        <w:t xml:space="preserve">Imbonerakure </w:t>
      </w:r>
      <w:r w:rsidR="00C76FE6" w:rsidRPr="000450BF">
        <w:rPr>
          <w:i/>
        </w:rPr>
        <w:t>who checked how you voted</w:t>
      </w:r>
      <w:r w:rsidR="008E4E71" w:rsidRPr="000450BF">
        <w:rPr>
          <w:i/>
        </w:rPr>
        <w:t xml:space="preserve">. […] </w:t>
      </w:r>
      <w:r w:rsidR="00C76FE6" w:rsidRPr="000450BF">
        <w:rPr>
          <w:i/>
        </w:rPr>
        <w:t xml:space="preserve">For </w:t>
      </w:r>
      <w:r w:rsidR="00A82A5E" w:rsidRPr="000450BF">
        <w:rPr>
          <w:i/>
        </w:rPr>
        <w:t xml:space="preserve">illiterate </w:t>
      </w:r>
      <w:r w:rsidR="005B5F55">
        <w:rPr>
          <w:i/>
        </w:rPr>
        <w:t>women</w:t>
      </w:r>
      <w:r w:rsidR="00A82A5E" w:rsidRPr="000450BF">
        <w:rPr>
          <w:i/>
        </w:rPr>
        <w:t>,</w:t>
      </w:r>
      <w:r w:rsidR="008E4E71" w:rsidRPr="000450BF">
        <w:rPr>
          <w:i/>
        </w:rPr>
        <w:t>[</w:t>
      </w:r>
      <w:r w:rsidR="00A82A5E" w:rsidRPr="000450BF">
        <w:rPr>
          <w:i/>
        </w:rPr>
        <w:t xml:space="preserve">the </w:t>
      </w:r>
      <w:r w:rsidR="008E4E71" w:rsidRPr="000450BF">
        <w:rPr>
          <w:i/>
        </w:rPr>
        <w:t>Imbonerakure] vot</w:t>
      </w:r>
      <w:r w:rsidR="00A82A5E" w:rsidRPr="000450BF">
        <w:rPr>
          <w:i/>
        </w:rPr>
        <w:t>ed for them</w:t>
      </w:r>
      <w:r w:rsidR="008E4E71" w:rsidRPr="000450BF">
        <w:rPr>
          <w:i/>
        </w:rPr>
        <w:t xml:space="preserve"> […] </w:t>
      </w:r>
      <w:r w:rsidR="00A82A5E" w:rsidRPr="000450BF">
        <w:rPr>
          <w:i/>
        </w:rPr>
        <w:t xml:space="preserve">There was an </w:t>
      </w:r>
      <w:r w:rsidR="008E4E71" w:rsidRPr="000450BF">
        <w:rPr>
          <w:i/>
        </w:rPr>
        <w:t xml:space="preserve">Imbonerakure </w:t>
      </w:r>
      <w:r w:rsidR="00A82A5E" w:rsidRPr="000450BF">
        <w:rPr>
          <w:i/>
        </w:rPr>
        <w:t xml:space="preserve">who checked what I wrote when I went to vote, i.e. when you entered in the voting </w:t>
      </w:r>
      <w:r w:rsidR="007A7376" w:rsidRPr="000450BF">
        <w:rPr>
          <w:i/>
        </w:rPr>
        <w:t>booth</w:t>
      </w:r>
      <w:r w:rsidR="005B5F55">
        <w:rPr>
          <w:i/>
        </w:rPr>
        <w:t>, the I</w:t>
      </w:r>
      <w:r w:rsidR="00A82A5E" w:rsidRPr="000450BF">
        <w:rPr>
          <w:i/>
        </w:rPr>
        <w:t xml:space="preserve">mbonerakure entered with you so </w:t>
      </w:r>
      <w:r w:rsidR="001B5BC2" w:rsidRPr="000450BF">
        <w:rPr>
          <w:i/>
        </w:rPr>
        <w:t>you</w:t>
      </w:r>
      <w:r w:rsidR="00A82A5E" w:rsidRPr="000450BF">
        <w:rPr>
          <w:i/>
        </w:rPr>
        <w:t xml:space="preserve"> were two, you and the </w:t>
      </w:r>
      <w:r w:rsidR="005B5F55">
        <w:rPr>
          <w:i/>
        </w:rPr>
        <w:t>I</w:t>
      </w:r>
      <w:r w:rsidR="00A82A5E" w:rsidRPr="000450BF">
        <w:rPr>
          <w:i/>
        </w:rPr>
        <w:t xml:space="preserve">mbonerakure </w:t>
      </w:r>
      <w:r w:rsidR="008E4E71" w:rsidRPr="000450BF">
        <w:rPr>
          <w:i/>
        </w:rPr>
        <w:t xml:space="preserve">[…] </w:t>
      </w:r>
      <w:r w:rsidR="00A82A5E" w:rsidRPr="000450BF">
        <w:rPr>
          <w:i/>
        </w:rPr>
        <w:t>and he told me</w:t>
      </w:r>
      <w:r w:rsidR="00A53C01">
        <w:rPr>
          <w:i/>
        </w:rPr>
        <w:t xml:space="preserve"> ‘</w:t>
      </w:r>
      <w:r w:rsidR="008E4E71" w:rsidRPr="000450BF">
        <w:rPr>
          <w:i/>
        </w:rPr>
        <w:t xml:space="preserve">Vote </w:t>
      </w:r>
      <w:r w:rsidR="00A82A5E" w:rsidRPr="000450BF">
        <w:rPr>
          <w:i/>
        </w:rPr>
        <w:t>for the</w:t>
      </w:r>
      <w:r w:rsidR="008E4E71" w:rsidRPr="000450BF">
        <w:rPr>
          <w:i/>
        </w:rPr>
        <w:t xml:space="preserve"> Constitution, </w:t>
      </w:r>
      <w:r w:rsidR="00A82A5E" w:rsidRPr="000450BF">
        <w:rPr>
          <w:i/>
        </w:rPr>
        <w:t xml:space="preserve">otherwise you will no return to </w:t>
      </w:r>
      <w:r w:rsidR="008E4E71" w:rsidRPr="000450BF">
        <w:rPr>
          <w:i/>
        </w:rPr>
        <w:t>[Y]</w:t>
      </w:r>
      <w:r w:rsidR="00A53C01">
        <w:rPr>
          <w:i/>
        </w:rPr>
        <w:t>’</w:t>
      </w:r>
      <w:r w:rsidR="008E4E71" w:rsidRPr="000450BF">
        <w:rPr>
          <w:i/>
        </w:rPr>
        <w:t xml:space="preserve">. </w:t>
      </w:r>
      <w:r w:rsidR="00D2745D" w:rsidRPr="000450BF">
        <w:rPr>
          <w:i/>
        </w:rPr>
        <w:t xml:space="preserve">I was forced to vote for the </w:t>
      </w:r>
      <w:r w:rsidR="00534703" w:rsidRPr="000450BF">
        <w:rPr>
          <w:i/>
        </w:rPr>
        <w:t>referendum,</w:t>
      </w:r>
      <w:r w:rsidR="00D2745D" w:rsidRPr="000450BF">
        <w:rPr>
          <w:i/>
        </w:rPr>
        <w:t xml:space="preserve"> but I was not in favour of it, I was totally against it.</w:t>
      </w:r>
      <w:r w:rsidR="008E4E71" w:rsidRPr="000450BF">
        <w:rPr>
          <w:i/>
        </w:rPr>
        <w:t xml:space="preserve"> […] </w:t>
      </w:r>
      <w:r w:rsidR="00D2745D" w:rsidRPr="000450BF">
        <w:rPr>
          <w:i/>
        </w:rPr>
        <w:t>The</w:t>
      </w:r>
      <w:r w:rsidR="008E4E71" w:rsidRPr="000450BF">
        <w:rPr>
          <w:i/>
        </w:rPr>
        <w:t xml:space="preserve"> Imbonerakure </w:t>
      </w:r>
      <w:r w:rsidR="00D2745D" w:rsidRPr="000450BF">
        <w:rPr>
          <w:i/>
        </w:rPr>
        <w:t xml:space="preserve">were there to intimidate. There were two </w:t>
      </w:r>
      <w:r w:rsidR="008E4E71" w:rsidRPr="000450BF">
        <w:rPr>
          <w:i/>
        </w:rPr>
        <w:t xml:space="preserve">Imbonerakure </w:t>
      </w:r>
      <w:r w:rsidR="00D2745D" w:rsidRPr="000450BF">
        <w:rPr>
          <w:i/>
        </w:rPr>
        <w:t xml:space="preserve">who entered the </w:t>
      </w:r>
      <w:r w:rsidR="008E4E71" w:rsidRPr="000450BF">
        <w:rPr>
          <w:i/>
        </w:rPr>
        <w:t>[</w:t>
      </w:r>
      <w:r w:rsidR="00D2745D" w:rsidRPr="000450BF">
        <w:rPr>
          <w:i/>
        </w:rPr>
        <w:t>two</w:t>
      </w:r>
      <w:r w:rsidR="008E4E71" w:rsidRPr="000450BF">
        <w:rPr>
          <w:i/>
        </w:rPr>
        <w:t xml:space="preserve">] </w:t>
      </w:r>
      <w:r w:rsidR="00D2745D" w:rsidRPr="000450BF">
        <w:rPr>
          <w:i/>
        </w:rPr>
        <w:t>voting booths</w:t>
      </w:r>
      <w:r w:rsidR="008E4E71" w:rsidRPr="000450BF">
        <w:rPr>
          <w:i/>
        </w:rPr>
        <w:t xml:space="preserve">. […] </w:t>
      </w:r>
      <w:r w:rsidR="00D2745D" w:rsidRPr="000450BF">
        <w:rPr>
          <w:i/>
        </w:rPr>
        <w:t xml:space="preserve">And then other </w:t>
      </w:r>
      <w:r w:rsidR="008E4E71" w:rsidRPr="000450BF">
        <w:rPr>
          <w:i/>
        </w:rPr>
        <w:t xml:space="preserve">Imbonerakure </w:t>
      </w:r>
      <w:r w:rsidR="00D2745D" w:rsidRPr="000450BF">
        <w:rPr>
          <w:i/>
        </w:rPr>
        <w:t>who were outside walking amongst people who were lined up</w:t>
      </w:r>
      <w:r>
        <w:rPr>
          <w:i/>
        </w:rPr>
        <w:t>”</w:t>
      </w:r>
      <w:r w:rsidR="00A53C01">
        <w:rPr>
          <w:i/>
        </w:rPr>
        <w:t>.</w:t>
      </w:r>
      <w:r w:rsidR="008E4E71" w:rsidRPr="000450BF">
        <w:rPr>
          <w:rStyle w:val="FootnoteReference"/>
        </w:rPr>
        <w:footnoteReference w:id="167"/>
      </w:r>
    </w:p>
    <w:p w14:paraId="744510AE" w14:textId="0F89776C" w:rsidR="008E4E71" w:rsidRPr="000450BF" w:rsidRDefault="008E4E71" w:rsidP="008E4E71">
      <w:pPr>
        <w:pStyle w:val="SingleTxtG"/>
      </w:pPr>
      <w:r w:rsidRPr="000450BF">
        <w:t>294.</w:t>
      </w:r>
      <w:r w:rsidRPr="000450BF">
        <w:tab/>
      </w:r>
      <w:r w:rsidR="00D2745D" w:rsidRPr="000450BF">
        <w:t xml:space="preserve">A minor who was forced to vote explained the proceedings on the day of the </w:t>
      </w:r>
      <w:r w:rsidR="007A7376" w:rsidRPr="000450BF">
        <w:t>vote:</w:t>
      </w:r>
    </w:p>
    <w:p w14:paraId="189DD208" w14:textId="42490AF3" w:rsidR="008E4E71" w:rsidRPr="000450BF" w:rsidRDefault="007101CE" w:rsidP="008E4E71">
      <w:pPr>
        <w:pStyle w:val="SingleTxtG"/>
        <w:ind w:left="1701"/>
        <w:rPr>
          <w:i/>
        </w:rPr>
      </w:pPr>
      <w:r>
        <w:rPr>
          <w:i/>
        </w:rPr>
        <w:t>“</w:t>
      </w:r>
      <w:r w:rsidR="00D2745D" w:rsidRPr="000450BF">
        <w:rPr>
          <w:i/>
        </w:rPr>
        <w:t xml:space="preserve">At the </w:t>
      </w:r>
      <w:r w:rsidR="002A5133">
        <w:rPr>
          <w:i/>
        </w:rPr>
        <w:t>polling station</w:t>
      </w:r>
      <w:r w:rsidR="00D2745D" w:rsidRPr="000450BF">
        <w:rPr>
          <w:i/>
        </w:rPr>
        <w:t xml:space="preserve">, people were separated in two queues. One </w:t>
      </w:r>
      <w:r w:rsidR="007A7376" w:rsidRPr="000450BF">
        <w:rPr>
          <w:i/>
        </w:rPr>
        <w:t>was</w:t>
      </w:r>
      <w:r w:rsidR="00D2745D" w:rsidRPr="000450BF">
        <w:rPr>
          <w:i/>
        </w:rPr>
        <w:t xml:space="preserve"> made up of people </w:t>
      </w:r>
      <w:r w:rsidR="0082281B" w:rsidRPr="000450BF">
        <w:rPr>
          <w:i/>
        </w:rPr>
        <w:t>suspected of being</w:t>
      </w:r>
      <w:r w:rsidR="00D2745D" w:rsidRPr="000450BF">
        <w:rPr>
          <w:i/>
        </w:rPr>
        <w:t xml:space="preserve"> against </w:t>
      </w:r>
      <w:r w:rsidR="00D51483" w:rsidRPr="000450BF">
        <w:rPr>
          <w:i/>
        </w:rPr>
        <w:t xml:space="preserve">the party in power. It was them who showed us where to line up and that </w:t>
      </w:r>
      <w:r w:rsidR="00534703" w:rsidRPr="000450BF">
        <w:rPr>
          <w:i/>
        </w:rPr>
        <w:t>queue</w:t>
      </w:r>
      <w:r w:rsidR="00D51483" w:rsidRPr="000450BF">
        <w:rPr>
          <w:i/>
        </w:rPr>
        <w:t xml:space="preserve"> was the most observed. They were policemen in uniform and </w:t>
      </w:r>
      <w:r w:rsidR="008E4E71" w:rsidRPr="000450BF">
        <w:rPr>
          <w:i/>
        </w:rPr>
        <w:t xml:space="preserve">Imbonerakure. </w:t>
      </w:r>
      <w:r w:rsidR="00D51483" w:rsidRPr="000450BF">
        <w:rPr>
          <w:i/>
        </w:rPr>
        <w:t xml:space="preserve">I think the separation was done based on the voting intention because </w:t>
      </w:r>
      <w:r w:rsidR="007A7376" w:rsidRPr="000450BF">
        <w:rPr>
          <w:i/>
        </w:rPr>
        <w:t>all</w:t>
      </w:r>
      <w:r w:rsidR="001374C5" w:rsidRPr="000450BF">
        <w:rPr>
          <w:i/>
        </w:rPr>
        <w:t xml:space="preserve"> my parents’ (FNL) </w:t>
      </w:r>
      <w:r w:rsidR="00D51483" w:rsidRPr="000450BF">
        <w:rPr>
          <w:i/>
        </w:rPr>
        <w:t xml:space="preserve">friends and </w:t>
      </w:r>
      <w:r w:rsidR="007A7376" w:rsidRPr="000450BF">
        <w:rPr>
          <w:i/>
        </w:rPr>
        <w:t>acquaintances</w:t>
      </w:r>
      <w:r w:rsidR="00D51483" w:rsidRPr="000450BF">
        <w:rPr>
          <w:i/>
        </w:rPr>
        <w:t xml:space="preserve"> </w:t>
      </w:r>
      <w:r w:rsidR="001374C5" w:rsidRPr="000450BF">
        <w:rPr>
          <w:i/>
        </w:rPr>
        <w:t>w</w:t>
      </w:r>
      <w:r w:rsidR="00D51483" w:rsidRPr="000450BF">
        <w:rPr>
          <w:i/>
        </w:rPr>
        <w:t xml:space="preserve">ere in the same queue. While we were queueing up, some said </w:t>
      </w:r>
      <w:r w:rsidR="00A53C01">
        <w:rPr>
          <w:i/>
        </w:rPr>
        <w:t>‘</w:t>
      </w:r>
      <w:r w:rsidR="00D51483" w:rsidRPr="000450BF">
        <w:rPr>
          <w:i/>
        </w:rPr>
        <w:t>Woe to whom</w:t>
      </w:r>
      <w:r w:rsidR="001374C5" w:rsidRPr="000450BF">
        <w:rPr>
          <w:i/>
        </w:rPr>
        <w:t>ever</w:t>
      </w:r>
      <w:r w:rsidR="00D51483" w:rsidRPr="000450BF">
        <w:rPr>
          <w:i/>
        </w:rPr>
        <w:t xml:space="preserve"> does not vote yes</w:t>
      </w:r>
      <w:r w:rsidR="00A53C01">
        <w:rPr>
          <w:i/>
        </w:rPr>
        <w:t>’</w:t>
      </w:r>
      <w:r w:rsidR="008E4E71" w:rsidRPr="000450BF">
        <w:rPr>
          <w:i/>
        </w:rPr>
        <w:t xml:space="preserve">. […] </w:t>
      </w:r>
      <w:r w:rsidR="00D51483" w:rsidRPr="000450BF">
        <w:rPr>
          <w:i/>
        </w:rPr>
        <w:t xml:space="preserve">Inside the </w:t>
      </w:r>
      <w:r w:rsidR="005B5F55">
        <w:rPr>
          <w:i/>
        </w:rPr>
        <w:t>polling station</w:t>
      </w:r>
      <w:r w:rsidR="00D51483" w:rsidRPr="000450BF">
        <w:rPr>
          <w:i/>
        </w:rPr>
        <w:t xml:space="preserve">, they would write the name of the person who was going to write their vote on the </w:t>
      </w:r>
      <w:r w:rsidR="007A7376" w:rsidRPr="000450BF">
        <w:rPr>
          <w:i/>
        </w:rPr>
        <w:t>ballot</w:t>
      </w:r>
      <w:r w:rsidR="00A53C01">
        <w:rPr>
          <w:i/>
        </w:rPr>
        <w:t xml:space="preserve">. </w:t>
      </w:r>
      <w:r w:rsidR="001374C5" w:rsidRPr="000450BF">
        <w:rPr>
          <w:i/>
        </w:rPr>
        <w:t xml:space="preserve">During the vote count, they knew exactly who voted yes, who voted no. The CENI employees would say </w:t>
      </w:r>
      <w:r w:rsidR="00A53C01">
        <w:rPr>
          <w:i/>
        </w:rPr>
        <w:t>‘</w:t>
      </w:r>
      <w:r w:rsidR="001374C5" w:rsidRPr="000450BF">
        <w:rPr>
          <w:i/>
        </w:rPr>
        <w:t xml:space="preserve">If you know how to write, write your own name on the ballot, </w:t>
      </w:r>
      <w:r w:rsidR="007F6271" w:rsidRPr="000450BF">
        <w:rPr>
          <w:i/>
        </w:rPr>
        <w:t>if you do not know how to write, give us the ballot and we will write your name</w:t>
      </w:r>
      <w:r w:rsidR="00A53C01">
        <w:rPr>
          <w:i/>
        </w:rPr>
        <w:t>’</w:t>
      </w:r>
      <w:r w:rsidR="008E4E71" w:rsidRPr="000450BF">
        <w:rPr>
          <w:i/>
        </w:rPr>
        <w:t xml:space="preserve">. </w:t>
      </w:r>
      <w:r w:rsidR="007F6271" w:rsidRPr="000450BF">
        <w:rPr>
          <w:i/>
        </w:rPr>
        <w:t>I wrote my</w:t>
      </w:r>
      <w:r w:rsidR="0082281B" w:rsidRPr="000450BF">
        <w:rPr>
          <w:i/>
        </w:rPr>
        <w:t xml:space="preserve"> </w:t>
      </w:r>
      <w:r w:rsidR="007F6271" w:rsidRPr="000450BF">
        <w:rPr>
          <w:i/>
        </w:rPr>
        <w:t xml:space="preserve">own name on the ballot. I think that the persons on the other queue did not have to write their </w:t>
      </w:r>
      <w:r w:rsidR="00A53C01">
        <w:rPr>
          <w:i/>
        </w:rPr>
        <w:t>name”.</w:t>
      </w:r>
      <w:r w:rsidR="008E4E71" w:rsidRPr="000450BF">
        <w:rPr>
          <w:rStyle w:val="FootnoteReference"/>
        </w:rPr>
        <w:footnoteReference w:id="168"/>
      </w:r>
    </w:p>
    <w:p w14:paraId="798F4941" w14:textId="5A9B2EBB" w:rsidR="008E4E71" w:rsidRPr="000450BF" w:rsidRDefault="008E4E71" w:rsidP="008E4E71">
      <w:pPr>
        <w:pStyle w:val="SingleTxtG"/>
      </w:pPr>
      <w:r w:rsidRPr="000450BF">
        <w:t>295.</w:t>
      </w:r>
      <w:r w:rsidRPr="000450BF">
        <w:tab/>
      </w:r>
      <w:r w:rsidR="007F6271" w:rsidRPr="000450BF">
        <w:t xml:space="preserve">Several other irregularities were also noted concerning the </w:t>
      </w:r>
      <w:r w:rsidRPr="000450BF">
        <w:t>possibilit</w:t>
      </w:r>
      <w:r w:rsidR="007F6271" w:rsidRPr="000450BF">
        <w:t xml:space="preserve">y of the </w:t>
      </w:r>
      <w:r w:rsidR="007A7376" w:rsidRPr="000450BF">
        <w:t>opposition</w:t>
      </w:r>
      <w:r w:rsidR="007F6271" w:rsidRPr="000450BF">
        <w:t xml:space="preserve"> </w:t>
      </w:r>
      <w:r w:rsidR="007A7376" w:rsidRPr="000450BF">
        <w:t>parties’</w:t>
      </w:r>
      <w:r w:rsidR="007F6271" w:rsidRPr="000450BF">
        <w:t xml:space="preserve"> representatives to conduct their legitimate activities, despite being </w:t>
      </w:r>
      <w:r w:rsidR="007A7376" w:rsidRPr="000450BF">
        <w:t>authorised</w:t>
      </w:r>
      <w:r w:rsidR="007F6271" w:rsidRPr="000450BF">
        <w:t xml:space="preserve"> to do so, such </w:t>
      </w:r>
      <w:r w:rsidR="007A7376" w:rsidRPr="000450BF">
        <w:t>as assisting</w:t>
      </w:r>
      <w:r w:rsidR="00725F01" w:rsidRPr="000450BF">
        <w:t xml:space="preserve"> to </w:t>
      </w:r>
      <w:r w:rsidR="006228F4" w:rsidRPr="000450BF">
        <w:t xml:space="preserve">the </w:t>
      </w:r>
      <w:r w:rsidR="00725F01" w:rsidRPr="000450BF">
        <w:t>ballot count</w:t>
      </w:r>
      <w:r w:rsidRPr="000450BF">
        <w:t xml:space="preserve"> </w:t>
      </w:r>
      <w:r w:rsidR="006228F4" w:rsidRPr="000450BF">
        <w:t xml:space="preserve">or the </w:t>
      </w:r>
      <w:r w:rsidR="005B5F55">
        <w:t>registration</w:t>
      </w:r>
      <w:r w:rsidR="006228F4" w:rsidRPr="000450BF">
        <w:t xml:space="preserve"> of the votes cast, since some </w:t>
      </w:r>
      <w:r w:rsidR="007101CE">
        <w:t>“</w:t>
      </w:r>
      <w:r w:rsidR="006228F4" w:rsidRPr="000450BF">
        <w:t>no</w:t>
      </w:r>
      <w:r w:rsidR="007101CE">
        <w:t>”</w:t>
      </w:r>
      <w:r w:rsidR="007A7376" w:rsidRPr="000450BF">
        <w:t xml:space="preserve"> votes</w:t>
      </w:r>
      <w:r w:rsidR="006228F4" w:rsidRPr="000450BF">
        <w:t xml:space="preserve"> were not recorded</w:t>
      </w:r>
      <w:r w:rsidR="00A53C01">
        <w:t>.</w:t>
      </w:r>
      <w:r w:rsidRPr="000450BF">
        <w:rPr>
          <w:rStyle w:val="FootnoteReference"/>
        </w:rPr>
        <w:footnoteReference w:id="169"/>
      </w:r>
      <w:r w:rsidRPr="000450BF">
        <w:t xml:space="preserve"> </w:t>
      </w:r>
      <w:r w:rsidR="006228F4" w:rsidRPr="000450BF">
        <w:t>One of the opposition part</w:t>
      </w:r>
      <w:r w:rsidR="0082281B" w:rsidRPr="000450BF">
        <w:t>y</w:t>
      </w:r>
      <w:r w:rsidR="006228F4" w:rsidRPr="000450BF">
        <w:t xml:space="preserve"> representatives during the</w:t>
      </w:r>
      <w:r w:rsidRPr="000450BF">
        <w:t xml:space="preserve"> referendum </w:t>
      </w:r>
      <w:r w:rsidR="007A7376" w:rsidRPr="000450BF">
        <w:t>explained:</w:t>
      </w:r>
    </w:p>
    <w:p w14:paraId="08FA4657" w14:textId="69A15D34" w:rsidR="008E4E71" w:rsidRDefault="007101CE" w:rsidP="008E4E71">
      <w:pPr>
        <w:pStyle w:val="SingleTxtG"/>
        <w:ind w:left="1701"/>
        <w:rPr>
          <w:i/>
        </w:rPr>
      </w:pPr>
      <w:r>
        <w:rPr>
          <w:i/>
        </w:rPr>
        <w:t>“</w:t>
      </w:r>
      <w:r w:rsidR="006228F4" w:rsidRPr="000450BF">
        <w:rPr>
          <w:i/>
        </w:rPr>
        <w:t xml:space="preserve">I received documents </w:t>
      </w:r>
      <w:r w:rsidR="00E54A73" w:rsidRPr="000450BF">
        <w:rPr>
          <w:i/>
        </w:rPr>
        <w:t xml:space="preserve">stating </w:t>
      </w:r>
      <w:r w:rsidR="006228F4" w:rsidRPr="000450BF">
        <w:rPr>
          <w:i/>
        </w:rPr>
        <w:t xml:space="preserve">that I was a representative. With these documents, I could access the </w:t>
      </w:r>
      <w:r w:rsidR="008E4E71" w:rsidRPr="000450BF">
        <w:rPr>
          <w:i/>
        </w:rPr>
        <w:t>[</w:t>
      </w:r>
      <w:r w:rsidR="005B5F55">
        <w:rPr>
          <w:i/>
        </w:rPr>
        <w:t>polling</w:t>
      </w:r>
      <w:r w:rsidR="008E4E71" w:rsidRPr="000450BF">
        <w:rPr>
          <w:i/>
        </w:rPr>
        <w:t>]</w:t>
      </w:r>
      <w:r w:rsidR="006228F4" w:rsidRPr="000450BF">
        <w:rPr>
          <w:i/>
        </w:rPr>
        <w:t xml:space="preserve"> </w:t>
      </w:r>
      <w:r w:rsidR="005B5F55">
        <w:rPr>
          <w:i/>
        </w:rPr>
        <w:t>stations</w:t>
      </w:r>
      <w:r w:rsidR="008E4E71" w:rsidRPr="000450BF">
        <w:rPr>
          <w:i/>
        </w:rPr>
        <w:t xml:space="preserve">. </w:t>
      </w:r>
      <w:r w:rsidR="006228F4" w:rsidRPr="000450BF">
        <w:rPr>
          <w:i/>
        </w:rPr>
        <w:t xml:space="preserve">The day of the vote, the </w:t>
      </w:r>
      <w:r w:rsidR="008E4E71" w:rsidRPr="000450BF">
        <w:rPr>
          <w:i/>
        </w:rPr>
        <w:t xml:space="preserve">Imbonerakure </w:t>
      </w:r>
      <w:r w:rsidR="006228F4" w:rsidRPr="000450BF">
        <w:rPr>
          <w:i/>
        </w:rPr>
        <w:t xml:space="preserve">did not want us to stay in the </w:t>
      </w:r>
      <w:r w:rsidR="005B5F55">
        <w:rPr>
          <w:i/>
        </w:rPr>
        <w:t>polling stations</w:t>
      </w:r>
      <w:r w:rsidR="006228F4" w:rsidRPr="000450BF">
        <w:rPr>
          <w:i/>
        </w:rPr>
        <w:t xml:space="preserve"> and we resisted […]. We stayed in the </w:t>
      </w:r>
      <w:r w:rsidR="005B5F55">
        <w:rPr>
          <w:i/>
        </w:rPr>
        <w:t>polling station</w:t>
      </w:r>
      <w:r w:rsidR="006228F4" w:rsidRPr="000450BF">
        <w:rPr>
          <w:i/>
        </w:rPr>
        <w:t xml:space="preserve"> and the </w:t>
      </w:r>
      <w:r w:rsidR="008E4E71" w:rsidRPr="000450BF">
        <w:rPr>
          <w:i/>
        </w:rPr>
        <w:t xml:space="preserve">Imbonerakure </w:t>
      </w:r>
      <w:r w:rsidR="006228F4" w:rsidRPr="000450BF">
        <w:rPr>
          <w:i/>
        </w:rPr>
        <w:t xml:space="preserve">told us that if we </w:t>
      </w:r>
      <w:r w:rsidR="005B5F55">
        <w:rPr>
          <w:i/>
        </w:rPr>
        <w:t>resist,</w:t>
      </w:r>
      <w:r w:rsidR="006228F4" w:rsidRPr="000450BF">
        <w:rPr>
          <w:i/>
        </w:rPr>
        <w:t xml:space="preserve"> there would be consequences. During the vote count, the </w:t>
      </w:r>
      <w:r w:rsidR="008E4E71" w:rsidRPr="000450BF">
        <w:rPr>
          <w:i/>
        </w:rPr>
        <w:t xml:space="preserve">Imbonerakure </w:t>
      </w:r>
      <w:r w:rsidR="006228F4" w:rsidRPr="000450BF">
        <w:rPr>
          <w:i/>
        </w:rPr>
        <w:t xml:space="preserve">did not want the </w:t>
      </w:r>
      <w:r w:rsidR="00A53C01">
        <w:rPr>
          <w:i/>
        </w:rPr>
        <w:t>‘</w:t>
      </w:r>
      <w:r w:rsidR="006228F4" w:rsidRPr="000450BF">
        <w:rPr>
          <w:i/>
        </w:rPr>
        <w:t>no</w:t>
      </w:r>
      <w:r w:rsidR="00A53C01">
        <w:rPr>
          <w:i/>
        </w:rPr>
        <w:t>’</w:t>
      </w:r>
      <w:r w:rsidR="006228F4" w:rsidRPr="000450BF">
        <w:rPr>
          <w:i/>
        </w:rPr>
        <w:t xml:space="preserve"> votes </w:t>
      </w:r>
      <w:r w:rsidR="00A53C01">
        <w:rPr>
          <w:i/>
        </w:rPr>
        <w:t xml:space="preserve">to be </w:t>
      </w:r>
      <w:r w:rsidR="006228F4" w:rsidRPr="000450BF">
        <w:rPr>
          <w:i/>
        </w:rPr>
        <w:t>counted</w:t>
      </w:r>
      <w:r>
        <w:rPr>
          <w:i/>
        </w:rPr>
        <w:t>”</w:t>
      </w:r>
      <w:r w:rsidR="00A53C01">
        <w:rPr>
          <w:i/>
        </w:rPr>
        <w:t>.</w:t>
      </w:r>
      <w:r w:rsidR="008E4E71" w:rsidRPr="000450BF">
        <w:rPr>
          <w:rStyle w:val="FootnoteReference"/>
        </w:rPr>
        <w:footnoteReference w:id="170"/>
      </w:r>
    </w:p>
    <w:p w14:paraId="42030494" w14:textId="050F2C82" w:rsidR="008330E7" w:rsidRPr="008330E7" w:rsidRDefault="008330E7" w:rsidP="008330E7">
      <w:pPr>
        <w:pStyle w:val="SingleTxtG"/>
        <w:ind w:left="1276"/>
      </w:pPr>
      <w:r>
        <w:t>[…]</w:t>
      </w:r>
    </w:p>
    <w:p w14:paraId="046937AC" w14:textId="30084D5C" w:rsidR="008E4E71" w:rsidRPr="000450BF" w:rsidRDefault="008E4E71" w:rsidP="008E4E71">
      <w:pPr>
        <w:pStyle w:val="H1G"/>
      </w:pPr>
      <w:r w:rsidRPr="000450BF">
        <w:tab/>
        <w:t>E.</w:t>
      </w:r>
      <w:r w:rsidRPr="000450BF">
        <w:tab/>
        <w:t xml:space="preserve">Violations </w:t>
      </w:r>
      <w:r w:rsidR="006228F4" w:rsidRPr="000450BF">
        <w:t>of economic and social rights</w:t>
      </w:r>
    </w:p>
    <w:p w14:paraId="53898093" w14:textId="506BC42E" w:rsidR="008E4E71" w:rsidRPr="000450BF" w:rsidRDefault="008E4E71" w:rsidP="008E4E71">
      <w:pPr>
        <w:pStyle w:val="SingleTxtG"/>
      </w:pPr>
      <w:r w:rsidRPr="000450BF">
        <w:t>315.</w:t>
      </w:r>
      <w:r w:rsidRPr="000450BF">
        <w:tab/>
      </w:r>
      <w:r w:rsidR="006228F4" w:rsidRPr="000450BF">
        <w:t xml:space="preserve">In </w:t>
      </w:r>
      <w:r w:rsidR="00E54A73" w:rsidRPr="000450BF">
        <w:t>its</w:t>
      </w:r>
      <w:r w:rsidR="006228F4" w:rsidRPr="000450BF">
        <w:t xml:space="preserve"> previous report, the </w:t>
      </w:r>
      <w:r w:rsidRPr="000450BF">
        <w:t xml:space="preserve">Commission </w:t>
      </w:r>
      <w:r w:rsidR="006228F4" w:rsidRPr="000450BF">
        <w:t xml:space="preserve">detailed the effects of the </w:t>
      </w:r>
      <w:r w:rsidR="00B85F04" w:rsidRPr="000450BF">
        <w:t xml:space="preserve">political </w:t>
      </w:r>
      <w:r w:rsidR="006228F4" w:rsidRPr="000450BF">
        <w:t xml:space="preserve">crisis </w:t>
      </w:r>
      <w:r w:rsidR="00B85F04" w:rsidRPr="000450BF">
        <w:t xml:space="preserve">on the economic situation and </w:t>
      </w:r>
      <w:r w:rsidR="008330E7">
        <w:t xml:space="preserve">more </w:t>
      </w:r>
      <w:r w:rsidR="00B85F04" w:rsidRPr="000450BF">
        <w:t>specifically</w:t>
      </w:r>
      <w:r w:rsidR="008330E7">
        <w:t>:</w:t>
      </w:r>
      <w:r w:rsidR="00B85F04" w:rsidRPr="000450BF">
        <w:t xml:space="preserve"> the aggravation of the pre-existing economic problems such as the increase of the budget deficit, the increase of state expenditures without sufficient revenues, the </w:t>
      </w:r>
      <w:r w:rsidR="00E54A73" w:rsidRPr="000450BF">
        <w:t>reduction</w:t>
      </w:r>
      <w:r w:rsidR="00B85F04" w:rsidRPr="000450BF">
        <w:t xml:space="preserve"> of external assistance</w:t>
      </w:r>
      <w:r w:rsidRPr="000450BF">
        <w:t xml:space="preserve">, </w:t>
      </w:r>
      <w:r w:rsidR="00B85F04" w:rsidRPr="000450BF">
        <w:t xml:space="preserve">the excessive reliance on internal debt and a consolidation of the </w:t>
      </w:r>
      <w:r w:rsidR="00016C9D" w:rsidRPr="000450BF">
        <w:t xml:space="preserve">practice of assets grabbing and </w:t>
      </w:r>
      <w:r w:rsidRPr="000450BF">
        <w:t xml:space="preserve">corruption. </w:t>
      </w:r>
      <w:r w:rsidR="00016C9D" w:rsidRPr="000450BF">
        <w:t>This deterioration of the economic situation has led to an increase in poverty in the population in a context of sharp ris</w:t>
      </w:r>
      <w:r w:rsidR="002A7A28" w:rsidRPr="000450BF">
        <w:t>ing</w:t>
      </w:r>
      <w:r w:rsidR="00016C9D" w:rsidRPr="000450BF">
        <w:t xml:space="preserve"> costs and shortage of goods and products</w:t>
      </w:r>
      <w:r w:rsidRPr="000450BF">
        <w:t>,</w:t>
      </w:r>
      <w:r w:rsidR="00016C9D" w:rsidRPr="000450BF">
        <w:t xml:space="preserve"> including basic products. Despite this, the population face</w:t>
      </w:r>
      <w:r w:rsidR="002A7A28" w:rsidRPr="000450BF">
        <w:t>d</w:t>
      </w:r>
      <w:r w:rsidR="00016C9D" w:rsidRPr="000450BF">
        <w:t xml:space="preserve"> a multiplication and increase of taxes, as well as the creation of various mandatory or so </w:t>
      </w:r>
      <w:r w:rsidR="007A7376" w:rsidRPr="000450BF">
        <w:t xml:space="preserve">called </w:t>
      </w:r>
      <w:r w:rsidR="007101CE">
        <w:t>“</w:t>
      </w:r>
      <w:r w:rsidR="007A7376" w:rsidRPr="000450BF">
        <w:t>voluntary</w:t>
      </w:r>
      <w:r w:rsidR="007101CE">
        <w:t>”</w:t>
      </w:r>
      <w:r w:rsidRPr="000450BF">
        <w:t xml:space="preserve"> </w:t>
      </w:r>
      <w:r w:rsidR="00016C9D" w:rsidRPr="000450BF">
        <w:t xml:space="preserve">contributions, which amplified the </w:t>
      </w:r>
      <w:r w:rsidR="002A7A28" w:rsidRPr="000450BF">
        <w:t xml:space="preserve">difficulties of </w:t>
      </w:r>
      <w:r w:rsidR="00016C9D" w:rsidRPr="000450BF">
        <w:t xml:space="preserve">daily life for </w:t>
      </w:r>
      <w:r w:rsidR="007A7376" w:rsidRPr="000450BF">
        <w:t>most of</w:t>
      </w:r>
      <w:r w:rsidR="00016C9D" w:rsidRPr="000450BF">
        <w:t xml:space="preserve"> the population. Violations of the right to adequate food and the right to freedom from hunger, the right to education as well as the right to work and trade union rights were also observed, sometimes on </w:t>
      </w:r>
      <w:r w:rsidR="00AA5B37">
        <w:t>the</w:t>
      </w:r>
      <w:r w:rsidR="00016C9D" w:rsidRPr="000450BF">
        <w:t xml:space="preserve"> discriminatory </w:t>
      </w:r>
      <w:r w:rsidR="00AA5B37">
        <w:t>ground</w:t>
      </w:r>
      <w:r w:rsidR="002A7A28" w:rsidRPr="000450BF">
        <w:t xml:space="preserve"> </w:t>
      </w:r>
      <w:r w:rsidR="00AA5B37">
        <w:t>of</w:t>
      </w:r>
      <w:r w:rsidR="00016C9D" w:rsidRPr="000450BF">
        <w:t xml:space="preserve"> </w:t>
      </w:r>
      <w:r w:rsidR="008E1743" w:rsidRPr="000450BF">
        <w:t>victims’ political opinion</w:t>
      </w:r>
      <w:r w:rsidRPr="000450BF">
        <w:t>.</w:t>
      </w:r>
      <w:r w:rsidRPr="000450BF">
        <w:rPr>
          <w:rStyle w:val="FootnoteReference"/>
        </w:rPr>
        <w:footnoteReference w:id="171"/>
      </w:r>
    </w:p>
    <w:p w14:paraId="62D7F368" w14:textId="4D30B358" w:rsidR="0039134B" w:rsidRPr="000450BF" w:rsidRDefault="0039134B" w:rsidP="0039134B">
      <w:pPr>
        <w:pStyle w:val="SingleTxtG"/>
      </w:pPr>
      <w:r w:rsidRPr="000450BF">
        <w:t>316.</w:t>
      </w:r>
      <w:r w:rsidRPr="000450BF">
        <w:tab/>
        <w:t xml:space="preserve">As a result of this investigation, the Commission is able to confirm that the violations of economic and social rights have persisted, particularly the violations of the right to an adequate standard of living which has direct consequences </w:t>
      </w:r>
      <w:r w:rsidR="002D27AB" w:rsidRPr="000450BF">
        <w:t>on the enjoyment of the right to adequate food and the right to health</w:t>
      </w:r>
      <w:r w:rsidRPr="000450BF">
        <w:t xml:space="preserve">, </w:t>
      </w:r>
      <w:r w:rsidR="002D27AB" w:rsidRPr="000450BF">
        <w:t xml:space="preserve">but also </w:t>
      </w:r>
      <w:r w:rsidRPr="000450BF">
        <w:t xml:space="preserve">violations </w:t>
      </w:r>
      <w:r w:rsidR="002D27AB" w:rsidRPr="000450BF">
        <w:t xml:space="preserve">of the right to work and education, </w:t>
      </w:r>
      <w:r w:rsidR="009304F7" w:rsidRPr="000450BF">
        <w:t xml:space="preserve">which are partly carried out on a discriminatory basis linked to political opinions. </w:t>
      </w:r>
    </w:p>
    <w:p w14:paraId="5D165EFE" w14:textId="720E7624" w:rsidR="008E4E71" w:rsidRPr="000450BF" w:rsidRDefault="008E4E71" w:rsidP="008E4E71">
      <w:pPr>
        <w:pStyle w:val="H23G"/>
      </w:pPr>
      <w:r w:rsidRPr="000450BF">
        <w:tab/>
      </w:r>
      <w:r w:rsidR="008E1743" w:rsidRPr="000450BF">
        <w:t>1.</w:t>
      </w:r>
      <w:r w:rsidR="008E1743" w:rsidRPr="000450BF">
        <w:tab/>
        <w:t>Right to an adequate standard of living</w:t>
      </w:r>
    </w:p>
    <w:p w14:paraId="3E471D13" w14:textId="080899FB" w:rsidR="008E4E71" w:rsidRPr="000450BF" w:rsidRDefault="008E4E71" w:rsidP="008E4E71">
      <w:pPr>
        <w:pStyle w:val="SingleTxtG"/>
      </w:pPr>
      <w:r w:rsidRPr="000450BF">
        <w:t>317.</w:t>
      </w:r>
      <w:r w:rsidRPr="000450BF">
        <w:tab/>
      </w:r>
      <w:r w:rsidR="008E1743" w:rsidRPr="000450BF">
        <w:t xml:space="preserve">The right to an adequate standard of living includes </w:t>
      </w:r>
      <w:r w:rsidR="007101CE">
        <w:t>“</w:t>
      </w:r>
      <w:r w:rsidR="008E1743" w:rsidRPr="000450BF">
        <w:t>the right to adequate food, clothing and housing</w:t>
      </w:r>
      <w:r w:rsidRPr="000450BF">
        <w:t xml:space="preserve">, </w:t>
      </w:r>
      <w:r w:rsidR="008E1743" w:rsidRPr="000450BF">
        <w:t>as well as to a constant improvement of living conditions</w:t>
      </w:r>
      <w:r w:rsidR="007101CE">
        <w:t>”</w:t>
      </w:r>
      <w:r w:rsidR="00BE0A0A">
        <w:t>.</w:t>
      </w:r>
      <w:r w:rsidRPr="000450BF">
        <w:rPr>
          <w:rStyle w:val="FootnoteReference"/>
        </w:rPr>
        <w:footnoteReference w:id="172"/>
      </w:r>
      <w:r w:rsidRPr="000450BF">
        <w:t xml:space="preserve"> </w:t>
      </w:r>
      <w:r w:rsidR="008D281D" w:rsidRPr="000450BF">
        <w:t xml:space="preserve">However, Burundi is one of the poorest countries in the world with </w:t>
      </w:r>
      <w:r w:rsidRPr="000450BF">
        <w:t>74</w:t>
      </w:r>
      <w:r w:rsidR="002A7A28" w:rsidRPr="000450BF">
        <w:t>.</w:t>
      </w:r>
      <w:r w:rsidRPr="000450BF">
        <w:t>7</w:t>
      </w:r>
      <w:r w:rsidR="00BE0A0A">
        <w:t> </w:t>
      </w:r>
      <w:r w:rsidRPr="000450BF">
        <w:t xml:space="preserve">% </w:t>
      </w:r>
      <w:r w:rsidR="008D281D" w:rsidRPr="000450BF">
        <w:t xml:space="preserve">of the </w:t>
      </w:r>
      <w:r w:rsidRPr="000450BF">
        <w:t xml:space="preserve">population </w:t>
      </w:r>
      <w:r w:rsidR="008D281D" w:rsidRPr="000450BF">
        <w:t>living in poverty</w:t>
      </w:r>
      <w:r w:rsidR="00BE0A0A">
        <w:t>.</w:t>
      </w:r>
      <w:r w:rsidRPr="000450BF">
        <w:rPr>
          <w:rStyle w:val="FootnoteReference"/>
        </w:rPr>
        <w:footnoteReference w:id="173"/>
      </w:r>
      <w:r w:rsidRPr="000450BF">
        <w:t xml:space="preserve"> </w:t>
      </w:r>
      <w:r w:rsidR="008D281D" w:rsidRPr="000450BF">
        <w:t xml:space="preserve">The country is classified </w:t>
      </w:r>
      <w:r w:rsidRPr="000450BF">
        <w:t>185</w:t>
      </w:r>
      <w:r w:rsidR="008D281D" w:rsidRPr="000450BF">
        <w:rPr>
          <w:vertAlign w:val="superscript"/>
        </w:rPr>
        <w:t>th</w:t>
      </w:r>
      <w:r w:rsidRPr="000450BF">
        <w:t xml:space="preserve"> </w:t>
      </w:r>
      <w:r w:rsidR="008D281D" w:rsidRPr="000450BF">
        <w:t>out of</w:t>
      </w:r>
      <w:r w:rsidRPr="000450BF">
        <w:t xml:space="preserve"> 189 </w:t>
      </w:r>
      <w:r w:rsidR="00AA5B37">
        <w:t>for the I</w:t>
      </w:r>
      <w:r w:rsidR="008D281D" w:rsidRPr="000450BF">
        <w:t xml:space="preserve">ndex of </w:t>
      </w:r>
      <w:r w:rsidR="00AA5B37">
        <w:t>H</w:t>
      </w:r>
      <w:r w:rsidR="008D281D" w:rsidRPr="000450BF">
        <w:t xml:space="preserve">uman </w:t>
      </w:r>
      <w:r w:rsidR="00AA5B37">
        <w:t>D</w:t>
      </w:r>
      <w:r w:rsidR="008D281D" w:rsidRPr="000450BF">
        <w:t xml:space="preserve">evelopment, life expectancy from birth is only </w:t>
      </w:r>
      <w:r w:rsidRPr="000450BF">
        <w:t>57</w:t>
      </w:r>
      <w:r w:rsidR="002A7A28" w:rsidRPr="000450BF">
        <w:t>.</w:t>
      </w:r>
      <w:r w:rsidRPr="000450BF">
        <w:t xml:space="preserve">9 </w:t>
      </w:r>
      <w:r w:rsidR="008D281D" w:rsidRPr="000450BF">
        <w:t xml:space="preserve">years and the </w:t>
      </w:r>
      <w:r w:rsidR="00ED0FBD" w:rsidRPr="000450BF">
        <w:t>middle income per inhabi</w:t>
      </w:r>
      <w:r w:rsidR="008D281D" w:rsidRPr="000450BF">
        <w:t xml:space="preserve">tant and per year - </w:t>
      </w:r>
      <w:r w:rsidR="00ED0FBD" w:rsidRPr="000450BF">
        <w:t>in purchasing power parity</w:t>
      </w:r>
      <w:r w:rsidRPr="000450BF">
        <w:t xml:space="preserve"> </w:t>
      </w:r>
      <w:r w:rsidR="00ED0FBD" w:rsidRPr="000450BF">
        <w:t>–</w:t>
      </w:r>
      <w:r w:rsidRPr="000450BF">
        <w:t xml:space="preserve"> </w:t>
      </w:r>
      <w:r w:rsidR="00ED0FBD" w:rsidRPr="000450BF">
        <w:t xml:space="preserve">is </w:t>
      </w:r>
      <w:r w:rsidRPr="000450BF">
        <w:t xml:space="preserve">702 </w:t>
      </w:r>
      <w:r w:rsidR="00BE0A0A">
        <w:t>US</w:t>
      </w:r>
      <w:r w:rsidR="00ED0FBD" w:rsidRPr="000450BF">
        <w:t xml:space="preserve"> </w:t>
      </w:r>
      <w:r w:rsidRPr="000450BF">
        <w:t>dollars</w:t>
      </w:r>
      <w:r w:rsidR="00BE0A0A">
        <w:t>.</w:t>
      </w:r>
      <w:r w:rsidRPr="000450BF">
        <w:rPr>
          <w:rStyle w:val="FootnoteReference"/>
        </w:rPr>
        <w:footnoteReference w:id="174"/>
      </w:r>
      <w:r w:rsidRPr="000450BF">
        <w:t xml:space="preserve"> </w:t>
      </w:r>
      <w:r w:rsidR="00ED0FBD" w:rsidRPr="000450BF">
        <w:t xml:space="preserve">The country, in economic recession in </w:t>
      </w:r>
      <w:r w:rsidRPr="000450BF">
        <w:t xml:space="preserve">2015 </w:t>
      </w:r>
      <w:r w:rsidR="00ED0FBD" w:rsidRPr="000450BF">
        <w:t>and</w:t>
      </w:r>
      <w:r w:rsidRPr="000450BF">
        <w:t xml:space="preserve"> 2016, </w:t>
      </w:r>
      <w:r w:rsidR="00ED0FBD" w:rsidRPr="000450BF">
        <w:t>has seen a fragile recovery since 2017, because the political crisis has restrained its access to international assistance that it was s</w:t>
      </w:r>
      <w:r w:rsidR="003F3180" w:rsidRPr="000450BF">
        <w:t>trongly depende</w:t>
      </w:r>
      <w:r w:rsidR="00ED0FBD" w:rsidRPr="000450BF">
        <w:t xml:space="preserve">nt on. This situation has led to a deficit of the trading balance, a lack of foreign currencies and an increase in the cost of living which is still felt by the entire population. </w:t>
      </w:r>
    </w:p>
    <w:p w14:paraId="493343D5" w14:textId="02AB6CB7" w:rsidR="008E4E71" w:rsidRPr="000450BF" w:rsidRDefault="008E4E71" w:rsidP="008E4E71">
      <w:pPr>
        <w:pStyle w:val="SingleTxtG"/>
      </w:pPr>
      <w:r w:rsidRPr="000450BF">
        <w:t>318.</w:t>
      </w:r>
      <w:r w:rsidRPr="000450BF">
        <w:tab/>
      </w:r>
      <w:r w:rsidR="00ED0FBD" w:rsidRPr="000450BF">
        <w:t xml:space="preserve">Despite this difficult </w:t>
      </w:r>
      <w:r w:rsidR="00AA5B37">
        <w:t>overall</w:t>
      </w:r>
      <w:r w:rsidR="00ED0FBD" w:rsidRPr="000450BF">
        <w:t xml:space="preserve"> economic </w:t>
      </w:r>
      <w:r w:rsidRPr="000450BF">
        <w:t xml:space="preserve">situation </w:t>
      </w:r>
      <w:r w:rsidR="00ED0FBD" w:rsidRPr="000450BF">
        <w:t xml:space="preserve">and the increasing impoverishment </w:t>
      </w:r>
      <w:r w:rsidR="005B6F1C" w:rsidRPr="000450BF">
        <w:t>o</w:t>
      </w:r>
      <w:r w:rsidR="00ED0FBD" w:rsidRPr="000450BF">
        <w:t xml:space="preserve">f the population, </w:t>
      </w:r>
      <w:r w:rsidR="007A7376" w:rsidRPr="000450BF">
        <w:t>the Burundian</w:t>
      </w:r>
      <w:r w:rsidRPr="000450BF">
        <w:t xml:space="preserve"> </w:t>
      </w:r>
      <w:r w:rsidR="007F5B89">
        <w:t>Government</w:t>
      </w:r>
      <w:r w:rsidRPr="000450BF">
        <w:t xml:space="preserve"> </w:t>
      </w:r>
      <w:r w:rsidR="005B6F1C" w:rsidRPr="000450BF">
        <w:t xml:space="preserve">and the </w:t>
      </w:r>
      <w:r w:rsidR="002E6630" w:rsidRPr="000450BF">
        <w:t>Burundian</w:t>
      </w:r>
      <w:r w:rsidR="005B6F1C" w:rsidRPr="000450BF">
        <w:t xml:space="preserve"> authorities, have continued to force </w:t>
      </w:r>
      <w:r w:rsidR="002E6630" w:rsidRPr="000450BF">
        <w:t>Burundian</w:t>
      </w:r>
      <w:r w:rsidR="005B6F1C" w:rsidRPr="000450BF">
        <w:t xml:space="preserve">s to regularly pay various </w:t>
      </w:r>
      <w:r w:rsidR="00FB6573" w:rsidRPr="000450BF">
        <w:t xml:space="preserve">contributions, </w:t>
      </w:r>
      <w:r w:rsidR="00AA5B37">
        <w:t>even when</w:t>
      </w:r>
      <w:r w:rsidR="00FB6573" w:rsidRPr="000450BF">
        <w:t xml:space="preserve"> the latter do not </w:t>
      </w:r>
      <w:r w:rsidR="007A7376" w:rsidRPr="000450BF">
        <w:t>necessarily</w:t>
      </w:r>
      <w:r w:rsidR="00FB6573" w:rsidRPr="000450BF">
        <w:t xml:space="preserve"> have a legal basis</w:t>
      </w:r>
      <w:r w:rsidR="00BE0A0A">
        <w:t>.</w:t>
      </w:r>
      <w:r w:rsidRPr="000450BF">
        <w:rPr>
          <w:rStyle w:val="FootnoteReference"/>
        </w:rPr>
        <w:footnoteReference w:id="175"/>
      </w:r>
      <w:r w:rsidRPr="000450BF">
        <w:t xml:space="preserve"> </w:t>
      </w:r>
      <w:r w:rsidR="00FB6573" w:rsidRPr="000450BF">
        <w:t>The objective of the main contributions required since the beginning of the year 2018 was to finance the</w:t>
      </w:r>
      <w:r w:rsidRPr="000450BF">
        <w:t xml:space="preserve"> </w:t>
      </w:r>
      <w:r w:rsidR="007101CE">
        <w:t>“</w:t>
      </w:r>
      <w:r w:rsidR="00FB6573" w:rsidRPr="000450BF">
        <w:t>2020 e</w:t>
      </w:r>
      <w:r w:rsidRPr="000450BF">
        <w:t>lections</w:t>
      </w:r>
      <w:r w:rsidR="00BE0A0A">
        <w:t>”</w:t>
      </w:r>
      <w:r w:rsidRPr="000450BF">
        <w:t xml:space="preserve"> </w:t>
      </w:r>
      <w:r w:rsidR="00FB6573" w:rsidRPr="000450BF">
        <w:t xml:space="preserve">and they were partly compulsory and partly </w:t>
      </w:r>
      <w:r w:rsidR="007101CE">
        <w:t>“</w:t>
      </w:r>
      <w:r w:rsidR="00FB6573" w:rsidRPr="000450BF">
        <w:t>voluntary</w:t>
      </w:r>
      <w:r w:rsidR="007101CE">
        <w:t>”</w:t>
      </w:r>
      <w:r w:rsidR="00BE0A0A">
        <w:t>.</w:t>
      </w:r>
      <w:r w:rsidRPr="000450BF">
        <w:rPr>
          <w:rStyle w:val="FootnoteReference"/>
        </w:rPr>
        <w:footnoteReference w:id="176"/>
      </w:r>
      <w:r w:rsidRPr="000450BF">
        <w:t xml:space="preserve"> </w:t>
      </w:r>
      <w:r w:rsidR="00FB6573" w:rsidRPr="000450BF">
        <w:t xml:space="preserve">Witnesses explained that the </w:t>
      </w:r>
      <w:r w:rsidRPr="000450BF">
        <w:t xml:space="preserve">Imbonerakure </w:t>
      </w:r>
      <w:r w:rsidR="00FB6573" w:rsidRPr="000450BF">
        <w:t xml:space="preserve">did not hesitate to threaten, intimidate and even resort to the use of force when requesting payment for these contributions </w:t>
      </w:r>
      <w:r w:rsidR="00AA5B37">
        <w:t>for the</w:t>
      </w:r>
      <w:r w:rsidR="00FB6573" w:rsidRPr="000450BF">
        <w:t xml:space="preserve"> e</w:t>
      </w:r>
      <w:r w:rsidRPr="000450BF">
        <w:t>lections</w:t>
      </w:r>
      <w:r w:rsidR="00BE0A0A">
        <w:t>.</w:t>
      </w:r>
      <w:r w:rsidRPr="000450BF">
        <w:rPr>
          <w:rStyle w:val="FootnoteReference"/>
        </w:rPr>
        <w:footnoteReference w:id="177"/>
      </w:r>
      <w:r w:rsidRPr="000450BF">
        <w:t xml:space="preserve"> </w:t>
      </w:r>
      <w:r w:rsidR="00FB6573" w:rsidRPr="000450BF">
        <w:t>In addition,</w:t>
      </w:r>
      <w:r w:rsidR="007A7376" w:rsidRPr="000450BF">
        <w:t xml:space="preserve"> </w:t>
      </w:r>
      <w:r w:rsidR="00FB6573" w:rsidRPr="000450BF">
        <w:t xml:space="preserve">people </w:t>
      </w:r>
      <w:r w:rsidR="007A7376" w:rsidRPr="000450BF">
        <w:t xml:space="preserve">generally </w:t>
      </w:r>
      <w:r w:rsidR="00FB6573" w:rsidRPr="000450BF">
        <w:t>felt compelled to pay given that the payment receipts for these contributions were a prerequisite for access to various public services</w:t>
      </w:r>
      <w:r w:rsidR="00BE0A0A">
        <w:t>.</w:t>
      </w:r>
      <w:r w:rsidRPr="000450BF">
        <w:rPr>
          <w:rStyle w:val="FootnoteReference"/>
        </w:rPr>
        <w:footnoteReference w:id="178"/>
      </w:r>
    </w:p>
    <w:p w14:paraId="4EBE2BBA" w14:textId="4A3D7A1E" w:rsidR="008E4E71" w:rsidRPr="000450BF" w:rsidRDefault="007101CE" w:rsidP="008E4E71">
      <w:pPr>
        <w:pStyle w:val="SingleTxtG"/>
        <w:ind w:left="1701"/>
      </w:pPr>
      <w:r>
        <w:rPr>
          <w:i/>
        </w:rPr>
        <w:t>“</w:t>
      </w:r>
      <w:r w:rsidR="00FB6573" w:rsidRPr="000450BF">
        <w:rPr>
          <w:i/>
        </w:rPr>
        <w:t xml:space="preserve">The last time that I contributed, was around </w:t>
      </w:r>
      <w:r w:rsidR="008E4E71" w:rsidRPr="000450BF">
        <w:rPr>
          <w:i/>
        </w:rPr>
        <w:t xml:space="preserve">[X] </w:t>
      </w:r>
      <w:r w:rsidR="007A7376" w:rsidRPr="000450BF">
        <w:rPr>
          <w:i/>
        </w:rPr>
        <w:t>No</w:t>
      </w:r>
      <w:r w:rsidR="008E4E71" w:rsidRPr="000450BF">
        <w:rPr>
          <w:i/>
        </w:rPr>
        <w:t>vemb</w:t>
      </w:r>
      <w:r w:rsidR="007A7376" w:rsidRPr="000450BF">
        <w:rPr>
          <w:i/>
        </w:rPr>
        <w:t>er</w:t>
      </w:r>
      <w:r w:rsidR="008E4E71" w:rsidRPr="000450BF">
        <w:rPr>
          <w:i/>
        </w:rPr>
        <w:t xml:space="preserve"> 2018 </w:t>
      </w:r>
      <w:r w:rsidR="00FB6573" w:rsidRPr="000450BF">
        <w:rPr>
          <w:i/>
        </w:rPr>
        <w:t xml:space="preserve">in order to have the proof of residence in the province of </w:t>
      </w:r>
      <w:r w:rsidR="008E4E71" w:rsidRPr="000450BF">
        <w:rPr>
          <w:i/>
        </w:rPr>
        <w:t xml:space="preserve">[Y]. </w:t>
      </w:r>
      <w:r w:rsidR="00FB6573" w:rsidRPr="000450BF">
        <w:rPr>
          <w:i/>
        </w:rPr>
        <w:t xml:space="preserve">I sent a friend who worked close to the </w:t>
      </w:r>
      <w:r w:rsidR="008E4E71" w:rsidRPr="000450BF">
        <w:rPr>
          <w:i/>
        </w:rPr>
        <w:t xml:space="preserve">commune </w:t>
      </w:r>
      <w:r w:rsidR="00DC4839" w:rsidRPr="000450BF">
        <w:rPr>
          <w:i/>
        </w:rPr>
        <w:t xml:space="preserve">and he asked for the proof on my behalf. I could not show up for fear of </w:t>
      </w:r>
      <w:r w:rsidR="008E4E71" w:rsidRPr="000450BF">
        <w:rPr>
          <w:i/>
        </w:rPr>
        <w:t xml:space="preserve">Imbonerakure. </w:t>
      </w:r>
      <w:r w:rsidR="00DC4839" w:rsidRPr="000450BF">
        <w:rPr>
          <w:i/>
        </w:rPr>
        <w:t xml:space="preserve">The administrator of the commune asked him </w:t>
      </w:r>
      <w:r w:rsidR="008E4E71" w:rsidRPr="000450BF">
        <w:rPr>
          <w:i/>
        </w:rPr>
        <w:t xml:space="preserve">[…] </w:t>
      </w:r>
      <w:r w:rsidR="00662CCF">
        <w:rPr>
          <w:i/>
        </w:rPr>
        <w:t>‘</w:t>
      </w:r>
      <w:r w:rsidR="00DC4839" w:rsidRPr="000450BF">
        <w:rPr>
          <w:i/>
        </w:rPr>
        <w:t>Did you bring the 2,</w:t>
      </w:r>
      <w:r w:rsidR="008E4E71" w:rsidRPr="000450BF">
        <w:rPr>
          <w:i/>
        </w:rPr>
        <w:t xml:space="preserve">000 francs </w:t>
      </w:r>
      <w:r w:rsidR="00DC4839" w:rsidRPr="000450BF">
        <w:rPr>
          <w:i/>
        </w:rPr>
        <w:t>for contribution to the elections</w:t>
      </w:r>
      <w:r w:rsidR="008E4E71" w:rsidRPr="000450BF">
        <w:rPr>
          <w:i/>
        </w:rPr>
        <w:t>?</w:t>
      </w:r>
      <w:proofErr w:type="gramStart"/>
      <w:r w:rsidR="00662CCF">
        <w:rPr>
          <w:i/>
        </w:rPr>
        <w:t>’</w:t>
      </w:r>
      <w:r w:rsidR="008E4E71" w:rsidRPr="000450BF">
        <w:rPr>
          <w:i/>
        </w:rPr>
        <w:t>.</w:t>
      </w:r>
      <w:proofErr w:type="gramEnd"/>
      <w:r w:rsidR="008E4E71" w:rsidRPr="000450BF">
        <w:rPr>
          <w:i/>
        </w:rPr>
        <w:t xml:space="preserve"> </w:t>
      </w:r>
      <w:r w:rsidR="00DC4839" w:rsidRPr="000450BF">
        <w:rPr>
          <w:i/>
        </w:rPr>
        <w:t xml:space="preserve">He had to pay </w:t>
      </w:r>
      <w:r w:rsidR="008E4E71" w:rsidRPr="000450BF">
        <w:rPr>
          <w:i/>
        </w:rPr>
        <w:t>2</w:t>
      </w:r>
      <w:r w:rsidR="00DC4839" w:rsidRPr="000450BF">
        <w:rPr>
          <w:i/>
        </w:rPr>
        <w:t>,</w:t>
      </w:r>
      <w:r w:rsidR="008E4E71" w:rsidRPr="000450BF">
        <w:rPr>
          <w:i/>
        </w:rPr>
        <w:t xml:space="preserve">000 </w:t>
      </w:r>
      <w:r w:rsidR="002E6630" w:rsidRPr="000450BF">
        <w:rPr>
          <w:i/>
        </w:rPr>
        <w:t>Burundian</w:t>
      </w:r>
      <w:r w:rsidR="00DC4839" w:rsidRPr="000450BF">
        <w:rPr>
          <w:i/>
        </w:rPr>
        <w:t xml:space="preserve"> </w:t>
      </w:r>
      <w:r w:rsidR="008E4E71" w:rsidRPr="000450BF">
        <w:rPr>
          <w:i/>
        </w:rPr>
        <w:t xml:space="preserve">francs </w:t>
      </w:r>
      <w:r w:rsidR="008E4E71" w:rsidRPr="000450BF">
        <w:t>[</w:t>
      </w:r>
      <w:r w:rsidR="00DC4839" w:rsidRPr="000450BF">
        <w:t xml:space="preserve">around 1 </w:t>
      </w:r>
      <w:r w:rsidR="00662CCF">
        <w:t>US</w:t>
      </w:r>
      <w:r w:rsidR="00DC4839" w:rsidRPr="000450BF">
        <w:t xml:space="preserve"> dollar</w:t>
      </w:r>
      <w:r w:rsidR="008E4E71" w:rsidRPr="000450BF">
        <w:t>]</w:t>
      </w:r>
      <w:r w:rsidR="008E4E71" w:rsidRPr="000450BF">
        <w:rPr>
          <w:i/>
        </w:rPr>
        <w:t xml:space="preserve"> </w:t>
      </w:r>
      <w:r w:rsidR="00DC4839" w:rsidRPr="000450BF">
        <w:rPr>
          <w:i/>
        </w:rPr>
        <w:t>to have the proof of residence</w:t>
      </w:r>
      <w:r>
        <w:rPr>
          <w:i/>
        </w:rPr>
        <w:t>”</w:t>
      </w:r>
      <w:r w:rsidR="00662CCF">
        <w:rPr>
          <w:i/>
        </w:rPr>
        <w:t>.</w:t>
      </w:r>
      <w:r w:rsidR="008E4E71" w:rsidRPr="000450BF">
        <w:rPr>
          <w:rStyle w:val="FootnoteReference"/>
        </w:rPr>
        <w:footnoteReference w:id="179"/>
      </w:r>
    </w:p>
    <w:p w14:paraId="70A0673E" w14:textId="612EA2A7" w:rsidR="008E4E71" w:rsidRPr="000450BF" w:rsidRDefault="008E4E71" w:rsidP="008E4E71">
      <w:pPr>
        <w:pStyle w:val="SingleTxtG"/>
      </w:pPr>
      <w:r w:rsidRPr="000450BF">
        <w:t>319.</w:t>
      </w:r>
      <w:r w:rsidRPr="000450BF">
        <w:tab/>
      </w:r>
      <w:r w:rsidR="006A2986" w:rsidRPr="000450BF">
        <w:t xml:space="preserve">On </w:t>
      </w:r>
      <w:r w:rsidRPr="000450BF">
        <w:t xml:space="preserve">30 </w:t>
      </w:r>
      <w:r w:rsidR="007A7376" w:rsidRPr="000450BF">
        <w:t>J</w:t>
      </w:r>
      <w:r w:rsidRPr="000450BF">
        <w:t>u</w:t>
      </w:r>
      <w:r w:rsidR="006A2986" w:rsidRPr="000450BF">
        <w:t xml:space="preserve">ne </w:t>
      </w:r>
      <w:r w:rsidRPr="000450BF">
        <w:t xml:space="preserve">2019, </w:t>
      </w:r>
      <w:r w:rsidR="006A2986" w:rsidRPr="000450BF">
        <w:t xml:space="preserve">in his speech </w:t>
      </w:r>
      <w:r w:rsidR="007A7376" w:rsidRPr="000450BF">
        <w:t>on</w:t>
      </w:r>
      <w:r w:rsidR="006A2986" w:rsidRPr="000450BF">
        <w:t xml:space="preserve"> </w:t>
      </w:r>
      <w:r w:rsidR="007A7376" w:rsidRPr="000450BF">
        <w:t>Independence Day</w:t>
      </w:r>
      <w:r w:rsidR="006A2986" w:rsidRPr="000450BF">
        <w:t xml:space="preserve"> on 1 Ju</w:t>
      </w:r>
      <w:r w:rsidR="00BB4590" w:rsidRPr="000450BF">
        <w:t>l</w:t>
      </w:r>
      <w:r w:rsidR="006A2986" w:rsidRPr="000450BF">
        <w:t xml:space="preserve">y 2019, the Head of State announced that since the required budget for the elections </w:t>
      </w:r>
      <w:r w:rsidR="00BB4590" w:rsidRPr="000450BF">
        <w:t xml:space="preserve">has been reached, the </w:t>
      </w:r>
      <w:r w:rsidR="007A7376" w:rsidRPr="000450BF">
        <w:t>mandatory</w:t>
      </w:r>
      <w:r w:rsidR="00BB4590" w:rsidRPr="000450BF">
        <w:t xml:space="preserve"> contributions were abolished and only the </w:t>
      </w:r>
      <w:r w:rsidR="007101CE">
        <w:t>“</w:t>
      </w:r>
      <w:r w:rsidR="00BB4590" w:rsidRPr="000450BF">
        <w:t>voluntary</w:t>
      </w:r>
      <w:r w:rsidR="007101CE">
        <w:t>”</w:t>
      </w:r>
      <w:r w:rsidRPr="000450BF">
        <w:t xml:space="preserve"> </w:t>
      </w:r>
      <w:r w:rsidR="00BB4590" w:rsidRPr="000450BF">
        <w:t>ones driven by patriotic emulation will be paid</w:t>
      </w:r>
      <w:r w:rsidR="00662CCF">
        <w:t>.</w:t>
      </w:r>
      <w:r w:rsidRPr="000450BF">
        <w:rPr>
          <w:rStyle w:val="FootnoteReference"/>
        </w:rPr>
        <w:footnoteReference w:id="180"/>
      </w:r>
      <w:r w:rsidRPr="000450BF">
        <w:t xml:space="preserve"> </w:t>
      </w:r>
      <w:r w:rsidR="00BB4590" w:rsidRPr="000450BF">
        <w:t xml:space="preserve">However, the </w:t>
      </w:r>
      <w:r w:rsidRPr="000450BF">
        <w:t xml:space="preserve">Commission </w:t>
      </w:r>
      <w:r w:rsidR="00BB4590" w:rsidRPr="000450BF">
        <w:t xml:space="preserve">has </w:t>
      </w:r>
      <w:r w:rsidR="007A7376" w:rsidRPr="000450BF">
        <w:t>received</w:t>
      </w:r>
      <w:r w:rsidR="00BB4590" w:rsidRPr="000450BF">
        <w:t xml:space="preserve"> information </w:t>
      </w:r>
      <w:r w:rsidR="008321C4" w:rsidRPr="000450BF">
        <w:t>indicating</w:t>
      </w:r>
      <w:r w:rsidR="00BB4590" w:rsidRPr="000450BF">
        <w:t xml:space="preserve"> that the mandatory contributions for </w:t>
      </w:r>
      <w:r w:rsidR="00AA5B37">
        <w:t xml:space="preserve">the </w:t>
      </w:r>
      <w:r w:rsidR="00BB4590" w:rsidRPr="000450BF">
        <w:t>2020 elections, especially the sums withheld at the source for civil servants, have continued to be collected</w:t>
      </w:r>
      <w:r w:rsidR="00662CCF">
        <w:t>.</w:t>
      </w:r>
      <w:r w:rsidRPr="000450BF">
        <w:rPr>
          <w:rStyle w:val="FootnoteReference"/>
        </w:rPr>
        <w:footnoteReference w:id="181"/>
      </w:r>
    </w:p>
    <w:p w14:paraId="54A5AC35" w14:textId="537C31C6" w:rsidR="008E4E71" w:rsidRPr="000450BF" w:rsidRDefault="008E4E71" w:rsidP="008E4E71">
      <w:pPr>
        <w:pStyle w:val="SingleTxtG"/>
      </w:pPr>
      <w:r w:rsidRPr="000450BF">
        <w:t>320.</w:t>
      </w:r>
      <w:r w:rsidRPr="000450BF">
        <w:tab/>
      </w:r>
      <w:r w:rsidR="000C1957" w:rsidRPr="000450BF">
        <w:t>Other than the elections contributions, Imbonerakure collected, by intimidation or by force, contributions for the construction of local headquarters of the ruling party, CNDD-FDD</w:t>
      </w:r>
      <w:r w:rsidR="00662CCF">
        <w:t>.</w:t>
      </w:r>
      <w:r w:rsidRPr="000450BF">
        <w:rPr>
          <w:rStyle w:val="FootnoteReference"/>
        </w:rPr>
        <w:footnoteReference w:id="182"/>
      </w:r>
      <w:r w:rsidRPr="000450BF">
        <w:t xml:space="preserve"> </w:t>
      </w:r>
      <w:r w:rsidR="000C1957" w:rsidRPr="000450BF">
        <w:t xml:space="preserve">A witness </w:t>
      </w:r>
      <w:r w:rsidR="007A7376" w:rsidRPr="000450BF">
        <w:t>noted:</w:t>
      </w:r>
    </w:p>
    <w:p w14:paraId="72CC62AA" w14:textId="1B6168DB" w:rsidR="008E4E71" w:rsidRPr="000450BF" w:rsidRDefault="007101CE" w:rsidP="008E4E71">
      <w:pPr>
        <w:pStyle w:val="SingleTxtG"/>
        <w:ind w:left="1701"/>
        <w:rPr>
          <w:i/>
        </w:rPr>
      </w:pPr>
      <w:r>
        <w:rPr>
          <w:i/>
        </w:rPr>
        <w:t>“</w:t>
      </w:r>
      <w:r w:rsidR="008E4E71" w:rsidRPr="000450BF">
        <w:rPr>
          <w:i/>
        </w:rPr>
        <w:t xml:space="preserve">Imbonerakure </w:t>
      </w:r>
      <w:r w:rsidR="00BD7100" w:rsidRPr="000450BF">
        <w:rPr>
          <w:i/>
        </w:rPr>
        <w:t>a</w:t>
      </w:r>
      <w:r w:rsidR="000C1957" w:rsidRPr="000450BF">
        <w:rPr>
          <w:i/>
        </w:rPr>
        <w:t>lso asked us to contribute to the party. They said that if we do not join the party, we should still pay contributions to the party. We had to pay 2,</w:t>
      </w:r>
      <w:r w:rsidR="008E4E71" w:rsidRPr="000450BF">
        <w:rPr>
          <w:i/>
        </w:rPr>
        <w:t xml:space="preserve">000 </w:t>
      </w:r>
      <w:r w:rsidR="002E6630" w:rsidRPr="000450BF">
        <w:rPr>
          <w:i/>
        </w:rPr>
        <w:t>Burundian</w:t>
      </w:r>
      <w:r w:rsidR="000C1957" w:rsidRPr="000450BF">
        <w:rPr>
          <w:i/>
        </w:rPr>
        <w:t xml:space="preserve"> francs</w:t>
      </w:r>
      <w:r w:rsidR="008E4E71" w:rsidRPr="000450BF">
        <w:rPr>
          <w:i/>
        </w:rPr>
        <w:t xml:space="preserve"> </w:t>
      </w:r>
      <w:r w:rsidR="008E4E71" w:rsidRPr="000450BF">
        <w:t>[</w:t>
      </w:r>
      <w:r w:rsidR="000C1957" w:rsidRPr="000450BF">
        <w:t>around</w:t>
      </w:r>
      <w:r w:rsidR="008E4E71" w:rsidRPr="000450BF">
        <w:t xml:space="preserve"> 1 </w:t>
      </w:r>
      <w:r w:rsidR="00662CCF">
        <w:t>US</w:t>
      </w:r>
      <w:r w:rsidR="000C1957" w:rsidRPr="000450BF">
        <w:t xml:space="preserve"> </w:t>
      </w:r>
      <w:r w:rsidR="008E4E71" w:rsidRPr="000450BF">
        <w:t>dollar]</w:t>
      </w:r>
      <w:r w:rsidR="008E4E71" w:rsidRPr="000450BF">
        <w:rPr>
          <w:i/>
        </w:rPr>
        <w:t xml:space="preserve"> </w:t>
      </w:r>
      <w:r w:rsidR="000C1957" w:rsidRPr="000450BF">
        <w:rPr>
          <w:i/>
        </w:rPr>
        <w:t>per household and per month</w:t>
      </w:r>
      <w:r w:rsidR="008E4E71" w:rsidRPr="000450BF">
        <w:rPr>
          <w:i/>
        </w:rPr>
        <w:t xml:space="preserve">. </w:t>
      </w:r>
      <w:r w:rsidR="000C1957" w:rsidRPr="000450BF">
        <w:rPr>
          <w:i/>
        </w:rPr>
        <w:t xml:space="preserve">We received unstamped receipts. These </w:t>
      </w:r>
      <w:r w:rsidR="008E4E71" w:rsidRPr="000450BF">
        <w:rPr>
          <w:i/>
        </w:rPr>
        <w:t xml:space="preserve">contributions </w:t>
      </w:r>
      <w:r w:rsidR="000C1957" w:rsidRPr="000450BF">
        <w:rPr>
          <w:i/>
        </w:rPr>
        <w:t xml:space="preserve">were for the party </w:t>
      </w:r>
      <w:r w:rsidR="008E4E71" w:rsidRPr="000450BF">
        <w:rPr>
          <w:i/>
        </w:rPr>
        <w:t xml:space="preserve">CNDD-FDD. </w:t>
      </w:r>
      <w:r w:rsidR="000C1957" w:rsidRPr="000450BF">
        <w:rPr>
          <w:i/>
        </w:rPr>
        <w:t xml:space="preserve">We paid in July, August, September and October </w:t>
      </w:r>
      <w:r w:rsidR="008E4E71" w:rsidRPr="000450BF">
        <w:rPr>
          <w:i/>
        </w:rPr>
        <w:t>2018</w:t>
      </w:r>
      <w:r w:rsidR="00662CCF">
        <w:rPr>
          <w:i/>
        </w:rPr>
        <w:t>”.</w:t>
      </w:r>
      <w:r w:rsidR="008E4E71" w:rsidRPr="000450BF">
        <w:rPr>
          <w:rStyle w:val="FootnoteReference"/>
        </w:rPr>
        <w:footnoteReference w:id="183"/>
      </w:r>
    </w:p>
    <w:p w14:paraId="25F205CD" w14:textId="2CBB9343" w:rsidR="008E4E71" w:rsidRPr="000450BF" w:rsidRDefault="008E4E71" w:rsidP="008E4E71">
      <w:pPr>
        <w:pStyle w:val="SingleTxtG"/>
      </w:pPr>
      <w:r w:rsidRPr="000450BF">
        <w:t>321.</w:t>
      </w:r>
      <w:r w:rsidRPr="000450BF">
        <w:tab/>
      </w:r>
      <w:r w:rsidR="000C1957" w:rsidRPr="000450BF">
        <w:t xml:space="preserve">Several refugees </w:t>
      </w:r>
      <w:r w:rsidR="00507236" w:rsidRPr="000450BF">
        <w:t xml:space="preserve">who </w:t>
      </w:r>
      <w:r w:rsidR="000C1957" w:rsidRPr="000450BF">
        <w:t xml:space="preserve">returned in </w:t>
      </w:r>
      <w:r w:rsidRPr="000450BF">
        <w:t xml:space="preserve">Burundi </w:t>
      </w:r>
      <w:r w:rsidR="00507236" w:rsidRPr="000450BF">
        <w:t xml:space="preserve">in the framework of the assistance programme for repatriation were forcibly stripped of their food kits and monies by </w:t>
      </w:r>
      <w:r w:rsidRPr="000450BF">
        <w:t xml:space="preserve">Imbonerakure </w:t>
      </w:r>
      <w:r w:rsidR="00507236" w:rsidRPr="000450BF">
        <w:t xml:space="preserve">and local </w:t>
      </w:r>
      <w:r w:rsidR="007A7376" w:rsidRPr="000450BF">
        <w:t>administrators or</w:t>
      </w:r>
      <w:r w:rsidR="00507236" w:rsidRPr="000450BF">
        <w:t xml:space="preserve"> forced to catch up with their contribution payments that were unpaid during their exile. </w:t>
      </w:r>
      <w:r w:rsidR="00DD4BA6" w:rsidRPr="000450BF">
        <w:t xml:space="preserve">Judging by the perpetrators’ </w:t>
      </w:r>
      <w:r w:rsidR="007A7376" w:rsidRPr="000450BF">
        <w:t>statements as</w:t>
      </w:r>
      <w:r w:rsidR="00DD4BA6" w:rsidRPr="000450BF">
        <w:t xml:space="preserve"> reported by the witnesses, these were quasi-retaliatory actions against the returnees for having fled Burundi after 2015 and for not having participated in its development, nor contributed to the elections. They subsequently found themselves with no </w:t>
      </w:r>
      <w:r w:rsidR="007A7376" w:rsidRPr="000450BF">
        <w:t>resources</w:t>
      </w:r>
      <w:r w:rsidRPr="000450BF">
        <w:t xml:space="preserve">, </w:t>
      </w:r>
      <w:r w:rsidR="00D97A09" w:rsidRPr="000450BF">
        <w:t>and some were forced to flee again</w:t>
      </w:r>
      <w:r w:rsidR="00662CCF">
        <w:t>.</w:t>
      </w:r>
      <w:r w:rsidRPr="000450BF">
        <w:rPr>
          <w:rStyle w:val="FootnoteReference"/>
        </w:rPr>
        <w:footnoteReference w:id="184"/>
      </w:r>
      <w:r w:rsidR="00D97A09" w:rsidRPr="000450BF">
        <w:t xml:space="preserve"> A person who was repatriated to Burundi recounted what happened to them upon their return:</w:t>
      </w:r>
    </w:p>
    <w:p w14:paraId="50D54EA1" w14:textId="573BD243" w:rsidR="008E4E71" w:rsidRPr="000450BF" w:rsidRDefault="007101CE" w:rsidP="008E4E71">
      <w:pPr>
        <w:pStyle w:val="SingleTxtG"/>
        <w:ind w:left="1701"/>
      </w:pPr>
      <w:r>
        <w:rPr>
          <w:i/>
        </w:rPr>
        <w:t>“</w:t>
      </w:r>
      <w:r w:rsidR="008E4E71" w:rsidRPr="000450BF">
        <w:rPr>
          <w:i/>
        </w:rPr>
        <w:t>Imbonerakure continu</w:t>
      </w:r>
      <w:r w:rsidR="00D97A09" w:rsidRPr="000450BF">
        <w:rPr>
          <w:i/>
        </w:rPr>
        <w:t xml:space="preserve">ed to harass me and to take all that I had. I went to see the </w:t>
      </w:r>
      <w:r w:rsidR="008E4E71" w:rsidRPr="000450BF">
        <w:rPr>
          <w:i/>
        </w:rPr>
        <w:t xml:space="preserve">chef de colline </w:t>
      </w:r>
      <w:r w:rsidR="00D97A09" w:rsidRPr="000450BF">
        <w:rPr>
          <w:i/>
        </w:rPr>
        <w:t xml:space="preserve">a few days after my </w:t>
      </w:r>
      <w:r w:rsidR="007A7376" w:rsidRPr="000450BF">
        <w:rPr>
          <w:i/>
        </w:rPr>
        <w:t>arrival. [</w:t>
      </w:r>
      <w:r w:rsidR="008E4E71" w:rsidRPr="000450BF">
        <w:rPr>
          <w:i/>
        </w:rPr>
        <w:t xml:space="preserve">…] </w:t>
      </w:r>
      <w:r w:rsidR="00D97A09" w:rsidRPr="000450BF">
        <w:rPr>
          <w:i/>
        </w:rPr>
        <w:t>The</w:t>
      </w:r>
      <w:r w:rsidR="008E4E71" w:rsidRPr="000450BF">
        <w:rPr>
          <w:i/>
        </w:rPr>
        <w:t xml:space="preserve"> chef de colline </w:t>
      </w:r>
      <w:r w:rsidR="00D97A09" w:rsidRPr="000450BF">
        <w:rPr>
          <w:i/>
        </w:rPr>
        <w:t xml:space="preserve">told me that as a returning </w:t>
      </w:r>
      <w:r w:rsidR="007A7376" w:rsidRPr="000450BF">
        <w:rPr>
          <w:i/>
        </w:rPr>
        <w:t>refugee;</w:t>
      </w:r>
      <w:r w:rsidR="00D97A09" w:rsidRPr="000450BF">
        <w:rPr>
          <w:i/>
        </w:rPr>
        <w:t xml:space="preserve"> I had no right nor voice. The rights of those who stayed in the country override those </w:t>
      </w:r>
      <w:r w:rsidR="00AE425A" w:rsidRPr="000450BF">
        <w:rPr>
          <w:i/>
        </w:rPr>
        <w:t>of the ones who left and returned</w:t>
      </w:r>
      <w:r>
        <w:rPr>
          <w:i/>
        </w:rPr>
        <w:t>”</w:t>
      </w:r>
      <w:r w:rsidR="00662CCF">
        <w:rPr>
          <w:i/>
        </w:rPr>
        <w:t>.</w:t>
      </w:r>
      <w:r w:rsidR="008E4E71" w:rsidRPr="000450BF">
        <w:rPr>
          <w:rStyle w:val="FootnoteReference"/>
        </w:rPr>
        <w:footnoteReference w:id="185"/>
      </w:r>
    </w:p>
    <w:p w14:paraId="2236696E" w14:textId="473C61A6" w:rsidR="008E4E71" w:rsidRPr="000450BF" w:rsidRDefault="00AE425A" w:rsidP="008E4E71">
      <w:pPr>
        <w:pStyle w:val="SingleTxtG"/>
      </w:pPr>
      <w:r w:rsidRPr="000450BF">
        <w:t>322.</w:t>
      </w:r>
      <w:r w:rsidRPr="000450BF">
        <w:tab/>
        <w:t xml:space="preserve">This </w:t>
      </w:r>
      <w:r w:rsidR="008E4E71" w:rsidRPr="000450BF">
        <w:t xml:space="preserve">situation </w:t>
      </w:r>
      <w:r w:rsidRPr="000450BF">
        <w:t>has important consequences on the standard of living of families whose head of household was killed or disappeared, because they have difficulties feeding themselves and keeping a lodging</w:t>
      </w:r>
      <w:r w:rsidR="00662CCF">
        <w:t>.</w:t>
      </w:r>
      <w:r w:rsidR="008E4E71" w:rsidRPr="000450BF">
        <w:rPr>
          <w:rStyle w:val="FootnoteReference"/>
        </w:rPr>
        <w:footnoteReference w:id="186"/>
      </w:r>
      <w:r w:rsidR="008E4E71" w:rsidRPr="000450BF">
        <w:t xml:space="preserve"> </w:t>
      </w:r>
      <w:r w:rsidRPr="000450BF">
        <w:t>A young man whose father disappeared said</w:t>
      </w:r>
      <w:r w:rsidR="008E4E71" w:rsidRPr="000450BF">
        <w:t>:</w:t>
      </w:r>
    </w:p>
    <w:p w14:paraId="1C776CDE" w14:textId="210D6796" w:rsidR="008E4E71" w:rsidRPr="000450BF" w:rsidRDefault="007101CE" w:rsidP="008E4E71">
      <w:pPr>
        <w:pStyle w:val="SingleTxtG"/>
        <w:ind w:left="1701"/>
      </w:pPr>
      <w:r>
        <w:rPr>
          <w:i/>
        </w:rPr>
        <w:t>“</w:t>
      </w:r>
      <w:r w:rsidR="00AE425A" w:rsidRPr="000450BF">
        <w:rPr>
          <w:i/>
        </w:rPr>
        <w:t xml:space="preserve">My mother does not work, she is a farmer. I had to work to provide for my mother and my brothers. I worked in the fields for </w:t>
      </w:r>
      <w:r w:rsidR="008E4E71" w:rsidRPr="000450BF">
        <w:rPr>
          <w:i/>
        </w:rPr>
        <w:t>2</w:t>
      </w:r>
      <w:r w:rsidR="00AE425A" w:rsidRPr="000450BF">
        <w:rPr>
          <w:i/>
        </w:rPr>
        <w:t>,</w:t>
      </w:r>
      <w:r w:rsidR="008E4E71" w:rsidRPr="000450BF">
        <w:rPr>
          <w:i/>
        </w:rPr>
        <w:t xml:space="preserve">000 </w:t>
      </w:r>
      <w:r w:rsidR="002E6630" w:rsidRPr="000450BF">
        <w:rPr>
          <w:i/>
        </w:rPr>
        <w:t>Burundian</w:t>
      </w:r>
      <w:r w:rsidR="00AE425A" w:rsidRPr="000450BF">
        <w:rPr>
          <w:i/>
        </w:rPr>
        <w:t xml:space="preserve"> francs</w:t>
      </w:r>
      <w:r w:rsidR="008E4E71" w:rsidRPr="000450BF">
        <w:rPr>
          <w:i/>
        </w:rPr>
        <w:t xml:space="preserve"> </w:t>
      </w:r>
      <w:r w:rsidR="008E4E71" w:rsidRPr="000450BF">
        <w:t>[</w:t>
      </w:r>
      <w:r w:rsidR="00AE425A" w:rsidRPr="000450BF">
        <w:t xml:space="preserve">around 1 </w:t>
      </w:r>
      <w:r w:rsidR="00662CCF">
        <w:t>US</w:t>
      </w:r>
      <w:r w:rsidR="00AE425A" w:rsidRPr="000450BF">
        <w:t xml:space="preserve"> dollar</w:t>
      </w:r>
      <w:r w:rsidR="008E4E71" w:rsidRPr="000450BF">
        <w:t>]</w:t>
      </w:r>
      <w:r w:rsidR="008E4E71" w:rsidRPr="000450BF">
        <w:rPr>
          <w:i/>
        </w:rPr>
        <w:t xml:space="preserve"> p</w:t>
      </w:r>
      <w:r w:rsidR="00AE425A" w:rsidRPr="000450BF">
        <w:rPr>
          <w:i/>
        </w:rPr>
        <w:t>er day. We often slep</w:t>
      </w:r>
      <w:r w:rsidR="007A7376" w:rsidRPr="000450BF">
        <w:rPr>
          <w:i/>
        </w:rPr>
        <w:t>t</w:t>
      </w:r>
      <w:r w:rsidR="00AE425A" w:rsidRPr="000450BF">
        <w:rPr>
          <w:i/>
        </w:rPr>
        <w:t xml:space="preserve"> hungry. With my father, we ate well, two to three times per day, but since his </w:t>
      </w:r>
      <w:r w:rsidR="008E4E71" w:rsidRPr="000450BF">
        <w:rPr>
          <w:i/>
        </w:rPr>
        <w:t>[</w:t>
      </w:r>
      <w:r w:rsidR="00AE425A" w:rsidRPr="000450BF">
        <w:rPr>
          <w:i/>
        </w:rPr>
        <w:t>disappearance</w:t>
      </w:r>
      <w:r w:rsidR="008E4E71" w:rsidRPr="000450BF">
        <w:rPr>
          <w:i/>
        </w:rPr>
        <w:t xml:space="preserve">], </w:t>
      </w:r>
      <w:r w:rsidR="00AE425A" w:rsidRPr="000450BF">
        <w:rPr>
          <w:i/>
        </w:rPr>
        <w:t xml:space="preserve">we eat once a day and even </w:t>
      </w:r>
      <w:r w:rsidR="00037E65" w:rsidRPr="000450BF">
        <w:rPr>
          <w:i/>
        </w:rPr>
        <w:t>then,</w:t>
      </w:r>
      <w:r w:rsidR="00AE425A" w:rsidRPr="000450BF">
        <w:rPr>
          <w:i/>
        </w:rPr>
        <w:t xml:space="preserve"> the food is hardly </w:t>
      </w:r>
      <w:r w:rsidR="00037E65" w:rsidRPr="000450BF">
        <w:rPr>
          <w:i/>
        </w:rPr>
        <w:t>enough</w:t>
      </w:r>
      <w:r w:rsidR="00AE425A" w:rsidRPr="000450BF">
        <w:rPr>
          <w:i/>
        </w:rPr>
        <w:t xml:space="preserve"> in quantity, and it is not filling. In the period </w:t>
      </w:r>
      <w:r w:rsidR="008E4E71" w:rsidRPr="000450BF">
        <w:rPr>
          <w:i/>
        </w:rPr>
        <w:t xml:space="preserve">2017-2018, </w:t>
      </w:r>
      <w:r w:rsidR="009A5C49" w:rsidRPr="000450BF">
        <w:rPr>
          <w:i/>
        </w:rPr>
        <w:t xml:space="preserve">we were in that situation </w:t>
      </w:r>
      <w:r w:rsidR="007A7376" w:rsidRPr="000450BF">
        <w:rPr>
          <w:i/>
        </w:rPr>
        <w:t>until</w:t>
      </w:r>
      <w:r w:rsidR="009A5C49" w:rsidRPr="000450BF">
        <w:rPr>
          <w:i/>
        </w:rPr>
        <w:t xml:space="preserve"> I left </w:t>
      </w:r>
      <w:r w:rsidR="008E4E71" w:rsidRPr="000450BF">
        <w:rPr>
          <w:i/>
        </w:rPr>
        <w:t xml:space="preserve">Burundi. </w:t>
      </w:r>
      <w:r w:rsidR="009A5C49" w:rsidRPr="000450BF">
        <w:rPr>
          <w:i/>
        </w:rPr>
        <w:t xml:space="preserve">We lost weight, we became very thin. It was impossible to eat what we preferred because we could no longer afford </w:t>
      </w:r>
      <w:r w:rsidR="007A7376" w:rsidRPr="000450BF">
        <w:rPr>
          <w:i/>
        </w:rPr>
        <w:t>it</w:t>
      </w:r>
      <w:r w:rsidR="00662CCF">
        <w:rPr>
          <w:i/>
        </w:rPr>
        <w:t>”.</w:t>
      </w:r>
      <w:r w:rsidR="008E4E71" w:rsidRPr="000450BF">
        <w:rPr>
          <w:rStyle w:val="FootnoteReference"/>
        </w:rPr>
        <w:footnoteReference w:id="187"/>
      </w:r>
    </w:p>
    <w:p w14:paraId="2C983433" w14:textId="7AA1B9CA" w:rsidR="008E4E71" w:rsidRPr="000450BF" w:rsidRDefault="008E4E71" w:rsidP="008E4E71">
      <w:pPr>
        <w:pStyle w:val="SingleTxtG"/>
      </w:pPr>
      <w:r w:rsidRPr="000450BF">
        <w:t>323.</w:t>
      </w:r>
      <w:r w:rsidRPr="000450BF">
        <w:tab/>
      </w:r>
      <w:r w:rsidR="009A5C49" w:rsidRPr="000450BF">
        <w:t>The level of poverty is such that the traditional solidarities tend to disappear and children who were orphaned, often girls</w:t>
      </w:r>
      <w:r w:rsidR="00BD7100" w:rsidRPr="000450BF">
        <w:t>,</w:t>
      </w:r>
      <w:r w:rsidR="009A5C49" w:rsidRPr="000450BF">
        <w:t xml:space="preserve"> find themselves with </w:t>
      </w:r>
      <w:r w:rsidR="00BD7100" w:rsidRPr="000450BF">
        <w:t>n</w:t>
      </w:r>
      <w:r w:rsidR="009A5C49" w:rsidRPr="000450BF">
        <w:t xml:space="preserve">o resources and left to fend for themselves. They tried to survive by doing </w:t>
      </w:r>
      <w:r w:rsidR="007A7376" w:rsidRPr="000450BF">
        <w:t>housework</w:t>
      </w:r>
      <w:r w:rsidR="009A5C49" w:rsidRPr="000450BF">
        <w:t>, through marriage or find themselves on the street, and some then decided to leave the country</w:t>
      </w:r>
      <w:r w:rsidR="00662CCF">
        <w:t>.</w:t>
      </w:r>
      <w:r w:rsidRPr="000450BF">
        <w:rPr>
          <w:rStyle w:val="FootnoteReference"/>
        </w:rPr>
        <w:footnoteReference w:id="188"/>
      </w:r>
      <w:r w:rsidRPr="000450BF">
        <w:t xml:space="preserve"> </w:t>
      </w:r>
      <w:r w:rsidR="009A5C49" w:rsidRPr="000450BF">
        <w:t xml:space="preserve">An orphan mentioned what happened to her after her parents were </w:t>
      </w:r>
      <w:r w:rsidR="007A7376" w:rsidRPr="000450BF">
        <w:t>killed:</w:t>
      </w:r>
    </w:p>
    <w:p w14:paraId="6617612A" w14:textId="2CFF4EF7" w:rsidR="008E4E71" w:rsidRPr="000450BF" w:rsidRDefault="007101CE" w:rsidP="008E4E71">
      <w:pPr>
        <w:pStyle w:val="SingleTxtG"/>
        <w:ind w:left="1701"/>
      </w:pPr>
      <w:r>
        <w:t>“</w:t>
      </w:r>
      <w:r w:rsidR="009A5C49" w:rsidRPr="000450BF">
        <w:rPr>
          <w:i/>
        </w:rPr>
        <w:t>After they were killed, they chased me away from the house and I wandered through the streets, slept on the street, and lost my network of contacts and neighbours</w:t>
      </w:r>
      <w:r w:rsidR="008E4E71" w:rsidRPr="000450BF">
        <w:rPr>
          <w:i/>
        </w:rPr>
        <w:t xml:space="preserve">. […] </w:t>
      </w:r>
      <w:r w:rsidR="009A5C49" w:rsidRPr="000450BF">
        <w:rPr>
          <w:i/>
        </w:rPr>
        <w:t xml:space="preserve">I was able to stay in the house until the funerals, then the landlord came to tell me that I had to pay and then I left. I did not ask help from the authorities, I wandered the streets. I did not go to see the </w:t>
      </w:r>
      <w:r w:rsidR="008E4E71" w:rsidRPr="000450BF">
        <w:rPr>
          <w:i/>
        </w:rPr>
        <w:t xml:space="preserve">Nyumbakumi </w:t>
      </w:r>
      <w:r w:rsidR="008E4E71" w:rsidRPr="00662CCF">
        <w:t>[</w:t>
      </w:r>
      <w:r w:rsidR="009A5C49" w:rsidRPr="00662CCF">
        <w:t>leader of the group of ten houses</w:t>
      </w:r>
      <w:r w:rsidR="008E4E71" w:rsidRPr="00662CCF">
        <w:t>]</w:t>
      </w:r>
      <w:r w:rsidR="008E4E71" w:rsidRPr="000450BF">
        <w:rPr>
          <w:i/>
        </w:rPr>
        <w:t xml:space="preserve"> </w:t>
      </w:r>
      <w:r w:rsidR="009A5C49" w:rsidRPr="000450BF">
        <w:rPr>
          <w:i/>
        </w:rPr>
        <w:t>either</w:t>
      </w:r>
      <w:r w:rsidR="008E4E71" w:rsidRPr="000450BF">
        <w:rPr>
          <w:i/>
        </w:rPr>
        <w:t xml:space="preserve">. </w:t>
      </w:r>
      <w:r w:rsidR="009A5C49" w:rsidRPr="000450BF">
        <w:rPr>
          <w:i/>
        </w:rPr>
        <w:t xml:space="preserve">There was a lot of poverty; people saw that I was </w:t>
      </w:r>
      <w:r w:rsidR="00F22F82" w:rsidRPr="000450BF">
        <w:rPr>
          <w:i/>
        </w:rPr>
        <w:t>destitute</w:t>
      </w:r>
      <w:r w:rsidR="008E4E71" w:rsidRPr="000450BF">
        <w:rPr>
          <w:i/>
        </w:rPr>
        <w:t xml:space="preserve">, </w:t>
      </w:r>
      <w:r w:rsidR="00F22F82" w:rsidRPr="000450BF">
        <w:rPr>
          <w:i/>
        </w:rPr>
        <w:t xml:space="preserve">but because of poverty, no one </w:t>
      </w:r>
      <w:r w:rsidR="00145D73">
        <w:rPr>
          <w:i/>
        </w:rPr>
        <w:t xml:space="preserve">was willing to </w:t>
      </w:r>
      <w:r w:rsidR="00F22F82" w:rsidRPr="000450BF">
        <w:rPr>
          <w:i/>
        </w:rPr>
        <w:t>help</w:t>
      </w:r>
      <w:r w:rsidR="00145D73">
        <w:rPr>
          <w:i/>
        </w:rPr>
        <w:t xml:space="preserve"> me</w:t>
      </w:r>
      <w:r w:rsidR="00662CCF">
        <w:rPr>
          <w:i/>
        </w:rPr>
        <w:t>”</w:t>
      </w:r>
      <w:r w:rsidR="008E4E71" w:rsidRPr="000450BF">
        <w:t>.</w:t>
      </w:r>
      <w:r w:rsidR="008E4E71" w:rsidRPr="000450BF">
        <w:rPr>
          <w:rStyle w:val="FootnoteReference"/>
        </w:rPr>
        <w:footnoteReference w:id="189"/>
      </w:r>
    </w:p>
    <w:p w14:paraId="29F783E4" w14:textId="0821A294" w:rsidR="008E4E71" w:rsidRPr="000450BF" w:rsidRDefault="008E4E71" w:rsidP="008E4E71">
      <w:pPr>
        <w:pStyle w:val="SingleTxtG"/>
      </w:pPr>
      <w:r w:rsidRPr="000450BF">
        <w:t>324.</w:t>
      </w:r>
      <w:r w:rsidRPr="000450BF">
        <w:tab/>
      </w:r>
      <w:r w:rsidR="00F22F82" w:rsidRPr="000450BF">
        <w:t xml:space="preserve">This widespread poverty also has an impact on </w:t>
      </w:r>
      <w:r w:rsidR="00AC32E9" w:rsidRPr="000450BF">
        <w:t xml:space="preserve">every one’s </w:t>
      </w:r>
      <w:r w:rsidR="00F22F82" w:rsidRPr="000450BF">
        <w:t xml:space="preserve">right to enjoy the best state of physical and mental health </w:t>
      </w:r>
      <w:r w:rsidR="00AC32E9" w:rsidRPr="000450BF">
        <w:t>attainable</w:t>
      </w:r>
      <w:r w:rsidR="00662CCF">
        <w:t>.</w:t>
      </w:r>
      <w:r w:rsidRPr="000450BF">
        <w:rPr>
          <w:rStyle w:val="FootnoteReference"/>
        </w:rPr>
        <w:footnoteReference w:id="190"/>
      </w:r>
      <w:r w:rsidRPr="000450BF">
        <w:t xml:space="preserve"> </w:t>
      </w:r>
      <w:r w:rsidR="00AC32E9" w:rsidRPr="000450BF">
        <w:t xml:space="preserve">In fact, several </w:t>
      </w:r>
      <w:r w:rsidR="002E6630" w:rsidRPr="000450BF">
        <w:t>Burundian</w:t>
      </w:r>
      <w:r w:rsidR="00AC32E9" w:rsidRPr="000450BF">
        <w:t>s are no longer able to buy medicine or to cover medical fees that they need, and some just simply renounced any medical treatment</w:t>
      </w:r>
      <w:r w:rsidR="00662CCF">
        <w:t>.</w:t>
      </w:r>
      <w:r w:rsidRPr="000450BF">
        <w:rPr>
          <w:rStyle w:val="FootnoteReference"/>
        </w:rPr>
        <w:footnoteReference w:id="191"/>
      </w:r>
      <w:r w:rsidRPr="000450BF">
        <w:t xml:space="preserve"> </w:t>
      </w:r>
      <w:r w:rsidR="00AC32E9" w:rsidRPr="000450BF">
        <w:t>A witness whose brother disappeared highlighted the following</w:t>
      </w:r>
      <w:r w:rsidRPr="000450BF">
        <w:t>:</w:t>
      </w:r>
    </w:p>
    <w:p w14:paraId="178B906E" w14:textId="086B50CF" w:rsidR="008E4E71" w:rsidRPr="000450BF" w:rsidRDefault="007101CE" w:rsidP="008E4E71">
      <w:pPr>
        <w:pStyle w:val="SingleTxtG"/>
        <w:ind w:left="1701"/>
      </w:pPr>
      <w:r>
        <w:rPr>
          <w:i/>
        </w:rPr>
        <w:t>“</w:t>
      </w:r>
      <w:r w:rsidR="00AC32E9" w:rsidRPr="000450BF">
        <w:rPr>
          <w:i/>
        </w:rPr>
        <w:t>My mother is cardiac (has a heart condition) and she can no longer receive medical treatment. It was my brother who gave her money to buy medicine. Since his disappearance, she can no longer buy her medicine</w:t>
      </w:r>
      <w:r>
        <w:rPr>
          <w:i/>
        </w:rPr>
        <w:t>”</w:t>
      </w:r>
      <w:r w:rsidR="0082067B">
        <w:rPr>
          <w:i/>
        </w:rPr>
        <w:t>.</w:t>
      </w:r>
      <w:r w:rsidR="008E4E71" w:rsidRPr="000450BF">
        <w:rPr>
          <w:rStyle w:val="FootnoteReference"/>
        </w:rPr>
        <w:footnoteReference w:id="192"/>
      </w:r>
    </w:p>
    <w:p w14:paraId="60309431" w14:textId="21567F93" w:rsidR="008E4E71" w:rsidRPr="000450BF" w:rsidRDefault="008E4E71" w:rsidP="008E4E71">
      <w:pPr>
        <w:pStyle w:val="SingleTxtG"/>
      </w:pPr>
      <w:r w:rsidRPr="000450BF">
        <w:t>325.</w:t>
      </w:r>
      <w:r w:rsidRPr="000450BF">
        <w:tab/>
      </w:r>
      <w:r w:rsidR="00AC32E9" w:rsidRPr="000450BF">
        <w:t xml:space="preserve">The states have the obligation to take </w:t>
      </w:r>
      <w:r w:rsidR="007101CE">
        <w:t>“</w:t>
      </w:r>
      <w:r w:rsidR="00AC32E9" w:rsidRPr="000450BF">
        <w:t xml:space="preserve">the necessary measures to assure </w:t>
      </w:r>
      <w:r w:rsidRPr="000450BF">
        <w:t xml:space="preserve">[…] </w:t>
      </w:r>
      <w:r w:rsidR="00AC32E9" w:rsidRPr="000450BF">
        <w:t xml:space="preserve">the </w:t>
      </w:r>
      <w:r w:rsidR="007A7376" w:rsidRPr="000450BF">
        <w:t>prophylaxis</w:t>
      </w:r>
      <w:r w:rsidRPr="000450BF">
        <w:t xml:space="preserve"> </w:t>
      </w:r>
      <w:r w:rsidR="00AC32E9" w:rsidRPr="000450BF">
        <w:t>and the treatment of epidemic, endemic, professional and other diseases, as well as the fight against these diseases</w:t>
      </w:r>
      <w:r w:rsidR="0082067B">
        <w:t>”.</w:t>
      </w:r>
      <w:r w:rsidRPr="000450BF">
        <w:rPr>
          <w:rStyle w:val="FootnoteReference"/>
        </w:rPr>
        <w:footnoteReference w:id="193"/>
      </w:r>
      <w:r w:rsidRPr="000450BF">
        <w:t xml:space="preserve"> </w:t>
      </w:r>
      <w:r w:rsidR="00AC32E9" w:rsidRPr="000450BF">
        <w:t xml:space="preserve">However, an increase of cases of malaria was noted in all the provinces of </w:t>
      </w:r>
      <w:r w:rsidRPr="000450BF">
        <w:t xml:space="preserve">Burundi </w:t>
      </w:r>
      <w:r w:rsidR="00AC32E9" w:rsidRPr="000450BF">
        <w:t xml:space="preserve">since the beginning of </w:t>
      </w:r>
      <w:r w:rsidR="007A7376" w:rsidRPr="000450BF">
        <w:t>December</w:t>
      </w:r>
      <w:r w:rsidRPr="000450BF">
        <w:t xml:space="preserve"> 2018. </w:t>
      </w:r>
      <w:r w:rsidR="00AC32E9" w:rsidRPr="000450BF">
        <w:t>Despite the statistics of the World Health Organisation (WHO) indicating</w:t>
      </w:r>
      <w:r w:rsidRPr="000450BF">
        <w:t xml:space="preserve"> 5</w:t>
      </w:r>
      <w:r w:rsidR="00AC32E9" w:rsidRPr="000450BF">
        <w:t>,</w:t>
      </w:r>
      <w:r w:rsidRPr="000450BF">
        <w:t>738</w:t>
      </w:r>
      <w:r w:rsidR="00AC32E9" w:rsidRPr="000450BF">
        <w:t>,</w:t>
      </w:r>
      <w:r w:rsidRPr="000450BF">
        <w:t>661 cas</w:t>
      </w:r>
      <w:r w:rsidR="00AC32E9" w:rsidRPr="000450BF">
        <w:t>es of malaria</w:t>
      </w:r>
      <w:r w:rsidRPr="000450BF">
        <w:t xml:space="preserve"> – </w:t>
      </w:r>
      <w:r w:rsidR="00AC32E9" w:rsidRPr="000450BF">
        <w:t xml:space="preserve">nearly half of the </w:t>
      </w:r>
      <w:r w:rsidR="002E6630" w:rsidRPr="000450BF">
        <w:t>Burundian</w:t>
      </w:r>
      <w:r w:rsidR="00AC32E9" w:rsidRPr="000450BF">
        <w:t xml:space="preserve"> </w:t>
      </w:r>
      <w:r w:rsidRPr="000450BF">
        <w:t xml:space="preserve">population – </w:t>
      </w:r>
      <w:r w:rsidR="008C4C10" w:rsidRPr="000450BF">
        <w:t xml:space="preserve">including </w:t>
      </w:r>
      <w:r w:rsidRPr="000450BF">
        <w:t>1</w:t>
      </w:r>
      <w:r w:rsidR="008C4C10" w:rsidRPr="000450BF">
        <w:t xml:space="preserve">,801 deaths counted between 1 January 2019 and 21 July </w:t>
      </w:r>
      <w:r w:rsidRPr="000450BF">
        <w:t>2019</w:t>
      </w:r>
      <w:r w:rsidR="0082067B">
        <w:t>,</w:t>
      </w:r>
      <w:r w:rsidRPr="000450BF">
        <w:rPr>
          <w:rStyle w:val="FootnoteReference"/>
        </w:rPr>
        <w:footnoteReference w:id="194"/>
      </w:r>
      <w:r w:rsidR="008C4C10" w:rsidRPr="000450BF">
        <w:t xml:space="preserve"> the </w:t>
      </w:r>
      <w:r w:rsidR="002E6630" w:rsidRPr="000450BF">
        <w:t>Burundian</w:t>
      </w:r>
      <w:r w:rsidRPr="000450BF">
        <w:t xml:space="preserve"> </w:t>
      </w:r>
      <w:r w:rsidR="007F5B89">
        <w:t>Government</w:t>
      </w:r>
      <w:r w:rsidRPr="000450BF">
        <w:t xml:space="preserve"> </w:t>
      </w:r>
      <w:r w:rsidR="008C4C10" w:rsidRPr="000450BF">
        <w:t>refused to recognise the existence of an epidemic situation</w:t>
      </w:r>
      <w:r w:rsidR="0082067B">
        <w:t>.</w:t>
      </w:r>
      <w:r w:rsidRPr="000450BF">
        <w:rPr>
          <w:rStyle w:val="FootnoteReference"/>
        </w:rPr>
        <w:footnoteReference w:id="195"/>
      </w:r>
      <w:r w:rsidRPr="000450BF">
        <w:t xml:space="preserve"> </w:t>
      </w:r>
      <w:r w:rsidR="008C4C10" w:rsidRPr="000450BF">
        <w:t xml:space="preserve">Such a declaration would however have the advantage of increased support </w:t>
      </w:r>
      <w:r w:rsidR="007A7376" w:rsidRPr="000450BF">
        <w:t>from</w:t>
      </w:r>
      <w:r w:rsidR="008C4C10" w:rsidRPr="000450BF">
        <w:t xml:space="preserve"> the international community to tackle that </w:t>
      </w:r>
      <w:r w:rsidR="007A7376" w:rsidRPr="000450BF">
        <w:t>situation</w:t>
      </w:r>
      <w:r w:rsidR="008C4C10" w:rsidRPr="000450BF">
        <w:t xml:space="preserve">, whereas shortage of medications </w:t>
      </w:r>
      <w:r w:rsidR="007A7376" w:rsidRPr="000450BF">
        <w:t>is</w:t>
      </w:r>
      <w:r w:rsidR="008C4C10" w:rsidRPr="000450BF">
        <w:t xml:space="preserve"> regularly reported. A cholera epidemic was </w:t>
      </w:r>
      <w:r w:rsidR="007A7376" w:rsidRPr="000450BF">
        <w:t>declared</w:t>
      </w:r>
      <w:r w:rsidR="008C4C10" w:rsidRPr="000450BF">
        <w:t xml:space="preserve"> by the Minister of Health in June 2019, mainly </w:t>
      </w:r>
      <w:r w:rsidR="007A7376" w:rsidRPr="000450BF">
        <w:t>in Bujumbura</w:t>
      </w:r>
      <w:r w:rsidRPr="000450BF">
        <w:t xml:space="preserve"> Mairie </w:t>
      </w:r>
      <w:r w:rsidR="008C4C10" w:rsidRPr="000450BF">
        <w:t xml:space="preserve">and in </w:t>
      </w:r>
      <w:r w:rsidRPr="000450BF">
        <w:t xml:space="preserve">Cibitoke </w:t>
      </w:r>
      <w:r w:rsidR="008C4C10" w:rsidRPr="000450BF">
        <w:t xml:space="preserve">province with </w:t>
      </w:r>
      <w:r w:rsidRPr="000450BF">
        <w:t xml:space="preserve">199 </w:t>
      </w:r>
      <w:r w:rsidR="008C4C10" w:rsidRPr="000450BF">
        <w:t>reported cases between 5 June and 28 July 2019, including the death of one person</w:t>
      </w:r>
      <w:r w:rsidR="0082067B">
        <w:t>.</w:t>
      </w:r>
      <w:r w:rsidRPr="000450BF">
        <w:rPr>
          <w:rStyle w:val="FootnoteReference"/>
        </w:rPr>
        <w:footnoteReference w:id="196"/>
      </w:r>
      <w:r w:rsidRPr="000450BF">
        <w:t xml:space="preserve"> </w:t>
      </w:r>
    </w:p>
    <w:p w14:paraId="42B1F989" w14:textId="4B741831" w:rsidR="008E4E71" w:rsidRPr="000450BF" w:rsidRDefault="008E4E71" w:rsidP="008E4E71">
      <w:pPr>
        <w:pStyle w:val="H23G"/>
      </w:pPr>
      <w:r w:rsidRPr="000450BF">
        <w:tab/>
        <w:t>2.</w:t>
      </w:r>
      <w:r w:rsidRPr="000450BF">
        <w:tab/>
      </w:r>
      <w:r w:rsidR="008C4C10" w:rsidRPr="000450BF">
        <w:t>Right to work</w:t>
      </w:r>
    </w:p>
    <w:p w14:paraId="40BEDF86" w14:textId="71D0A378" w:rsidR="008E4E71" w:rsidRPr="000450BF" w:rsidRDefault="008E4E71" w:rsidP="008E4E71">
      <w:pPr>
        <w:pStyle w:val="SingleTxtG"/>
      </w:pPr>
      <w:r w:rsidRPr="000450BF">
        <w:t>326.</w:t>
      </w:r>
      <w:r w:rsidRPr="000450BF">
        <w:tab/>
      </w:r>
      <w:r w:rsidR="008C4C10" w:rsidRPr="000450BF">
        <w:t xml:space="preserve">According to the </w:t>
      </w:r>
      <w:r w:rsidR="00145D73">
        <w:t xml:space="preserve">International </w:t>
      </w:r>
      <w:r w:rsidR="007A7376" w:rsidRPr="000450BF">
        <w:t>Covenant on Economic, Social and Cultural Rights</w:t>
      </w:r>
      <w:r w:rsidR="008C4C10" w:rsidRPr="000450BF">
        <w:t xml:space="preserve">, any person has the right </w:t>
      </w:r>
      <w:r w:rsidR="007101CE">
        <w:t>“</w:t>
      </w:r>
      <w:r w:rsidR="008C4C10" w:rsidRPr="000450BF">
        <w:t>to the opportunity to gain his living by work which he freely chooses or accepts</w:t>
      </w:r>
      <w:r w:rsidR="007101CE">
        <w:t>”</w:t>
      </w:r>
      <w:r w:rsidRPr="000450BF">
        <w:rPr>
          <w:rStyle w:val="FootnoteReference"/>
        </w:rPr>
        <w:footnoteReference w:id="197"/>
      </w:r>
      <w:r w:rsidRPr="000450BF">
        <w:t xml:space="preserve"> </w:t>
      </w:r>
      <w:r w:rsidR="008C4C10" w:rsidRPr="000450BF">
        <w:t xml:space="preserve">and this right must be exercised </w:t>
      </w:r>
      <w:r w:rsidR="007101CE">
        <w:t>“</w:t>
      </w:r>
      <w:r w:rsidR="008C4C10" w:rsidRPr="000450BF">
        <w:t>without any discrimination as to race, colour, sex, language, religion, political or other opinion, national or social origin, wealth, lineage or any other grounds</w:t>
      </w:r>
      <w:r w:rsidR="007101CE">
        <w:t>”</w:t>
      </w:r>
      <w:r w:rsidR="0082067B">
        <w:t>.</w:t>
      </w:r>
      <w:r w:rsidRPr="000450BF">
        <w:rPr>
          <w:rStyle w:val="FootnoteReference"/>
        </w:rPr>
        <w:footnoteReference w:id="198"/>
      </w:r>
      <w:r w:rsidRPr="000450BF">
        <w:t xml:space="preserve"> </w:t>
      </w:r>
      <w:r w:rsidR="00807492" w:rsidRPr="000450BF">
        <w:t>However, the recr</w:t>
      </w:r>
      <w:r w:rsidR="00BD7100" w:rsidRPr="000450BF">
        <w:t>ui</w:t>
      </w:r>
      <w:r w:rsidR="00807492" w:rsidRPr="000450BF">
        <w:t xml:space="preserve">tment in public and parastatal employ is done in a </w:t>
      </w:r>
      <w:r w:rsidR="00BD7100" w:rsidRPr="000450BF">
        <w:t>discriminatory</w:t>
      </w:r>
      <w:r w:rsidR="00807492" w:rsidRPr="000450BF">
        <w:t xml:space="preserve"> manner </w:t>
      </w:r>
      <w:r w:rsidR="00BD7100" w:rsidRPr="000450BF">
        <w:t>based on</w:t>
      </w:r>
      <w:r w:rsidR="00807492" w:rsidRPr="000450BF">
        <w:t xml:space="preserve"> political affiliation and not </w:t>
      </w:r>
      <w:r w:rsidR="00BD7100" w:rsidRPr="000450BF">
        <w:t>on</w:t>
      </w:r>
      <w:r w:rsidR="00807492" w:rsidRPr="000450BF">
        <w:t xml:space="preserve"> experience or qualifications, including in the education, health, </w:t>
      </w:r>
      <w:r w:rsidR="00BD7100" w:rsidRPr="000450BF">
        <w:t>judiciary</w:t>
      </w:r>
      <w:r w:rsidR="00807492" w:rsidRPr="000450BF">
        <w:t xml:space="preserve"> sectors or in public </w:t>
      </w:r>
      <w:r w:rsidR="00BD7100" w:rsidRPr="000450BF">
        <w:t>companies</w:t>
      </w:r>
      <w:r w:rsidR="0082067B">
        <w:t>.</w:t>
      </w:r>
      <w:r w:rsidRPr="000450BF">
        <w:rPr>
          <w:rStyle w:val="FootnoteReference"/>
        </w:rPr>
        <w:footnoteReference w:id="199"/>
      </w:r>
      <w:r w:rsidRPr="000450BF">
        <w:t xml:space="preserve"> </w:t>
      </w:r>
      <w:r w:rsidR="00807492" w:rsidRPr="000450BF">
        <w:t>A witness explained</w:t>
      </w:r>
      <w:r w:rsidRPr="000450BF">
        <w:t>:</w:t>
      </w:r>
    </w:p>
    <w:p w14:paraId="759200F3" w14:textId="50870F22" w:rsidR="008E4E71" w:rsidRPr="000450BF" w:rsidRDefault="007101CE" w:rsidP="008E4E71">
      <w:pPr>
        <w:pStyle w:val="SingleTxtG"/>
        <w:ind w:left="1701"/>
        <w:rPr>
          <w:i/>
        </w:rPr>
      </w:pPr>
      <w:r>
        <w:rPr>
          <w:i/>
        </w:rPr>
        <w:t>“</w:t>
      </w:r>
      <w:r w:rsidR="00807492" w:rsidRPr="000450BF">
        <w:rPr>
          <w:i/>
        </w:rPr>
        <w:t xml:space="preserve">If you studied and you are an </w:t>
      </w:r>
      <w:r w:rsidR="008E4E71" w:rsidRPr="000450BF">
        <w:rPr>
          <w:i/>
        </w:rPr>
        <w:t xml:space="preserve">Imbonerakure, </w:t>
      </w:r>
      <w:r w:rsidR="00807492" w:rsidRPr="000450BF">
        <w:rPr>
          <w:i/>
        </w:rPr>
        <w:t xml:space="preserve">you will have the priority in the </w:t>
      </w:r>
      <w:r w:rsidR="00BD7100" w:rsidRPr="000450BF">
        <w:rPr>
          <w:i/>
        </w:rPr>
        <w:t>recruitment</w:t>
      </w:r>
      <w:r w:rsidR="00807492" w:rsidRPr="000450BF">
        <w:rPr>
          <w:i/>
        </w:rPr>
        <w:t xml:space="preserve"> of a paid job. In all cases, the </w:t>
      </w:r>
      <w:r w:rsidR="008E4E71" w:rsidRPr="000450BF">
        <w:rPr>
          <w:i/>
        </w:rPr>
        <w:t xml:space="preserve">Imbonerakure </w:t>
      </w:r>
      <w:r w:rsidR="00807492" w:rsidRPr="000450BF">
        <w:rPr>
          <w:i/>
        </w:rPr>
        <w:t xml:space="preserve">have the priority, even uneducated </w:t>
      </w:r>
      <w:r w:rsidR="008E4E71" w:rsidRPr="000450BF">
        <w:rPr>
          <w:i/>
        </w:rPr>
        <w:t xml:space="preserve">Imbonerakure </w:t>
      </w:r>
      <w:r w:rsidR="00807492" w:rsidRPr="000450BF">
        <w:rPr>
          <w:i/>
        </w:rPr>
        <w:t xml:space="preserve">would be given something </w:t>
      </w:r>
      <w:r w:rsidR="008E4E71" w:rsidRPr="000450BF">
        <w:rPr>
          <w:i/>
        </w:rPr>
        <w:t xml:space="preserve">[…] </w:t>
      </w:r>
      <w:r w:rsidR="00807492" w:rsidRPr="000450BF">
        <w:rPr>
          <w:i/>
        </w:rPr>
        <w:t>any unemployed person joins them to be able to find a job</w:t>
      </w:r>
      <w:r w:rsidR="008E4E71" w:rsidRPr="000450BF">
        <w:rPr>
          <w:i/>
        </w:rPr>
        <w:t xml:space="preserve">. [X] </w:t>
      </w:r>
      <w:proofErr w:type="gramStart"/>
      <w:r w:rsidR="00807492" w:rsidRPr="000450BF">
        <w:rPr>
          <w:i/>
        </w:rPr>
        <w:t>also</w:t>
      </w:r>
      <w:proofErr w:type="gramEnd"/>
      <w:r w:rsidR="00807492" w:rsidRPr="000450BF">
        <w:rPr>
          <w:i/>
        </w:rPr>
        <w:t xml:space="preserve"> joined the </w:t>
      </w:r>
      <w:r w:rsidR="008E4E71" w:rsidRPr="000450BF">
        <w:rPr>
          <w:i/>
        </w:rPr>
        <w:t xml:space="preserve">Imbonerakure </w:t>
      </w:r>
      <w:r w:rsidR="00807492" w:rsidRPr="000450BF">
        <w:rPr>
          <w:i/>
        </w:rPr>
        <w:t>to find a job</w:t>
      </w:r>
      <w:r w:rsidR="008E4E71" w:rsidRPr="000450BF">
        <w:rPr>
          <w:i/>
        </w:rPr>
        <w:t xml:space="preserve">; </w:t>
      </w:r>
      <w:r w:rsidR="00807492" w:rsidRPr="000450BF">
        <w:rPr>
          <w:i/>
        </w:rPr>
        <w:t>that is how he was given the job of a driver of a locally elected official</w:t>
      </w:r>
      <w:r w:rsidR="0082067B">
        <w:rPr>
          <w:i/>
        </w:rPr>
        <w:t>”.</w:t>
      </w:r>
      <w:r w:rsidR="008E4E71" w:rsidRPr="000450BF">
        <w:rPr>
          <w:rStyle w:val="FootnoteReference"/>
        </w:rPr>
        <w:footnoteReference w:id="200"/>
      </w:r>
    </w:p>
    <w:p w14:paraId="7D3B7258" w14:textId="21B7FCEB" w:rsidR="008E4E71" w:rsidRPr="000450BF" w:rsidRDefault="00807492" w:rsidP="008E4E71">
      <w:pPr>
        <w:pStyle w:val="SingleTxtG"/>
      </w:pPr>
      <w:r w:rsidRPr="000450BF">
        <w:t>327.</w:t>
      </w:r>
      <w:r w:rsidRPr="000450BF">
        <w:tab/>
        <w:t xml:space="preserve">Persons who are holding a job but are </w:t>
      </w:r>
      <w:r w:rsidR="00BD7100" w:rsidRPr="000450BF">
        <w:t>not</w:t>
      </w:r>
      <w:r w:rsidRPr="000450BF">
        <w:t xml:space="preserve"> </w:t>
      </w:r>
      <w:r w:rsidR="00BD7100" w:rsidRPr="000450BF">
        <w:t>members</w:t>
      </w:r>
      <w:r w:rsidRPr="000450BF">
        <w:t xml:space="preserve"> of the </w:t>
      </w:r>
      <w:r w:rsidR="008E4E71" w:rsidRPr="000450BF">
        <w:t xml:space="preserve">CNDD-FDD </w:t>
      </w:r>
      <w:r w:rsidRPr="000450BF">
        <w:t>risk losing their job</w:t>
      </w:r>
      <w:r w:rsidR="0082067B">
        <w:t>.</w:t>
      </w:r>
      <w:r w:rsidR="008E4E71" w:rsidRPr="000450BF">
        <w:rPr>
          <w:rStyle w:val="FootnoteReference"/>
        </w:rPr>
        <w:footnoteReference w:id="201"/>
      </w:r>
      <w:r w:rsidR="008E4E71" w:rsidRPr="000450BF">
        <w:t xml:space="preserve"> </w:t>
      </w:r>
      <w:r w:rsidRPr="000450BF">
        <w:t>A teacher explained</w:t>
      </w:r>
      <w:r w:rsidR="008E4E71" w:rsidRPr="000450BF">
        <w:t>:</w:t>
      </w:r>
    </w:p>
    <w:p w14:paraId="6C9E94C6" w14:textId="3256C4CA" w:rsidR="008E4E71" w:rsidRPr="000450BF" w:rsidRDefault="007101CE" w:rsidP="008E4E71">
      <w:pPr>
        <w:pStyle w:val="SingleTxtG"/>
        <w:ind w:left="1701"/>
        <w:rPr>
          <w:i/>
        </w:rPr>
      </w:pPr>
      <w:r>
        <w:rPr>
          <w:i/>
        </w:rPr>
        <w:t>“</w:t>
      </w:r>
      <w:r w:rsidR="00807492" w:rsidRPr="000450BF">
        <w:rPr>
          <w:i/>
        </w:rPr>
        <w:t>If, for example, you are a teacher and you do not join the ruling party, you can be dismissed</w:t>
      </w:r>
      <w:r w:rsidR="008E4E71" w:rsidRPr="000450BF">
        <w:rPr>
          <w:i/>
        </w:rPr>
        <w:t xml:space="preserve">. […] </w:t>
      </w:r>
      <w:r w:rsidR="00807492" w:rsidRPr="000450BF">
        <w:rPr>
          <w:i/>
        </w:rPr>
        <w:t xml:space="preserve">I have colleagues who became </w:t>
      </w:r>
      <w:r w:rsidR="008E4E71" w:rsidRPr="000450BF">
        <w:rPr>
          <w:i/>
        </w:rPr>
        <w:t xml:space="preserve">Imbonerakure </w:t>
      </w:r>
      <w:r w:rsidR="00807492" w:rsidRPr="000450BF">
        <w:rPr>
          <w:i/>
        </w:rPr>
        <w:t>since May</w:t>
      </w:r>
      <w:r w:rsidR="008E4E71" w:rsidRPr="000450BF">
        <w:rPr>
          <w:i/>
        </w:rPr>
        <w:t xml:space="preserve"> 2015 </w:t>
      </w:r>
      <w:r w:rsidR="00807492" w:rsidRPr="000450BF">
        <w:rPr>
          <w:i/>
        </w:rPr>
        <w:t xml:space="preserve">because they were </w:t>
      </w:r>
      <w:r w:rsidR="00BD7100" w:rsidRPr="000450BF">
        <w:rPr>
          <w:i/>
        </w:rPr>
        <w:t>forced</w:t>
      </w:r>
      <w:r w:rsidR="00807492" w:rsidRPr="000450BF">
        <w:rPr>
          <w:i/>
        </w:rPr>
        <w:t xml:space="preserve"> to do so</w:t>
      </w:r>
      <w:r w:rsidR="008E4E71" w:rsidRPr="000450BF">
        <w:rPr>
          <w:i/>
        </w:rPr>
        <w:t xml:space="preserve"> […] </w:t>
      </w:r>
      <w:proofErr w:type="gramStart"/>
      <w:r w:rsidR="00807492" w:rsidRPr="000450BF">
        <w:rPr>
          <w:i/>
        </w:rPr>
        <w:t>In</w:t>
      </w:r>
      <w:proofErr w:type="gramEnd"/>
      <w:r w:rsidR="00807492" w:rsidRPr="000450BF">
        <w:rPr>
          <w:i/>
        </w:rPr>
        <w:t xml:space="preserve"> order to dismiss a teacher, they first accused him of some infraction, such as having insulted the </w:t>
      </w:r>
      <w:r w:rsidR="000B7EC6" w:rsidRPr="000450BF">
        <w:rPr>
          <w:i/>
        </w:rPr>
        <w:t>President</w:t>
      </w:r>
      <w:r w:rsidR="008E4E71" w:rsidRPr="000450BF">
        <w:rPr>
          <w:i/>
        </w:rPr>
        <w:t xml:space="preserve"> </w:t>
      </w:r>
      <w:r w:rsidR="00807492" w:rsidRPr="000450BF">
        <w:rPr>
          <w:i/>
        </w:rPr>
        <w:t>of the</w:t>
      </w:r>
      <w:r w:rsidR="008E4E71" w:rsidRPr="000450BF">
        <w:rPr>
          <w:i/>
        </w:rPr>
        <w:t xml:space="preserve"> </w:t>
      </w:r>
      <w:r w:rsidR="00BD7100" w:rsidRPr="000450BF">
        <w:rPr>
          <w:i/>
        </w:rPr>
        <w:t>Republic</w:t>
      </w:r>
      <w:r w:rsidR="00807492" w:rsidRPr="000450BF">
        <w:rPr>
          <w:i/>
        </w:rPr>
        <w:t xml:space="preserve"> or possessing a fire arm. Then they </w:t>
      </w:r>
      <w:r w:rsidR="00BD7100" w:rsidRPr="000450BF">
        <w:rPr>
          <w:i/>
        </w:rPr>
        <w:t>p</w:t>
      </w:r>
      <w:r w:rsidR="00807492" w:rsidRPr="000450BF">
        <w:rPr>
          <w:i/>
        </w:rPr>
        <w:t xml:space="preserve">ut him in jail for six months, after which the law </w:t>
      </w:r>
      <w:r w:rsidR="00532B1E" w:rsidRPr="000450BF">
        <w:rPr>
          <w:i/>
        </w:rPr>
        <w:t>permits the director to dismiss the teacher. Several t</w:t>
      </w:r>
      <w:r w:rsidR="003F0F1F" w:rsidRPr="000450BF">
        <w:rPr>
          <w:i/>
        </w:rPr>
        <w:t>ea</w:t>
      </w:r>
      <w:r w:rsidR="00532B1E" w:rsidRPr="000450BF">
        <w:rPr>
          <w:i/>
        </w:rPr>
        <w:t>chers were dismissed in that way</w:t>
      </w:r>
      <w:r>
        <w:rPr>
          <w:i/>
        </w:rPr>
        <w:t>”</w:t>
      </w:r>
      <w:r w:rsidR="0082067B">
        <w:rPr>
          <w:i/>
        </w:rPr>
        <w:t>.</w:t>
      </w:r>
      <w:r w:rsidR="008E4E71" w:rsidRPr="000450BF">
        <w:rPr>
          <w:rStyle w:val="FootnoteReference"/>
        </w:rPr>
        <w:footnoteReference w:id="202"/>
      </w:r>
    </w:p>
    <w:p w14:paraId="1ABE650C" w14:textId="38F3CD58" w:rsidR="008E4E71" w:rsidRPr="000450BF" w:rsidRDefault="008E4E71" w:rsidP="008E4E71">
      <w:pPr>
        <w:pStyle w:val="SingleTxtG"/>
      </w:pPr>
      <w:r w:rsidRPr="000450BF">
        <w:t>328.</w:t>
      </w:r>
      <w:r w:rsidRPr="000450BF">
        <w:tab/>
      </w:r>
      <w:r w:rsidR="00532B1E" w:rsidRPr="000450BF">
        <w:t>The</w:t>
      </w:r>
      <w:r w:rsidRPr="000450BF">
        <w:t xml:space="preserve"> </w:t>
      </w:r>
      <w:r w:rsidR="007F5B89">
        <w:t>Government</w:t>
      </w:r>
      <w:r w:rsidRPr="000450BF">
        <w:t xml:space="preserve"> </w:t>
      </w:r>
      <w:r w:rsidR="00532B1E" w:rsidRPr="000450BF">
        <w:t xml:space="preserve">is trying to extend this discriminatory practice on access to employment based on political affiliation to foreign NGOs. It was also decided to put in place </w:t>
      </w:r>
      <w:r w:rsidR="00BD7100" w:rsidRPr="000450BF">
        <w:t>recruitment</w:t>
      </w:r>
      <w:r w:rsidR="00532B1E" w:rsidRPr="000450BF">
        <w:t xml:space="preserve"> </w:t>
      </w:r>
      <w:r w:rsidR="00BD7100" w:rsidRPr="000450BF">
        <w:t>committees</w:t>
      </w:r>
      <w:r w:rsidR="00532B1E" w:rsidRPr="000450BF">
        <w:t xml:space="preserve"> for local staff in foreign NGOs in Burundi. The official reason is to </w:t>
      </w:r>
      <w:r w:rsidR="007101CE">
        <w:t>“</w:t>
      </w:r>
      <w:r w:rsidRPr="000450BF">
        <w:t>corr</w:t>
      </w:r>
      <w:r w:rsidR="00532B1E" w:rsidRPr="000450BF">
        <w:t xml:space="preserve">ect </w:t>
      </w:r>
      <w:r w:rsidR="003F0F1F" w:rsidRPr="000450BF">
        <w:t>the</w:t>
      </w:r>
      <w:r w:rsidR="00532B1E" w:rsidRPr="000450BF">
        <w:t xml:space="preserve"> noted imbalances and contribute to the social cohesion</w:t>
      </w:r>
      <w:r w:rsidR="007101CE">
        <w:t>”</w:t>
      </w:r>
      <w:r w:rsidR="0082067B">
        <w:t>.</w:t>
      </w:r>
      <w:r w:rsidRPr="000450BF">
        <w:rPr>
          <w:vertAlign w:val="superscript"/>
        </w:rPr>
        <w:footnoteReference w:id="203"/>
      </w:r>
      <w:r w:rsidRPr="000450BF">
        <w:t xml:space="preserve"> </w:t>
      </w:r>
      <w:r w:rsidR="00532B1E" w:rsidRPr="000450BF">
        <w:t xml:space="preserve">However, analysts consider that the real objective of the </w:t>
      </w:r>
      <w:r w:rsidR="007F5B89">
        <w:t>Government</w:t>
      </w:r>
      <w:r w:rsidR="00532B1E" w:rsidRPr="000450BF">
        <w:t xml:space="preserve"> is to be </w:t>
      </w:r>
      <w:r w:rsidR="00BD7100" w:rsidRPr="000450BF">
        <w:t>able</w:t>
      </w:r>
      <w:r w:rsidR="00532B1E" w:rsidRPr="000450BF">
        <w:t xml:space="preserve"> to offer remunerated employment to members of </w:t>
      </w:r>
      <w:r w:rsidRPr="000450BF">
        <w:t>CNDD-FDD</w:t>
      </w:r>
      <w:r w:rsidR="0082067B">
        <w:t>.</w:t>
      </w:r>
      <w:r w:rsidRPr="000450BF">
        <w:rPr>
          <w:rStyle w:val="FootnoteReference"/>
        </w:rPr>
        <w:footnoteReference w:id="204"/>
      </w:r>
    </w:p>
    <w:p w14:paraId="15372D3E" w14:textId="2D0F6CBA" w:rsidR="008E4E71" w:rsidRPr="000450BF" w:rsidRDefault="008E4E71" w:rsidP="008E4E71">
      <w:pPr>
        <w:pStyle w:val="H23G"/>
      </w:pPr>
      <w:r w:rsidRPr="000450BF">
        <w:tab/>
        <w:t>3.</w:t>
      </w:r>
      <w:r w:rsidRPr="000450BF">
        <w:tab/>
      </w:r>
      <w:r w:rsidR="00532B1E" w:rsidRPr="000450BF">
        <w:t>Right to education</w:t>
      </w:r>
    </w:p>
    <w:p w14:paraId="00CF59A0" w14:textId="5CB23133" w:rsidR="008E4E71" w:rsidRPr="000450BF" w:rsidRDefault="008E4E71" w:rsidP="008E4E71">
      <w:pPr>
        <w:pStyle w:val="SingleTxtG"/>
      </w:pPr>
      <w:r w:rsidRPr="000450BF">
        <w:t>329.</w:t>
      </w:r>
      <w:r w:rsidRPr="000450BF">
        <w:tab/>
      </w:r>
      <w:r w:rsidR="00532B1E" w:rsidRPr="000450BF">
        <w:t xml:space="preserve">In several educational </w:t>
      </w:r>
      <w:r w:rsidR="00BD7100" w:rsidRPr="000450BF">
        <w:t>institutions</w:t>
      </w:r>
      <w:r w:rsidR="00532B1E" w:rsidRPr="000450BF">
        <w:t xml:space="preserve">, students who did not pay the mandatory contribution for elections, demanded from each student of voting age, were prohibited to access courses. A witness </w:t>
      </w:r>
      <w:r w:rsidR="00BD7100" w:rsidRPr="000450BF">
        <w:t>explained:</w:t>
      </w:r>
    </w:p>
    <w:p w14:paraId="2DAE0826" w14:textId="1EAF5278" w:rsidR="008E4E71" w:rsidRPr="000450BF" w:rsidRDefault="007101CE" w:rsidP="008E4E71">
      <w:pPr>
        <w:pStyle w:val="SingleTxtG"/>
        <w:ind w:left="1701"/>
      </w:pPr>
      <w:r w:rsidRPr="0082067B">
        <w:rPr>
          <w:i/>
        </w:rPr>
        <w:t>“</w:t>
      </w:r>
      <w:r w:rsidR="00532B1E" w:rsidRPr="000450BF">
        <w:rPr>
          <w:i/>
        </w:rPr>
        <w:t>Students in this school are 17 years old or older. If a student does not pay the contribution, they send him home</w:t>
      </w:r>
      <w:r w:rsidR="008E4E71" w:rsidRPr="000450BF">
        <w:rPr>
          <w:i/>
        </w:rPr>
        <w:t xml:space="preserve">. […] </w:t>
      </w:r>
      <w:r w:rsidR="00532B1E" w:rsidRPr="000450BF">
        <w:rPr>
          <w:i/>
        </w:rPr>
        <w:t xml:space="preserve">The director of the school gathered the students and announced the communiqué, and he told them that everyone must love the country and that whomever does not contribute is an </w:t>
      </w:r>
      <w:r w:rsidR="00BD7100" w:rsidRPr="000450BF">
        <w:rPr>
          <w:i/>
        </w:rPr>
        <w:t>enemy of the nation</w:t>
      </w:r>
      <w:r w:rsidRPr="0082067B">
        <w:rPr>
          <w:i/>
        </w:rPr>
        <w:t>”</w:t>
      </w:r>
      <w:r w:rsidR="0082067B">
        <w:t>.</w:t>
      </w:r>
      <w:r w:rsidR="008E4E71" w:rsidRPr="000450BF">
        <w:rPr>
          <w:rStyle w:val="FootnoteReference"/>
        </w:rPr>
        <w:footnoteReference w:id="205"/>
      </w:r>
    </w:p>
    <w:p w14:paraId="087B560D" w14:textId="6D83CDA5" w:rsidR="008E4E71" w:rsidRPr="000450BF" w:rsidRDefault="008E4E71" w:rsidP="008E4E71">
      <w:pPr>
        <w:pStyle w:val="SingleTxtG"/>
      </w:pPr>
      <w:r w:rsidRPr="000450BF">
        <w:t>330.</w:t>
      </w:r>
      <w:r w:rsidRPr="000450BF">
        <w:tab/>
      </w:r>
      <w:r w:rsidR="00B04CAC" w:rsidRPr="000450BF">
        <w:t>In fact, suspension and expulsion</w:t>
      </w:r>
      <w:r w:rsidR="003F0F1F" w:rsidRPr="000450BF">
        <w:t xml:space="preserve"> from</w:t>
      </w:r>
      <w:r w:rsidR="00B04CAC" w:rsidRPr="000450BF">
        <w:t xml:space="preserve"> school</w:t>
      </w:r>
      <w:r w:rsidR="003F0F1F" w:rsidRPr="000450BF">
        <w:t>s</w:t>
      </w:r>
      <w:r w:rsidR="00B04CAC" w:rsidRPr="000450BF">
        <w:t xml:space="preserve"> had become so frequent that, on 9 February 2019, the Minister of Education had to ban that practice and requested the </w:t>
      </w:r>
      <w:r w:rsidR="006C32D5" w:rsidRPr="000450BF">
        <w:t>schools principals</w:t>
      </w:r>
      <w:r w:rsidR="00B04CAC" w:rsidRPr="000450BF">
        <w:t xml:space="preserve"> to find other ways to </w:t>
      </w:r>
      <w:r w:rsidR="00BD7100" w:rsidRPr="000450BF">
        <w:t>guarantee</w:t>
      </w:r>
      <w:r w:rsidR="00B04CAC" w:rsidRPr="000450BF">
        <w:t xml:space="preserve"> that students pay their contributions, without stipulating what those means </w:t>
      </w:r>
      <w:r w:rsidR="003F0F1F" w:rsidRPr="000450BF">
        <w:t>should</w:t>
      </w:r>
      <w:r w:rsidR="00B04CAC" w:rsidRPr="000450BF">
        <w:t xml:space="preserve"> be</w:t>
      </w:r>
      <w:r w:rsidR="0082067B">
        <w:t>.</w:t>
      </w:r>
      <w:r w:rsidRPr="000450BF">
        <w:rPr>
          <w:rStyle w:val="FootnoteReference"/>
        </w:rPr>
        <w:footnoteReference w:id="206"/>
      </w:r>
    </w:p>
    <w:p w14:paraId="7EA0F132" w14:textId="1FC775EA" w:rsidR="008E4E71" w:rsidRPr="000450BF" w:rsidRDefault="008E4E71" w:rsidP="008E4E71">
      <w:pPr>
        <w:pStyle w:val="SingleTxtG"/>
      </w:pPr>
      <w:r w:rsidRPr="000450BF">
        <w:t>331.</w:t>
      </w:r>
      <w:r w:rsidRPr="000450BF">
        <w:tab/>
      </w:r>
      <w:r w:rsidR="00B04CAC" w:rsidRPr="000450BF">
        <w:t>While the law stipulates that educational institutions must be free from any political activity, students were deprived of schooling or were harassed or threatened by teachers and/</w:t>
      </w:r>
      <w:r w:rsidR="00145D73">
        <w:t>or other students who are</w:t>
      </w:r>
      <w:r w:rsidR="00B04CAC" w:rsidRPr="000450BF">
        <w:t xml:space="preserve"> members of </w:t>
      </w:r>
      <w:r w:rsidRPr="000450BF">
        <w:t>CNDD-FDD</w:t>
      </w:r>
      <w:r w:rsidR="00145D73">
        <w:t>,</w:t>
      </w:r>
      <w:r w:rsidRPr="000450BF">
        <w:t xml:space="preserve"> </w:t>
      </w:r>
      <w:r w:rsidR="00BD7100" w:rsidRPr="000450BF">
        <w:t>due</w:t>
      </w:r>
      <w:r w:rsidR="00B04CAC" w:rsidRPr="000450BF">
        <w:t xml:space="preserve"> to their affiliation to a different </w:t>
      </w:r>
      <w:r w:rsidR="00BD7100" w:rsidRPr="000450BF">
        <w:t>part</w:t>
      </w:r>
      <w:r w:rsidR="006C32D5" w:rsidRPr="000450BF">
        <w:t>y</w:t>
      </w:r>
      <w:r w:rsidR="00B04CAC" w:rsidRPr="000450BF">
        <w:t xml:space="preserve">, or to force them to join or to show their support to </w:t>
      </w:r>
      <w:r w:rsidRPr="000450BF">
        <w:t xml:space="preserve">CNDD-FDD </w:t>
      </w:r>
      <w:r w:rsidR="00B04CAC" w:rsidRPr="000450BF">
        <w:t>or</w:t>
      </w:r>
      <w:r w:rsidR="00145D73">
        <w:t xml:space="preserve"> Imbonerakure. I</w:t>
      </w:r>
      <w:r w:rsidR="00B04CAC" w:rsidRPr="000450BF">
        <w:t xml:space="preserve">f they persisted in their refusal, they were deprived of schooling, unless </w:t>
      </w:r>
      <w:r w:rsidR="00B4679B" w:rsidRPr="000450BF">
        <w:t>they themselves abandoned school, including by fleeing the country</w:t>
      </w:r>
      <w:r w:rsidR="0082067B">
        <w:t>.</w:t>
      </w:r>
      <w:r w:rsidRPr="000450BF">
        <w:rPr>
          <w:rStyle w:val="FootnoteReference"/>
        </w:rPr>
        <w:footnoteReference w:id="207"/>
      </w:r>
      <w:r w:rsidRPr="000450BF">
        <w:t xml:space="preserve"> </w:t>
      </w:r>
      <w:r w:rsidR="00B4679B" w:rsidRPr="000450BF">
        <w:t>A former student explained</w:t>
      </w:r>
      <w:r w:rsidRPr="000450BF">
        <w:t>:</w:t>
      </w:r>
    </w:p>
    <w:p w14:paraId="7F5203C2" w14:textId="05092D92" w:rsidR="008E4E71" w:rsidRPr="000450BF" w:rsidRDefault="007101CE" w:rsidP="008E4E71">
      <w:pPr>
        <w:pStyle w:val="SingleTxtG"/>
        <w:ind w:left="1701"/>
      </w:pPr>
      <w:r w:rsidRPr="0082067B">
        <w:rPr>
          <w:i/>
        </w:rPr>
        <w:t>“</w:t>
      </w:r>
      <w:r w:rsidR="00B4679B" w:rsidRPr="000450BF">
        <w:rPr>
          <w:i/>
        </w:rPr>
        <w:t>At school, the students were forced to join</w:t>
      </w:r>
      <w:r w:rsidR="008E4E71" w:rsidRPr="000450BF">
        <w:rPr>
          <w:i/>
        </w:rPr>
        <w:t xml:space="preserve"> CNDD-FDD </w:t>
      </w:r>
      <w:r w:rsidR="00B4679B" w:rsidRPr="000450BF">
        <w:rPr>
          <w:i/>
        </w:rPr>
        <w:t xml:space="preserve">and the head of class made it </w:t>
      </w:r>
      <w:r w:rsidR="00BD7100" w:rsidRPr="000450BF">
        <w:rPr>
          <w:i/>
        </w:rPr>
        <w:t>mandatory</w:t>
      </w:r>
      <w:r w:rsidR="00B4679B" w:rsidRPr="000450BF">
        <w:rPr>
          <w:i/>
        </w:rPr>
        <w:t xml:space="preserve">. There </w:t>
      </w:r>
      <w:r w:rsidR="00BD7100" w:rsidRPr="000450BF">
        <w:rPr>
          <w:i/>
        </w:rPr>
        <w:t>were</w:t>
      </w:r>
      <w:r w:rsidR="00B4679B" w:rsidRPr="000450BF">
        <w:rPr>
          <w:i/>
        </w:rPr>
        <w:t xml:space="preserve"> also party meetings organised at school and not attending them would make life </w:t>
      </w:r>
      <w:r w:rsidR="00BD7100" w:rsidRPr="000450BF">
        <w:rPr>
          <w:i/>
        </w:rPr>
        <w:t>difficult</w:t>
      </w:r>
      <w:r w:rsidR="00B4679B" w:rsidRPr="000450BF">
        <w:rPr>
          <w:i/>
        </w:rPr>
        <w:t>. The press</w:t>
      </w:r>
      <w:r w:rsidR="003F0F1F" w:rsidRPr="000450BF">
        <w:rPr>
          <w:i/>
        </w:rPr>
        <w:t>ure</w:t>
      </w:r>
      <w:r w:rsidR="00B4679B" w:rsidRPr="000450BF">
        <w:rPr>
          <w:i/>
        </w:rPr>
        <w:t xml:space="preserve"> to join </w:t>
      </w:r>
      <w:r w:rsidR="008E4E71" w:rsidRPr="000450BF">
        <w:rPr>
          <w:i/>
        </w:rPr>
        <w:t xml:space="preserve">CNDD-FDD </w:t>
      </w:r>
      <w:r w:rsidR="00B4679B" w:rsidRPr="000450BF">
        <w:rPr>
          <w:i/>
        </w:rPr>
        <w:t>is everywhere in my village</w:t>
      </w:r>
      <w:r w:rsidR="008E4E71" w:rsidRPr="000450BF">
        <w:rPr>
          <w:i/>
        </w:rPr>
        <w:t>;</w:t>
      </w:r>
      <w:r w:rsidR="00B4679B" w:rsidRPr="000450BF">
        <w:rPr>
          <w:i/>
        </w:rPr>
        <w:t xml:space="preserve"> it is as if there were no other political party. If you do not join the party</w:t>
      </w:r>
      <w:r w:rsidR="008E4E71" w:rsidRPr="000450BF">
        <w:rPr>
          <w:i/>
        </w:rPr>
        <w:t xml:space="preserve">, </w:t>
      </w:r>
      <w:r w:rsidR="00B4679B" w:rsidRPr="000450BF">
        <w:rPr>
          <w:i/>
        </w:rPr>
        <w:t xml:space="preserve">you are marginalised even socially. Not joining, is like </w:t>
      </w:r>
      <w:r w:rsidR="00BD7100" w:rsidRPr="000450BF">
        <w:rPr>
          <w:i/>
        </w:rPr>
        <w:t>withdrawing</w:t>
      </w:r>
      <w:r w:rsidR="00B4679B" w:rsidRPr="000450BF">
        <w:rPr>
          <w:i/>
        </w:rPr>
        <w:t xml:space="preserve"> from society</w:t>
      </w:r>
      <w:r w:rsidR="0082067B">
        <w:rPr>
          <w:i/>
        </w:rPr>
        <w:t>”.</w:t>
      </w:r>
      <w:r w:rsidR="008E4E71" w:rsidRPr="000450BF">
        <w:rPr>
          <w:rStyle w:val="FootnoteReference"/>
        </w:rPr>
        <w:footnoteReference w:id="208"/>
      </w:r>
    </w:p>
    <w:p w14:paraId="086723FD" w14:textId="12BE1925" w:rsidR="008E4E71" w:rsidRPr="000450BF" w:rsidRDefault="008E4E71" w:rsidP="008E4E71">
      <w:pPr>
        <w:pStyle w:val="SingleTxtG"/>
      </w:pPr>
      <w:r w:rsidRPr="000450BF">
        <w:t>332.</w:t>
      </w:r>
      <w:r w:rsidRPr="000450BF">
        <w:tab/>
      </w:r>
      <w:r w:rsidR="00B4679B" w:rsidRPr="000450BF">
        <w:t xml:space="preserve">The female </w:t>
      </w:r>
      <w:r w:rsidR="00BD7100" w:rsidRPr="000450BF">
        <w:t>students</w:t>
      </w:r>
      <w:r w:rsidR="00B4679B" w:rsidRPr="000450BF">
        <w:t xml:space="preserve"> at the high school that were accused of having </w:t>
      </w:r>
      <w:r w:rsidR="007C4041" w:rsidRPr="000450BF">
        <w:t>scrawled</w:t>
      </w:r>
      <w:r w:rsidR="00B4679B" w:rsidRPr="000450BF">
        <w:t xml:space="preserve"> the President’s photo were also deprived of any schooling for an indefinite time period after having been released; while the judicial proceedings for</w:t>
      </w:r>
      <w:r w:rsidRPr="000450BF">
        <w:t xml:space="preserve"> </w:t>
      </w:r>
      <w:r w:rsidR="007101CE">
        <w:t>“</w:t>
      </w:r>
      <w:r w:rsidR="00B4679B" w:rsidRPr="000450BF">
        <w:t>disrespecting the Head of State</w:t>
      </w:r>
      <w:r w:rsidR="007101CE">
        <w:t>”</w:t>
      </w:r>
      <w:r w:rsidRPr="000450BF">
        <w:t xml:space="preserve"> </w:t>
      </w:r>
      <w:r w:rsidR="0011648B" w:rsidRPr="000450BF">
        <w:t>was ongoing</w:t>
      </w:r>
      <w:r w:rsidRPr="000450BF">
        <w:t xml:space="preserve">. </w:t>
      </w:r>
      <w:r w:rsidR="0011648B" w:rsidRPr="000450BF">
        <w:t>This constitutes a form of arbitrary sanction against them when they should be presumed innocent</w:t>
      </w:r>
      <w:r w:rsidR="0082067B">
        <w:t>.</w:t>
      </w:r>
      <w:r w:rsidRPr="000450BF">
        <w:rPr>
          <w:rStyle w:val="FootnoteReference"/>
        </w:rPr>
        <w:footnoteReference w:id="209"/>
      </w:r>
    </w:p>
    <w:p w14:paraId="77DC53C9" w14:textId="7BEE90D8" w:rsidR="008E4E71" w:rsidRPr="000450BF" w:rsidRDefault="008E4E71" w:rsidP="008E4E71">
      <w:pPr>
        <w:pStyle w:val="SingleTxtG"/>
      </w:pPr>
      <w:r w:rsidRPr="000450BF">
        <w:t>333.</w:t>
      </w:r>
      <w:r w:rsidRPr="000450BF">
        <w:tab/>
      </w:r>
      <w:r w:rsidR="0011648B" w:rsidRPr="000450BF">
        <w:t xml:space="preserve">School drop-outs are frequent, mainly for girls, including in relation to early </w:t>
      </w:r>
      <w:r w:rsidR="00BD7100" w:rsidRPr="000450BF">
        <w:t>pregnancies</w:t>
      </w:r>
      <w:r w:rsidR="0011648B" w:rsidRPr="000450BF">
        <w:t xml:space="preserve">, </w:t>
      </w:r>
      <w:r w:rsidR="00037E65" w:rsidRPr="000450BF">
        <w:t>despite</w:t>
      </w:r>
      <w:r w:rsidR="0011648B" w:rsidRPr="000450BF">
        <w:t xml:space="preserve"> the official policy allowing the girls to reintegrate schools after delivery</w:t>
      </w:r>
      <w:r w:rsidRPr="000450BF">
        <w:t>.</w:t>
      </w:r>
    </w:p>
    <w:p w14:paraId="5A872CAC" w14:textId="558F2C98" w:rsidR="008E4E71" w:rsidRPr="000450BF" w:rsidRDefault="008E4E71" w:rsidP="0011648B">
      <w:pPr>
        <w:pStyle w:val="SingleTxtG"/>
      </w:pPr>
      <w:r w:rsidRPr="000450BF">
        <w:t>334.</w:t>
      </w:r>
      <w:r w:rsidRPr="000450BF">
        <w:tab/>
      </w:r>
      <w:r w:rsidR="0011648B" w:rsidRPr="000450BF">
        <w:t>Even if primary school is free, there is still indirect fees for materials, uniforms or others, as well as school fees for higher classes</w:t>
      </w:r>
      <w:r w:rsidR="0082067B">
        <w:t>.</w:t>
      </w:r>
      <w:r w:rsidRPr="000450BF">
        <w:rPr>
          <w:rStyle w:val="FootnoteReference"/>
        </w:rPr>
        <w:footnoteReference w:id="210"/>
      </w:r>
      <w:r w:rsidRPr="000450BF">
        <w:t xml:space="preserve"> </w:t>
      </w:r>
      <w:r w:rsidR="0011648B" w:rsidRPr="000450BF">
        <w:t>C</w:t>
      </w:r>
      <w:r w:rsidRPr="000450BF">
        <w:t>ons</w:t>
      </w:r>
      <w:r w:rsidR="0011648B" w:rsidRPr="000450BF">
        <w:t>equently, several students were forced to drop out of school at various ages due to their family</w:t>
      </w:r>
      <w:r w:rsidR="003F0F1F" w:rsidRPr="000450BF">
        <w:t>’s economic difficulties</w:t>
      </w:r>
      <w:r w:rsidR="0011648B" w:rsidRPr="000450BF">
        <w:t xml:space="preserve">, including those that </w:t>
      </w:r>
      <w:r w:rsidR="003F0F1F" w:rsidRPr="000450BF">
        <w:t>resulted</w:t>
      </w:r>
      <w:r w:rsidR="0011648B" w:rsidRPr="000450BF">
        <w:t xml:space="preserve"> from the killing, disappearance or fleeing of one of the parents, or member of the family who was the main breadwinner</w:t>
      </w:r>
      <w:r w:rsidR="0082067B">
        <w:t>.</w:t>
      </w:r>
      <w:r w:rsidRPr="000450BF">
        <w:rPr>
          <w:rStyle w:val="FootnoteReference"/>
        </w:rPr>
        <w:footnoteReference w:id="211"/>
      </w:r>
      <w:r w:rsidRPr="000450BF">
        <w:t xml:space="preserve"> </w:t>
      </w:r>
      <w:r w:rsidR="0011648B" w:rsidRPr="000450BF">
        <w:t>The average length of schooling in</w:t>
      </w:r>
      <w:r w:rsidRPr="000450BF">
        <w:t xml:space="preserve"> Burundi </w:t>
      </w:r>
      <w:r w:rsidR="0011648B" w:rsidRPr="000450BF">
        <w:t>is only three years</w:t>
      </w:r>
      <w:r w:rsidR="0082067B">
        <w:t>.</w:t>
      </w:r>
      <w:r w:rsidRPr="000450BF">
        <w:rPr>
          <w:rStyle w:val="FootnoteReference"/>
        </w:rPr>
        <w:footnoteReference w:id="212"/>
      </w:r>
      <w:r w:rsidRPr="000450BF">
        <w:t xml:space="preserve"> </w:t>
      </w:r>
      <w:r w:rsidR="0011648B" w:rsidRPr="000450BF">
        <w:t>Two former students explained</w:t>
      </w:r>
      <w:r w:rsidRPr="000450BF">
        <w:t>:</w:t>
      </w:r>
    </w:p>
    <w:p w14:paraId="0EC996A2" w14:textId="61F256C3" w:rsidR="008E4E71" w:rsidRPr="000450BF" w:rsidRDefault="007101CE" w:rsidP="008E4E71">
      <w:pPr>
        <w:pStyle w:val="SingleTxtG"/>
        <w:ind w:left="1701"/>
      </w:pPr>
      <w:r>
        <w:t>“</w:t>
      </w:r>
      <w:r w:rsidR="0011648B" w:rsidRPr="000450BF">
        <w:rPr>
          <w:i/>
        </w:rPr>
        <w:t>The life of my mother changed after the disappearance of my brother. It was</w:t>
      </w:r>
      <w:r w:rsidR="0011648B" w:rsidRPr="000450BF">
        <w:t xml:space="preserve"> </w:t>
      </w:r>
      <w:r w:rsidR="008E4E71" w:rsidRPr="000450BF">
        <w:rPr>
          <w:i/>
        </w:rPr>
        <w:t>[</w:t>
      </w:r>
      <w:r w:rsidR="0011648B" w:rsidRPr="000450BF">
        <w:rPr>
          <w:i/>
        </w:rPr>
        <w:t>him</w:t>
      </w:r>
      <w:r w:rsidR="008E4E71" w:rsidRPr="000450BF">
        <w:rPr>
          <w:i/>
        </w:rPr>
        <w:t xml:space="preserve">] </w:t>
      </w:r>
      <w:r w:rsidR="00A373BE" w:rsidRPr="000450BF">
        <w:rPr>
          <w:i/>
        </w:rPr>
        <w:t>alone who provided for the needs of the family. I was at school, but I have since dropped out of school</w:t>
      </w:r>
      <w:r>
        <w:t>”</w:t>
      </w:r>
      <w:r w:rsidR="0082067B">
        <w:t>.</w:t>
      </w:r>
      <w:r w:rsidR="008E4E71" w:rsidRPr="000450BF">
        <w:rPr>
          <w:rStyle w:val="FootnoteReference"/>
        </w:rPr>
        <w:footnoteReference w:id="213"/>
      </w:r>
    </w:p>
    <w:p w14:paraId="66A477A7" w14:textId="2644D250" w:rsidR="008E4E71" w:rsidRPr="000450BF" w:rsidRDefault="007101CE" w:rsidP="008E4E71">
      <w:pPr>
        <w:pStyle w:val="SingleTxtG"/>
        <w:ind w:left="1701"/>
      </w:pPr>
      <w:proofErr w:type="gramStart"/>
      <w:r>
        <w:t>“</w:t>
      </w:r>
      <w:r w:rsidR="008E4E71" w:rsidRPr="000450BF">
        <w:t> </w:t>
      </w:r>
      <w:r w:rsidR="00A373BE" w:rsidRPr="000450BF">
        <w:rPr>
          <w:i/>
        </w:rPr>
        <w:t>I</w:t>
      </w:r>
      <w:proofErr w:type="gramEnd"/>
      <w:r w:rsidR="00A373BE" w:rsidRPr="000450BF">
        <w:rPr>
          <w:i/>
        </w:rPr>
        <w:t xml:space="preserve"> started school when I was nine years old and stayed in school for a year. I dropped out of school because of poverty</w:t>
      </w:r>
      <w:r>
        <w:t>”</w:t>
      </w:r>
      <w:r w:rsidR="008E4E71" w:rsidRPr="000450BF">
        <w:rPr>
          <w:rStyle w:val="FootnoteReference"/>
        </w:rPr>
        <w:footnoteReference w:id="214"/>
      </w:r>
      <w:r w:rsidR="008E4E71" w:rsidRPr="000450BF">
        <w:t>.</w:t>
      </w:r>
    </w:p>
    <w:p w14:paraId="4E8F215A" w14:textId="6501B1C3" w:rsidR="008E4E71" w:rsidRPr="000450BF" w:rsidRDefault="008E4E71" w:rsidP="008E4E71">
      <w:pPr>
        <w:pStyle w:val="SingleTxtG"/>
      </w:pPr>
      <w:r w:rsidRPr="000450BF">
        <w:t>335.</w:t>
      </w:r>
      <w:r w:rsidRPr="000450BF">
        <w:tab/>
      </w:r>
      <w:r w:rsidR="005C6F98" w:rsidRPr="000450BF">
        <w:t xml:space="preserve">The quality of education suffers also from the desertion of qualified teachers, who are sometimes intimidated by some of their </w:t>
      </w:r>
      <w:r w:rsidRPr="000450BF">
        <w:t xml:space="preserve">Imbonerakure </w:t>
      </w:r>
      <w:r w:rsidR="005B4201" w:rsidRPr="000450BF">
        <w:t xml:space="preserve">students or other members of the teaching body who are also </w:t>
      </w:r>
      <w:r w:rsidRPr="000450BF">
        <w:t xml:space="preserve">Imbonerakure, </w:t>
      </w:r>
      <w:r w:rsidR="005B4201" w:rsidRPr="000450BF">
        <w:t>and their replacement is often based on political affiliation</w:t>
      </w:r>
      <w:r w:rsidR="0082067B">
        <w:t>.</w:t>
      </w:r>
      <w:r w:rsidRPr="000450BF">
        <w:rPr>
          <w:rStyle w:val="FootnoteReference"/>
        </w:rPr>
        <w:footnoteReference w:id="215"/>
      </w:r>
    </w:p>
    <w:p w14:paraId="63FF51CF" w14:textId="7DE942BA" w:rsidR="008E4E71" w:rsidRDefault="007101CE" w:rsidP="008E4E71">
      <w:pPr>
        <w:pStyle w:val="SingleTxtG"/>
        <w:ind w:left="1701"/>
        <w:rPr>
          <w:i/>
        </w:rPr>
      </w:pPr>
      <w:r>
        <w:rPr>
          <w:i/>
        </w:rPr>
        <w:t>“</w:t>
      </w:r>
      <w:r w:rsidR="008E4E71" w:rsidRPr="000450BF">
        <w:rPr>
          <w:i/>
        </w:rPr>
        <w:t>[</w:t>
      </w:r>
      <w:r w:rsidR="005B4201" w:rsidRPr="000450BF">
        <w:rPr>
          <w:i/>
        </w:rPr>
        <w:t>The three</w:t>
      </w:r>
      <w:r w:rsidR="008E4E71" w:rsidRPr="000450BF">
        <w:rPr>
          <w:i/>
        </w:rPr>
        <w:t xml:space="preserve"> Imbonerakure] </w:t>
      </w:r>
      <w:r w:rsidR="005B4201" w:rsidRPr="000450BF">
        <w:rPr>
          <w:i/>
        </w:rPr>
        <w:t xml:space="preserve">were really poor. Initially, they joined because of poverty; they had no choice </w:t>
      </w:r>
      <w:r w:rsidR="00500DFC" w:rsidRPr="000450BF">
        <w:rPr>
          <w:i/>
        </w:rPr>
        <w:t xml:space="preserve">but to join if they wanted to find work. </w:t>
      </w:r>
      <w:r w:rsidR="008E4E71" w:rsidRPr="000450BF">
        <w:rPr>
          <w:i/>
        </w:rPr>
        <w:t xml:space="preserve">[…] </w:t>
      </w:r>
      <w:r w:rsidR="00500DFC" w:rsidRPr="000450BF">
        <w:rPr>
          <w:i/>
        </w:rPr>
        <w:t xml:space="preserve">When they finished school, as a motivation, they </w:t>
      </w:r>
      <w:r w:rsidR="00BD7100" w:rsidRPr="000450BF">
        <w:rPr>
          <w:i/>
        </w:rPr>
        <w:t>recruited</w:t>
      </w:r>
      <w:r w:rsidR="00500DFC" w:rsidRPr="000450BF">
        <w:rPr>
          <w:i/>
        </w:rPr>
        <w:t xml:space="preserve"> them as teachers and two or three years later, they were </w:t>
      </w:r>
      <w:r w:rsidR="00BD7100" w:rsidRPr="000450BF">
        <w:rPr>
          <w:i/>
        </w:rPr>
        <w:t>promoted</w:t>
      </w:r>
      <w:r w:rsidR="00500DFC" w:rsidRPr="000450BF">
        <w:rPr>
          <w:i/>
        </w:rPr>
        <w:t xml:space="preserve"> to the position of school principal. </w:t>
      </w:r>
      <w:r w:rsidR="008E4E71" w:rsidRPr="000450BF">
        <w:rPr>
          <w:i/>
        </w:rPr>
        <w:t xml:space="preserve">[…] </w:t>
      </w:r>
      <w:r w:rsidR="00500DFC" w:rsidRPr="000450BF">
        <w:rPr>
          <w:i/>
        </w:rPr>
        <w:t xml:space="preserve">All the young people who hoped to find jobs joined the ruling party. In </w:t>
      </w:r>
      <w:r w:rsidR="008E4E71" w:rsidRPr="000450BF">
        <w:rPr>
          <w:i/>
        </w:rPr>
        <w:t xml:space="preserve">Burundi, </w:t>
      </w:r>
      <w:r w:rsidR="00500DFC" w:rsidRPr="000450BF">
        <w:rPr>
          <w:i/>
        </w:rPr>
        <w:t xml:space="preserve">if you are a teacher, you are forced to join the ruling </w:t>
      </w:r>
      <w:r w:rsidR="00BD7100" w:rsidRPr="000450BF">
        <w:rPr>
          <w:i/>
        </w:rPr>
        <w:t>party;</w:t>
      </w:r>
      <w:r w:rsidR="00500DFC" w:rsidRPr="000450BF">
        <w:rPr>
          <w:i/>
        </w:rPr>
        <w:t xml:space="preserve"> otherwise, they bring young </w:t>
      </w:r>
      <w:r w:rsidR="008E4E71" w:rsidRPr="000450BF">
        <w:rPr>
          <w:i/>
        </w:rPr>
        <w:t xml:space="preserve">Imbonerakure </w:t>
      </w:r>
      <w:r w:rsidR="00500DFC" w:rsidRPr="000450BF">
        <w:rPr>
          <w:i/>
        </w:rPr>
        <w:t>who need work to be teachers</w:t>
      </w:r>
      <w:r>
        <w:rPr>
          <w:i/>
        </w:rPr>
        <w:t>”</w:t>
      </w:r>
      <w:r w:rsidR="0082067B">
        <w:rPr>
          <w:i/>
        </w:rPr>
        <w:t>.</w:t>
      </w:r>
      <w:r w:rsidR="008E4E71" w:rsidRPr="000450BF">
        <w:rPr>
          <w:rStyle w:val="FootnoteReference"/>
        </w:rPr>
        <w:footnoteReference w:id="216"/>
      </w:r>
    </w:p>
    <w:p w14:paraId="169D6DBD" w14:textId="028567F8" w:rsidR="007C4041" w:rsidRPr="007C4041" w:rsidRDefault="007C4041" w:rsidP="0082067B">
      <w:pPr>
        <w:pStyle w:val="SingleTxtG"/>
      </w:pPr>
      <w:r w:rsidRPr="007C4041">
        <w:t>[…]</w:t>
      </w:r>
    </w:p>
    <w:p w14:paraId="54F2636A" w14:textId="48216AD4" w:rsidR="008E4E71" w:rsidRPr="000450BF" w:rsidRDefault="008E4E71" w:rsidP="008E4E71">
      <w:pPr>
        <w:pStyle w:val="H23G"/>
      </w:pPr>
      <w:r w:rsidRPr="000450BF">
        <w:tab/>
        <w:t>5.</w:t>
      </w:r>
      <w:r w:rsidRPr="000450BF">
        <w:tab/>
        <w:t>Discrimination</w:t>
      </w:r>
      <w:r w:rsidR="00500DFC" w:rsidRPr="000450BF">
        <w:t xml:space="preserve"> against women and girls</w:t>
      </w:r>
    </w:p>
    <w:p w14:paraId="71DCC4F4" w14:textId="6A5C274A" w:rsidR="008E4E71" w:rsidRPr="000450BF" w:rsidRDefault="008E4E71" w:rsidP="008E4E71">
      <w:pPr>
        <w:pStyle w:val="SingleTxtG"/>
      </w:pPr>
      <w:r w:rsidRPr="000450BF">
        <w:t>343.</w:t>
      </w:r>
      <w:r w:rsidRPr="000450BF">
        <w:tab/>
      </w:r>
      <w:r w:rsidR="00500DFC" w:rsidRPr="000450BF">
        <w:t xml:space="preserve">In its previous report, the </w:t>
      </w:r>
      <w:r w:rsidRPr="000450BF">
        <w:t xml:space="preserve">Commission </w:t>
      </w:r>
      <w:r w:rsidR="00500DFC" w:rsidRPr="000450BF">
        <w:t xml:space="preserve">had analysed discrimination against women, particularly in the socio-economic domain, showing how women and girls are disproportionately affected by poverty due to persistent gender stereotypes within the family and society setting </w:t>
      </w:r>
      <w:r w:rsidR="00BD7100" w:rsidRPr="000450BF">
        <w:t>which restricts</w:t>
      </w:r>
      <w:r w:rsidR="005D781F" w:rsidRPr="000450BF">
        <w:t xml:space="preserve"> them to low income informal activities, and keeps them economically dependent on their husband</w:t>
      </w:r>
      <w:r w:rsidR="0082067B">
        <w:t>.</w:t>
      </w:r>
      <w:r w:rsidRPr="000450BF">
        <w:rPr>
          <w:rStyle w:val="FootnoteReference"/>
        </w:rPr>
        <w:footnoteReference w:id="217"/>
      </w:r>
      <w:r w:rsidRPr="000450BF">
        <w:t xml:space="preserve"> </w:t>
      </w:r>
      <w:r w:rsidR="005D781F" w:rsidRPr="000450BF">
        <w:t>The</w:t>
      </w:r>
      <w:r w:rsidRPr="000450BF">
        <w:t xml:space="preserve"> Commission </w:t>
      </w:r>
      <w:r w:rsidR="005D781F" w:rsidRPr="000450BF">
        <w:t xml:space="preserve">also note that despite significant progress made on the legal side with regards to gender equality, several discriminatory dispositions with regards to women still exist in the </w:t>
      </w:r>
      <w:r w:rsidR="002E6630" w:rsidRPr="000450BF">
        <w:t>Burundian</w:t>
      </w:r>
      <w:r w:rsidR="005D781F" w:rsidRPr="000450BF">
        <w:t xml:space="preserve"> legislation</w:t>
      </w:r>
      <w:proofErr w:type="gramStart"/>
      <w:r w:rsidR="0082067B">
        <w:t>,</w:t>
      </w:r>
      <w:proofErr w:type="gramEnd"/>
      <w:r w:rsidRPr="000450BF">
        <w:rPr>
          <w:rStyle w:val="FootnoteReference"/>
        </w:rPr>
        <w:footnoteReference w:id="218"/>
      </w:r>
      <w:r w:rsidRPr="000450BF">
        <w:rPr>
          <w:rStyle w:val="FootnoteReference"/>
        </w:rPr>
        <w:t xml:space="preserve"> </w:t>
      </w:r>
      <w:r w:rsidR="005D781F" w:rsidRPr="000450BF">
        <w:t xml:space="preserve">specifically in matters of family law. In addition, customary law and practices continue to govern some matters, namely matrimonial regimes and succession matters, perpetuating multiple forms of discrimination with regards to women, and sometimes, in violation </w:t>
      </w:r>
      <w:r w:rsidR="00CE5267" w:rsidRPr="000450BF">
        <w:t xml:space="preserve">of </w:t>
      </w:r>
      <w:r w:rsidR="002E6630" w:rsidRPr="000450BF">
        <w:t>Burundian</w:t>
      </w:r>
      <w:r w:rsidR="00CE5267" w:rsidRPr="000450BF">
        <w:t xml:space="preserve"> laws, or because the aspects concerned are not regulated by </w:t>
      </w:r>
      <w:r w:rsidR="003E5E09" w:rsidRPr="000450BF">
        <w:t>l</w:t>
      </w:r>
      <w:r w:rsidR="00CE5267" w:rsidRPr="000450BF">
        <w:t xml:space="preserve">aw. The </w:t>
      </w:r>
      <w:r w:rsidRPr="000450BF">
        <w:t xml:space="preserve">Commission </w:t>
      </w:r>
      <w:r w:rsidR="00CE5267" w:rsidRPr="000450BF">
        <w:t xml:space="preserve">had finally concluded that the recent initiatives of the </w:t>
      </w:r>
      <w:r w:rsidR="002E6630" w:rsidRPr="000450BF">
        <w:t>Burundian</w:t>
      </w:r>
      <w:r w:rsidRPr="000450BF">
        <w:t xml:space="preserve"> </w:t>
      </w:r>
      <w:r w:rsidR="007F5B89">
        <w:t>Government</w:t>
      </w:r>
      <w:r w:rsidRPr="000450BF">
        <w:t xml:space="preserve"> </w:t>
      </w:r>
      <w:r w:rsidR="00CE5267" w:rsidRPr="000450BF">
        <w:t>seemed to be guided by a paternalistic vision</w:t>
      </w:r>
      <w:r w:rsidR="0082067B">
        <w:t>.</w:t>
      </w:r>
      <w:r w:rsidRPr="000450BF">
        <w:rPr>
          <w:rStyle w:val="FootnoteReference"/>
        </w:rPr>
        <w:footnoteReference w:id="219"/>
      </w:r>
      <w:r w:rsidRPr="000450BF">
        <w:t xml:space="preserve"> </w:t>
      </w:r>
    </w:p>
    <w:p w14:paraId="3D7CB09D" w14:textId="4C6B3BBB" w:rsidR="008E4E71" w:rsidRPr="000450BF" w:rsidRDefault="008E4E71" w:rsidP="008E4E71">
      <w:pPr>
        <w:pStyle w:val="H4G"/>
      </w:pPr>
      <w:r w:rsidRPr="000450BF">
        <w:tab/>
        <w:t>a)</w:t>
      </w:r>
      <w:r w:rsidRPr="000450BF">
        <w:tab/>
        <w:t>Persist</w:t>
      </w:r>
      <w:r w:rsidR="00CE5267" w:rsidRPr="000450BF">
        <w:t xml:space="preserve">ence of patriarchal gender stereotypes </w:t>
      </w:r>
    </w:p>
    <w:p w14:paraId="73904721" w14:textId="4EF6BED9" w:rsidR="008E4E71" w:rsidRPr="000450BF" w:rsidRDefault="008E4E71" w:rsidP="008E4E71">
      <w:pPr>
        <w:pStyle w:val="SingleTxtG"/>
      </w:pPr>
      <w:r w:rsidRPr="000450BF">
        <w:t>344.</w:t>
      </w:r>
      <w:r w:rsidRPr="000450BF">
        <w:tab/>
      </w:r>
      <w:r w:rsidR="00CE5267" w:rsidRPr="000450BF">
        <w:t xml:space="preserve">In his report on the discrimination against women and </w:t>
      </w:r>
      <w:r w:rsidR="00BD7100" w:rsidRPr="000450BF">
        <w:t>girls</w:t>
      </w:r>
      <w:r w:rsidR="00CE5267" w:rsidRPr="000450BF">
        <w:t xml:space="preserve"> in the cultural and family life, the </w:t>
      </w:r>
      <w:r w:rsidR="003E5E09" w:rsidRPr="000450BF">
        <w:t>W</w:t>
      </w:r>
      <w:r w:rsidR="00CE5267" w:rsidRPr="000450BF">
        <w:t xml:space="preserve">orking </w:t>
      </w:r>
      <w:r w:rsidR="003E5E09" w:rsidRPr="000450BF">
        <w:t>G</w:t>
      </w:r>
      <w:r w:rsidR="00CE5267" w:rsidRPr="000450BF">
        <w:t xml:space="preserve">roup </w:t>
      </w:r>
      <w:r w:rsidR="00A96A6A">
        <w:t>on</w:t>
      </w:r>
      <w:r w:rsidR="00CE5267" w:rsidRPr="000450BF">
        <w:t xml:space="preserve"> the </w:t>
      </w:r>
      <w:r w:rsidR="000C0EED">
        <w:t>i</w:t>
      </w:r>
      <w:r w:rsidR="00CE5267" w:rsidRPr="000450BF">
        <w:t xml:space="preserve">ssue of </w:t>
      </w:r>
      <w:r w:rsidR="000C0EED">
        <w:t>d</w:t>
      </w:r>
      <w:r w:rsidR="00CE5267" w:rsidRPr="000450BF">
        <w:t xml:space="preserve">iscrimination </w:t>
      </w:r>
      <w:r w:rsidR="000C0EED">
        <w:t>a</w:t>
      </w:r>
      <w:r w:rsidR="00A96A6A">
        <w:t xml:space="preserve">gainst </w:t>
      </w:r>
      <w:r w:rsidR="000C0EED">
        <w:t>w</w:t>
      </w:r>
      <w:r w:rsidR="00CE5267" w:rsidRPr="000450BF">
        <w:t xml:space="preserve">omen in </w:t>
      </w:r>
      <w:r w:rsidR="000C0EED">
        <w:t>l</w:t>
      </w:r>
      <w:r w:rsidR="00A96A6A">
        <w:t xml:space="preserve">aw and in </w:t>
      </w:r>
      <w:r w:rsidR="000C0EED">
        <w:t>p</w:t>
      </w:r>
      <w:r w:rsidR="00CE5267" w:rsidRPr="000450BF">
        <w:t>ractice, notes</w:t>
      </w:r>
      <w:r w:rsidRPr="000450BF">
        <w:t xml:space="preserve">: </w:t>
      </w:r>
      <w:r w:rsidR="007101CE">
        <w:rPr>
          <w:i/>
        </w:rPr>
        <w:t>“</w:t>
      </w:r>
      <w:r w:rsidR="005B0C8B" w:rsidRPr="000450BF">
        <w:rPr>
          <w:i/>
        </w:rPr>
        <w:t xml:space="preserve">The family is a place of perpetuation of traditional values, it </w:t>
      </w:r>
      <w:r w:rsidR="00BD7100" w:rsidRPr="000450BF">
        <w:rPr>
          <w:i/>
        </w:rPr>
        <w:t>emanates</w:t>
      </w:r>
      <w:r w:rsidR="005B0C8B" w:rsidRPr="000450BF">
        <w:rPr>
          <w:i/>
        </w:rPr>
        <w:t xml:space="preserve"> from a </w:t>
      </w:r>
      <w:r w:rsidR="00BD7100" w:rsidRPr="000450BF">
        <w:rPr>
          <w:i/>
        </w:rPr>
        <w:t>patriarchal</w:t>
      </w:r>
      <w:r w:rsidR="005B0C8B" w:rsidRPr="000450BF">
        <w:rPr>
          <w:i/>
        </w:rPr>
        <w:t xml:space="preserve"> culture and is a fundamental institution to maintain patriarchy</w:t>
      </w:r>
      <w:r w:rsidR="007101CE">
        <w:rPr>
          <w:i/>
        </w:rPr>
        <w:t>”</w:t>
      </w:r>
      <w:r w:rsidR="0082067B">
        <w:rPr>
          <w:i/>
        </w:rPr>
        <w:t>.</w:t>
      </w:r>
      <w:r w:rsidRPr="000450BF">
        <w:rPr>
          <w:rStyle w:val="FootnoteReference"/>
        </w:rPr>
        <w:footnoteReference w:id="220"/>
      </w:r>
      <w:r w:rsidRPr="000450BF">
        <w:t xml:space="preserve"> </w:t>
      </w:r>
      <w:r w:rsidR="005B0C8B" w:rsidRPr="000450BF">
        <w:t xml:space="preserve">Amongst the main stereotypes </w:t>
      </w:r>
      <w:r w:rsidR="00BD7100" w:rsidRPr="000450BF">
        <w:t>emanating</w:t>
      </w:r>
      <w:r w:rsidR="005B0C8B" w:rsidRPr="000450BF">
        <w:t xml:space="preserve"> from patriarchy and that can lead to discriminations against women are those linked to morality and sexual behaviour, those that present the woman as weak, as well as the stereotypes on gender roles within the family</w:t>
      </w:r>
      <w:r w:rsidR="0082067B">
        <w:t>.</w:t>
      </w:r>
      <w:r w:rsidRPr="000450BF">
        <w:rPr>
          <w:rStyle w:val="FootnoteReference"/>
        </w:rPr>
        <w:footnoteReference w:id="221"/>
      </w:r>
    </w:p>
    <w:p w14:paraId="0105C3DD" w14:textId="661E609C" w:rsidR="008E4E71" w:rsidRPr="000450BF" w:rsidRDefault="008E4E71" w:rsidP="008E4E71">
      <w:pPr>
        <w:pStyle w:val="SingleTxtG"/>
      </w:pPr>
      <w:r w:rsidRPr="000450BF">
        <w:t>345.</w:t>
      </w:r>
      <w:r w:rsidRPr="000450BF">
        <w:tab/>
      </w:r>
      <w:r w:rsidR="009A6F2A" w:rsidRPr="000450BF">
        <w:t xml:space="preserve">During the third term of its mandate, the Commission observed that gender stereotypes pertaining to private </w:t>
      </w:r>
      <w:r w:rsidR="00503857" w:rsidRPr="000450BF">
        <w:t xml:space="preserve">life, i.e. the expected and desired </w:t>
      </w:r>
      <w:r w:rsidR="00BD7100" w:rsidRPr="000450BF">
        <w:t>behaviour</w:t>
      </w:r>
      <w:r w:rsidR="00503857" w:rsidRPr="000450BF">
        <w:t xml:space="preserve"> of women and men within the family, tend to be elevated into social norms in the </w:t>
      </w:r>
      <w:r w:rsidR="00BD7100" w:rsidRPr="000450BF">
        <w:t>context</w:t>
      </w:r>
      <w:r w:rsidR="00503857" w:rsidRPr="000450BF">
        <w:t xml:space="preserve"> of public life, sometimes in contradiction with legal provisions or public policies </w:t>
      </w:r>
      <w:r w:rsidR="00BD7100" w:rsidRPr="000450BF">
        <w:t>aimed</w:t>
      </w:r>
      <w:r w:rsidR="00503857" w:rsidRPr="000450BF">
        <w:t xml:space="preserve"> at promoting the rights of women and gender equality.</w:t>
      </w:r>
    </w:p>
    <w:p w14:paraId="5537A6F6" w14:textId="6B75E157" w:rsidR="008E4E71" w:rsidRPr="000450BF" w:rsidRDefault="008E4E71" w:rsidP="008E4E71">
      <w:pPr>
        <w:pStyle w:val="SingleTxtG"/>
        <w:rPr>
          <w:i/>
        </w:rPr>
      </w:pPr>
      <w:r w:rsidRPr="000450BF">
        <w:t>346.</w:t>
      </w:r>
      <w:r w:rsidRPr="000450BF">
        <w:tab/>
      </w:r>
      <w:r w:rsidR="00A96A6A">
        <w:t>The National Gender P</w:t>
      </w:r>
      <w:r w:rsidR="00503857" w:rsidRPr="000450BF">
        <w:t xml:space="preserve">olicy </w:t>
      </w:r>
      <w:r w:rsidR="00A96A6A">
        <w:t>of</w:t>
      </w:r>
      <w:r w:rsidR="00503857" w:rsidRPr="000450BF">
        <w:t xml:space="preserve"> </w:t>
      </w:r>
      <w:r w:rsidRPr="000450BF">
        <w:t xml:space="preserve">Burundi </w:t>
      </w:r>
      <w:r w:rsidR="00503857" w:rsidRPr="000450BF">
        <w:t xml:space="preserve">established in </w:t>
      </w:r>
      <w:r w:rsidRPr="000450BF">
        <w:t>2012</w:t>
      </w:r>
      <w:r w:rsidRPr="000450BF">
        <w:rPr>
          <w:rStyle w:val="FootnoteReference"/>
        </w:rPr>
        <w:footnoteReference w:id="222"/>
      </w:r>
      <w:r w:rsidRPr="000450BF">
        <w:t xml:space="preserve"> </w:t>
      </w:r>
      <w:r w:rsidR="00503857" w:rsidRPr="000450BF">
        <w:t xml:space="preserve">clearly </w:t>
      </w:r>
      <w:r w:rsidR="00BD7100" w:rsidRPr="000450BF">
        <w:t>mentions that</w:t>
      </w:r>
      <w:r w:rsidR="00503857" w:rsidRPr="000450BF">
        <w:t xml:space="preserve"> the patriarchy is a traditional mode of social organisation in </w:t>
      </w:r>
      <w:r w:rsidR="00BD7100" w:rsidRPr="000450BF">
        <w:t>Burundi:</w:t>
      </w:r>
    </w:p>
    <w:p w14:paraId="530D159E" w14:textId="666FAFD4" w:rsidR="008E4E71" w:rsidRPr="000450BF" w:rsidRDefault="007101CE" w:rsidP="008E4E71">
      <w:pPr>
        <w:pStyle w:val="SingleTxtG"/>
        <w:ind w:left="1701"/>
      </w:pPr>
      <w:r>
        <w:rPr>
          <w:i/>
        </w:rPr>
        <w:t>“</w:t>
      </w:r>
      <w:r w:rsidR="00503857" w:rsidRPr="000450BF">
        <w:rPr>
          <w:i/>
        </w:rPr>
        <w:t xml:space="preserve">The man </w:t>
      </w:r>
      <w:r w:rsidR="008E4E71" w:rsidRPr="000450BF">
        <w:rPr>
          <w:i/>
        </w:rPr>
        <w:t>[...] incarn</w:t>
      </w:r>
      <w:r w:rsidR="00503857" w:rsidRPr="000450BF">
        <w:rPr>
          <w:i/>
        </w:rPr>
        <w:t xml:space="preserve">ates the authority within the </w:t>
      </w:r>
      <w:r w:rsidR="00BD7100" w:rsidRPr="000450BF">
        <w:rPr>
          <w:i/>
        </w:rPr>
        <w:t>households</w:t>
      </w:r>
      <w:r w:rsidR="00503857" w:rsidRPr="000450BF">
        <w:rPr>
          <w:i/>
        </w:rPr>
        <w:t xml:space="preserve">, he makes the main decisions and provides means of subsistence to the members of his household. The woman, on her part, </w:t>
      </w:r>
      <w:r w:rsidR="00AC727B" w:rsidRPr="000450BF">
        <w:rPr>
          <w:i/>
        </w:rPr>
        <w:t xml:space="preserve">has the social </w:t>
      </w:r>
      <w:r w:rsidR="00BD7100" w:rsidRPr="000450BF">
        <w:rPr>
          <w:i/>
        </w:rPr>
        <w:t>responsibility</w:t>
      </w:r>
      <w:r w:rsidR="00AC727B" w:rsidRPr="000450BF">
        <w:rPr>
          <w:i/>
        </w:rPr>
        <w:t xml:space="preserve"> of the domestic </w:t>
      </w:r>
      <w:r w:rsidR="00BD7100" w:rsidRPr="000450BF">
        <w:rPr>
          <w:i/>
        </w:rPr>
        <w:t>life;</w:t>
      </w:r>
      <w:r w:rsidR="00AC727B" w:rsidRPr="000450BF">
        <w:rPr>
          <w:i/>
        </w:rPr>
        <w:t xml:space="preserve"> she takes care of the household chores and of the children and other members of the family</w:t>
      </w:r>
      <w:r>
        <w:rPr>
          <w:i/>
        </w:rPr>
        <w:t>”</w:t>
      </w:r>
      <w:r w:rsidR="0082067B">
        <w:rPr>
          <w:i/>
        </w:rPr>
        <w:t>.</w:t>
      </w:r>
      <w:r w:rsidR="008E4E71" w:rsidRPr="000450BF">
        <w:rPr>
          <w:rStyle w:val="FootnoteReference"/>
        </w:rPr>
        <w:footnoteReference w:id="223"/>
      </w:r>
    </w:p>
    <w:p w14:paraId="38032311" w14:textId="2F16502C" w:rsidR="008E4E71" w:rsidRPr="000450BF" w:rsidRDefault="008E4E71" w:rsidP="008E4E71">
      <w:pPr>
        <w:pStyle w:val="SingleTxtG"/>
      </w:pPr>
      <w:r w:rsidRPr="000450BF">
        <w:t>347.</w:t>
      </w:r>
      <w:r w:rsidRPr="000450BF">
        <w:tab/>
      </w:r>
      <w:r w:rsidR="00A96A6A">
        <w:t>This P</w:t>
      </w:r>
      <w:r w:rsidR="00AC727B" w:rsidRPr="000450BF">
        <w:t xml:space="preserve">olicy also explained how the role of the man as head of </w:t>
      </w:r>
      <w:r w:rsidR="00BD7100" w:rsidRPr="000450BF">
        <w:t>household</w:t>
      </w:r>
      <w:r w:rsidR="00AC727B" w:rsidRPr="000450BF">
        <w:t>, and the position of subordination of the woman as the homemaker</w:t>
      </w:r>
      <w:r w:rsidRPr="000450BF">
        <w:t xml:space="preserve">, </w:t>
      </w:r>
      <w:r w:rsidR="00AC727B" w:rsidRPr="000450BF">
        <w:t>translate in various social institutions and production activities, and generate important discrimination towards women in their exercise of fundamental rights</w:t>
      </w:r>
      <w:r w:rsidR="0082067B">
        <w:t>.</w:t>
      </w:r>
      <w:r w:rsidRPr="000450BF">
        <w:rPr>
          <w:rStyle w:val="FootnoteReference"/>
        </w:rPr>
        <w:footnoteReference w:id="224"/>
      </w:r>
      <w:r w:rsidRPr="000450BF">
        <w:t xml:space="preserve"> </w:t>
      </w:r>
      <w:r w:rsidR="00AC727B" w:rsidRPr="000450BF">
        <w:t xml:space="preserve">The families who, for some reason, end up with a woman as head of household, immediately find themselves in a position of increased vulnerability as a result of such a stereotypical approach </w:t>
      </w:r>
      <w:r w:rsidR="001B59A2" w:rsidRPr="000450BF">
        <w:t>to the role of women and its consequences in relation to the enjoyment of rights.</w:t>
      </w:r>
    </w:p>
    <w:p w14:paraId="6B6526C1" w14:textId="298D349E" w:rsidR="008E4E71" w:rsidRPr="000450BF" w:rsidRDefault="008E4E71" w:rsidP="008E4E71">
      <w:pPr>
        <w:pStyle w:val="SingleTxtG"/>
      </w:pPr>
      <w:r w:rsidRPr="000450BF">
        <w:t>348.</w:t>
      </w:r>
      <w:r w:rsidRPr="000450BF">
        <w:tab/>
      </w:r>
      <w:r w:rsidR="001B59A2" w:rsidRPr="000450BF">
        <w:t xml:space="preserve">The moralisation campaign of the </w:t>
      </w:r>
      <w:r w:rsidR="002E6630" w:rsidRPr="000450BF">
        <w:t>Burundian</w:t>
      </w:r>
      <w:r w:rsidR="001B59A2" w:rsidRPr="000450BF">
        <w:t xml:space="preserve"> society initiated by the Head of State in </w:t>
      </w:r>
      <w:r w:rsidRPr="000450BF">
        <w:t>2017</w:t>
      </w:r>
      <w:r w:rsidR="0082067B">
        <w:t>,</w:t>
      </w:r>
      <w:r w:rsidRPr="000450BF">
        <w:rPr>
          <w:rStyle w:val="FootnoteReference"/>
        </w:rPr>
        <w:footnoteReference w:id="225"/>
      </w:r>
      <w:r w:rsidRPr="000450BF">
        <w:t xml:space="preserve"> </w:t>
      </w:r>
      <w:r w:rsidR="001B59A2" w:rsidRPr="000450BF">
        <w:t>and endorsed by members of the Executive, influential public figures or even p</w:t>
      </w:r>
      <w:r w:rsidR="006902A6" w:rsidRPr="000450BF">
        <w:t>ublic officials</w:t>
      </w:r>
      <w:r w:rsidR="003E5E09" w:rsidRPr="000450BF">
        <w:t>,</w:t>
      </w:r>
      <w:r w:rsidR="006902A6" w:rsidRPr="000450BF">
        <w:t xml:space="preserve"> has perpetuated</w:t>
      </w:r>
      <w:r w:rsidR="00A96A6A">
        <w:t>,</w:t>
      </w:r>
      <w:r w:rsidR="006902A6" w:rsidRPr="000450BF">
        <w:t xml:space="preserve"> if not reinforced</w:t>
      </w:r>
      <w:r w:rsidR="00A96A6A">
        <w:t>,</w:t>
      </w:r>
      <w:r w:rsidR="006902A6" w:rsidRPr="000450BF">
        <w:t xml:space="preserve"> the stereotypical </w:t>
      </w:r>
      <w:r w:rsidRPr="000450BF">
        <w:t xml:space="preserve">conceptions </w:t>
      </w:r>
      <w:r w:rsidR="006902A6" w:rsidRPr="000450BF">
        <w:t xml:space="preserve">of the role </w:t>
      </w:r>
      <w:r w:rsidR="007D2022" w:rsidRPr="000450BF">
        <w:t xml:space="preserve">of women and the patriarchal dimension of the society. </w:t>
      </w:r>
      <w:r w:rsidRPr="000450BF">
        <w:t xml:space="preserve"> </w:t>
      </w:r>
    </w:p>
    <w:p w14:paraId="228CA351" w14:textId="399EC8FE" w:rsidR="008E4E71" w:rsidRPr="000450BF" w:rsidRDefault="008E4E71" w:rsidP="008E4E71">
      <w:pPr>
        <w:pStyle w:val="SingleTxtG"/>
        <w:rPr>
          <w:i/>
        </w:rPr>
      </w:pPr>
      <w:r w:rsidRPr="000450BF">
        <w:t>349.</w:t>
      </w:r>
      <w:r w:rsidRPr="000450BF">
        <w:tab/>
      </w:r>
      <w:r w:rsidR="007D2022" w:rsidRPr="000450BF">
        <w:t xml:space="preserve">This is notably visible through the speeches of the wife of the President of the Republic </w:t>
      </w:r>
      <w:r w:rsidR="00037E65" w:rsidRPr="000450BF">
        <w:t>on</w:t>
      </w:r>
      <w:r w:rsidR="007D2022" w:rsidRPr="000450BF">
        <w:t xml:space="preserve"> official events such as the celebrations of international days o</w:t>
      </w:r>
      <w:r w:rsidR="001F0BD5" w:rsidRPr="000450BF">
        <w:t xml:space="preserve">r </w:t>
      </w:r>
      <w:r w:rsidR="007D2022" w:rsidRPr="000450BF">
        <w:t>conferences for women and girls</w:t>
      </w:r>
      <w:r w:rsidRPr="000450BF">
        <w:t xml:space="preserve">. </w:t>
      </w:r>
      <w:r w:rsidR="007D2022" w:rsidRPr="000450BF">
        <w:t>For example, in h</w:t>
      </w:r>
      <w:r w:rsidR="001F0BD5" w:rsidRPr="000450BF">
        <w:t>er</w:t>
      </w:r>
      <w:r w:rsidR="007D2022" w:rsidRPr="000450BF">
        <w:t xml:space="preserve"> speech during the International </w:t>
      </w:r>
      <w:r w:rsidR="00BD7100" w:rsidRPr="000450BF">
        <w:t>Women’s</w:t>
      </w:r>
      <w:r w:rsidR="007D2022" w:rsidRPr="000450BF">
        <w:t xml:space="preserve"> Day, that she was presiding over in </w:t>
      </w:r>
      <w:r w:rsidRPr="000450BF">
        <w:t xml:space="preserve">Gitega </w:t>
      </w:r>
      <w:r w:rsidR="007D2022" w:rsidRPr="000450BF">
        <w:t xml:space="preserve">on </w:t>
      </w:r>
      <w:r w:rsidRPr="000450BF">
        <w:t xml:space="preserve">8 </w:t>
      </w:r>
      <w:r w:rsidR="00BD7100" w:rsidRPr="000450BF">
        <w:t>March</w:t>
      </w:r>
      <w:r w:rsidRPr="000450BF">
        <w:t xml:space="preserve"> 2019, </w:t>
      </w:r>
      <w:r w:rsidR="00A96A6A">
        <w:t>the First L</w:t>
      </w:r>
      <w:r w:rsidR="007D2022" w:rsidRPr="000450BF">
        <w:t xml:space="preserve">ady insisted </w:t>
      </w:r>
      <w:r w:rsidR="007101CE" w:rsidRPr="0082067B">
        <w:t>“</w:t>
      </w:r>
      <w:r w:rsidR="007D2022" w:rsidRPr="0082067B">
        <w:t>on the fact that national peace depends mainly on the peace that reigns in families</w:t>
      </w:r>
      <w:r w:rsidR="007101CE" w:rsidRPr="0082067B">
        <w:t>”</w:t>
      </w:r>
      <w:r w:rsidRPr="0082067B">
        <w:t xml:space="preserve"> </w:t>
      </w:r>
      <w:r w:rsidR="00CB6162" w:rsidRPr="0082067B">
        <w:t>and</w:t>
      </w:r>
      <w:r w:rsidRPr="0082067B">
        <w:t xml:space="preserve"> </w:t>
      </w:r>
      <w:r w:rsidR="007101CE" w:rsidRPr="0082067B">
        <w:t>“</w:t>
      </w:r>
      <w:r w:rsidR="00CB6162" w:rsidRPr="0082067B">
        <w:t>asked women to preserve peace in their households</w:t>
      </w:r>
      <w:r w:rsidR="007101CE" w:rsidRPr="0082067B">
        <w:t>”</w:t>
      </w:r>
      <w:r w:rsidR="0082067B">
        <w:rPr>
          <w:i/>
        </w:rPr>
        <w:t>.</w:t>
      </w:r>
      <w:r w:rsidRPr="000450BF">
        <w:rPr>
          <w:rStyle w:val="FootnoteReference"/>
        </w:rPr>
        <w:footnoteReference w:id="226"/>
      </w:r>
      <w:r w:rsidRPr="000450BF">
        <w:rPr>
          <w:i/>
        </w:rPr>
        <w:t xml:space="preserve"> </w:t>
      </w:r>
      <w:r w:rsidR="00CB6162" w:rsidRPr="000450BF">
        <w:t xml:space="preserve">The </w:t>
      </w:r>
      <w:r w:rsidR="00BD7100" w:rsidRPr="000450BF">
        <w:t>Minist</w:t>
      </w:r>
      <w:r w:rsidR="00A96A6A">
        <w:t>er of Human Rights, S</w:t>
      </w:r>
      <w:r w:rsidR="00CB6162" w:rsidRPr="000450BF">
        <w:t xml:space="preserve">ocial </w:t>
      </w:r>
      <w:r w:rsidR="00A96A6A">
        <w:t>Affairs and G</w:t>
      </w:r>
      <w:r w:rsidR="00CB6162" w:rsidRPr="000450BF">
        <w:t xml:space="preserve">ender, on his part, </w:t>
      </w:r>
      <w:r w:rsidR="007101CE" w:rsidRPr="0082067B">
        <w:t>“</w:t>
      </w:r>
      <w:r w:rsidRPr="0082067B">
        <w:t> indi</w:t>
      </w:r>
      <w:r w:rsidR="00CB6162" w:rsidRPr="0082067B">
        <w:t xml:space="preserve">cated that the woman is not only the pillar of the family, but also the pillar of the </w:t>
      </w:r>
      <w:r w:rsidR="00BD7100" w:rsidRPr="0082067B">
        <w:t>country</w:t>
      </w:r>
      <w:r w:rsidR="00CB6162" w:rsidRPr="0082067B">
        <w:t xml:space="preserve">, because sustainable </w:t>
      </w:r>
      <w:r w:rsidR="00BD7100" w:rsidRPr="0082067B">
        <w:t>development</w:t>
      </w:r>
      <w:r w:rsidRPr="0082067B">
        <w:t xml:space="preserve"> </w:t>
      </w:r>
      <w:r w:rsidR="00CB6162" w:rsidRPr="0082067B">
        <w:t>in a country starts at the household level</w:t>
      </w:r>
      <w:r w:rsidR="007101CE" w:rsidRPr="0082067B">
        <w:t>”</w:t>
      </w:r>
      <w:r w:rsidR="0082067B" w:rsidRPr="0082067B">
        <w:t>.</w:t>
      </w:r>
      <w:r w:rsidRPr="0082067B">
        <w:rPr>
          <w:rStyle w:val="FootnoteReference"/>
        </w:rPr>
        <w:footnoteReference w:id="227"/>
      </w:r>
    </w:p>
    <w:p w14:paraId="08620ECE" w14:textId="5FB4952F" w:rsidR="008E4E71" w:rsidRPr="0082067B" w:rsidRDefault="008E4E71" w:rsidP="008E4E71">
      <w:pPr>
        <w:pStyle w:val="SingleTxtG"/>
      </w:pPr>
      <w:r w:rsidRPr="000450BF">
        <w:t>350.</w:t>
      </w:r>
      <w:r w:rsidRPr="000450BF">
        <w:tab/>
      </w:r>
      <w:r w:rsidR="001F0BD5" w:rsidRPr="000450BF">
        <w:t>Previously</w:t>
      </w:r>
      <w:r w:rsidR="00CB6162" w:rsidRPr="000450BF">
        <w:t xml:space="preserve">, on the </w:t>
      </w:r>
      <w:r w:rsidRPr="000450BF">
        <w:t xml:space="preserve">26 </w:t>
      </w:r>
      <w:r w:rsidR="00BD7100" w:rsidRPr="000450BF">
        <w:t>October</w:t>
      </w:r>
      <w:r w:rsidRPr="000450BF">
        <w:t xml:space="preserve"> 2018, </w:t>
      </w:r>
      <w:r w:rsidR="00CB6162" w:rsidRPr="000450BF">
        <w:t>during the opening of the Int</w:t>
      </w:r>
      <w:r w:rsidR="00A96A6A">
        <w:t>ernational Conference of Women L</w:t>
      </w:r>
      <w:r w:rsidR="00CB6162" w:rsidRPr="000450BF">
        <w:t xml:space="preserve">eaders, the First Lady declared </w:t>
      </w:r>
      <w:r w:rsidR="007101CE" w:rsidRPr="0082067B">
        <w:t>“</w:t>
      </w:r>
      <w:r w:rsidR="00CB6162" w:rsidRPr="000450BF">
        <w:t xml:space="preserve">the </w:t>
      </w:r>
      <w:r w:rsidR="002E6630" w:rsidRPr="000450BF">
        <w:t>Burundian</w:t>
      </w:r>
      <w:r w:rsidR="00CB6162" w:rsidRPr="000450BF">
        <w:t xml:space="preserve"> woman is called to play a role </w:t>
      </w:r>
      <w:r w:rsidR="00A96A6A">
        <w:t>next to</w:t>
      </w:r>
      <w:r w:rsidR="00CB6162" w:rsidRPr="000450BF">
        <w:t xml:space="preserve"> her husband to </w:t>
      </w:r>
      <w:r w:rsidR="00BD7100" w:rsidRPr="000450BF">
        <w:t>contribute</w:t>
      </w:r>
      <w:r w:rsidR="00CB6162" w:rsidRPr="000450BF">
        <w:t xml:space="preserve"> to the development of the country </w:t>
      </w:r>
      <w:r w:rsidRPr="000450BF">
        <w:t xml:space="preserve">[…] </w:t>
      </w:r>
      <w:r w:rsidR="00CB6162" w:rsidRPr="000450BF">
        <w:t>they must demonstrate that they are capable</w:t>
      </w:r>
      <w:r w:rsidR="007101CE" w:rsidRPr="0082067B">
        <w:t>”</w:t>
      </w:r>
      <w:r w:rsidR="00CB6162" w:rsidRPr="0082067B">
        <w:t xml:space="preserve"> </w:t>
      </w:r>
      <w:r w:rsidR="00CB6162" w:rsidRPr="000450BF">
        <w:t xml:space="preserve">and she asked the </w:t>
      </w:r>
      <w:r w:rsidR="002E6630" w:rsidRPr="000450BF">
        <w:t>Burundian</w:t>
      </w:r>
      <w:r w:rsidR="00CB6162" w:rsidRPr="000450BF">
        <w:t xml:space="preserve"> </w:t>
      </w:r>
      <w:r w:rsidR="00CB6162" w:rsidRPr="0082067B">
        <w:t xml:space="preserve">men </w:t>
      </w:r>
      <w:r w:rsidR="007101CE" w:rsidRPr="0082067B">
        <w:t>“</w:t>
      </w:r>
      <w:r w:rsidR="00CB6162" w:rsidRPr="0082067B">
        <w:t xml:space="preserve">to support the woman because </w:t>
      </w:r>
      <w:r w:rsidR="00A96A6A" w:rsidRPr="0082067B">
        <w:t xml:space="preserve">without a man </w:t>
      </w:r>
      <w:r w:rsidR="00715178" w:rsidRPr="0082067B">
        <w:t xml:space="preserve">she </w:t>
      </w:r>
      <w:r w:rsidR="00A96A6A" w:rsidRPr="0082067B">
        <w:t>is</w:t>
      </w:r>
      <w:r w:rsidR="00715178" w:rsidRPr="0082067B">
        <w:t xml:space="preserve"> nothing and can never succeed</w:t>
      </w:r>
      <w:r w:rsidR="007101CE" w:rsidRPr="0082067B">
        <w:t>”</w:t>
      </w:r>
      <w:r w:rsidR="0082067B">
        <w:t>.</w:t>
      </w:r>
      <w:r w:rsidRPr="0082067B">
        <w:rPr>
          <w:rStyle w:val="FootnoteReference"/>
        </w:rPr>
        <w:footnoteReference w:id="228"/>
      </w:r>
    </w:p>
    <w:p w14:paraId="34DEA70A" w14:textId="1023F5B4" w:rsidR="008E4E71" w:rsidRPr="000450BF" w:rsidRDefault="008E4E71" w:rsidP="008E4E71">
      <w:pPr>
        <w:pStyle w:val="SingleTxtG"/>
      </w:pPr>
      <w:r w:rsidRPr="000450BF">
        <w:t>351.</w:t>
      </w:r>
      <w:r w:rsidRPr="000450BF">
        <w:tab/>
      </w:r>
      <w:r w:rsidR="00715178" w:rsidRPr="000450BF">
        <w:t xml:space="preserve">The </w:t>
      </w:r>
      <w:r w:rsidR="00BD7100" w:rsidRPr="000450BF">
        <w:t>persistence</w:t>
      </w:r>
      <w:r w:rsidR="00715178" w:rsidRPr="000450BF">
        <w:t xml:space="preserve"> of patriarchal gender stereotypes is particularly observed in the area of sexual morality and</w:t>
      </w:r>
      <w:r w:rsidRPr="000450BF">
        <w:t xml:space="preserve"> </w:t>
      </w:r>
      <w:r w:rsidR="00BD7100" w:rsidRPr="000450BF">
        <w:t>marriage and</w:t>
      </w:r>
      <w:r w:rsidR="00715178" w:rsidRPr="000450BF">
        <w:t xml:space="preserve"> affects mostly girls and young women</w:t>
      </w:r>
      <w:r w:rsidRPr="000450BF">
        <w:t xml:space="preserve">. </w:t>
      </w:r>
      <w:r w:rsidR="00715178" w:rsidRPr="000450BF">
        <w:t xml:space="preserve">Official measures put in place to </w:t>
      </w:r>
      <w:r w:rsidR="007101CE">
        <w:t>“</w:t>
      </w:r>
      <w:r w:rsidRPr="000450BF">
        <w:t>prot</w:t>
      </w:r>
      <w:r w:rsidR="00715178" w:rsidRPr="000450BF">
        <w:t>ect</w:t>
      </w:r>
      <w:r w:rsidR="007101CE">
        <w:t>”</w:t>
      </w:r>
      <w:r w:rsidRPr="000450BF">
        <w:t xml:space="preserve"> </w:t>
      </w:r>
      <w:r w:rsidR="00715178" w:rsidRPr="000450BF">
        <w:t>them hinder their enjoyment of other rights</w:t>
      </w:r>
      <w:r w:rsidRPr="000450BF">
        <w:t xml:space="preserve">, </w:t>
      </w:r>
      <w:r w:rsidR="00715178" w:rsidRPr="000450BF">
        <w:t>such as the freedom of movement or access to e</w:t>
      </w:r>
      <w:r w:rsidRPr="000450BF">
        <w:t xml:space="preserve">ducation. </w:t>
      </w:r>
    </w:p>
    <w:p w14:paraId="10741CD5" w14:textId="6EE14FFC" w:rsidR="0039134B" w:rsidRPr="000450BF" w:rsidRDefault="0039134B" w:rsidP="0039134B">
      <w:pPr>
        <w:pStyle w:val="SingleTxtG"/>
        <w:rPr>
          <w:i/>
        </w:rPr>
      </w:pPr>
      <w:r w:rsidRPr="000450BF">
        <w:rPr>
          <w:i/>
        </w:rPr>
        <w:t>b)</w:t>
      </w:r>
      <w:r w:rsidRPr="000450BF">
        <w:rPr>
          <w:i/>
        </w:rPr>
        <w:tab/>
      </w:r>
      <w:r w:rsidR="002D1ECF" w:rsidRPr="000450BF">
        <w:rPr>
          <w:i/>
        </w:rPr>
        <w:t>Early or unwanted pregnancies</w:t>
      </w:r>
    </w:p>
    <w:p w14:paraId="5182E3A8" w14:textId="0EEE28A9" w:rsidR="0039134B" w:rsidRPr="000450BF" w:rsidRDefault="0039134B" w:rsidP="0039134B">
      <w:pPr>
        <w:pStyle w:val="SingleTxtG"/>
      </w:pPr>
      <w:r w:rsidRPr="000450BF">
        <w:t>352.</w:t>
      </w:r>
      <w:r w:rsidRPr="000450BF">
        <w:tab/>
      </w:r>
      <w:r w:rsidR="002D1ECF" w:rsidRPr="000450BF">
        <w:t>Th</w:t>
      </w:r>
      <w:r w:rsidR="00AD36F9" w:rsidRPr="000450BF">
        <w:t>e</w:t>
      </w:r>
      <w:r w:rsidR="002D1ECF" w:rsidRPr="000450BF">
        <w:t xml:space="preserve"> issue of early or unwanted pregnancies amongst young women is an important problem for the Burundian </w:t>
      </w:r>
      <w:proofErr w:type="gramStart"/>
      <w:r w:rsidR="002D1ECF" w:rsidRPr="000450BF">
        <w:t>society :</w:t>
      </w:r>
      <w:proofErr w:type="gramEnd"/>
      <w:r w:rsidR="002D1ECF" w:rsidRPr="000450BF">
        <w:t xml:space="preserve"> as indicated by the frequent media publications on the subject as well as the public policies </w:t>
      </w:r>
      <w:r w:rsidR="007101CE">
        <w:t>“</w:t>
      </w:r>
      <w:r w:rsidRPr="000450BF">
        <w:t>z</w:t>
      </w:r>
      <w:r w:rsidR="002D1ECF" w:rsidRPr="000450BF">
        <w:t>ero pregnancy in school environment</w:t>
      </w:r>
      <w:r w:rsidR="007101CE">
        <w:t>”</w:t>
      </w:r>
      <w:r w:rsidRPr="000450BF">
        <w:t xml:space="preserve"> </w:t>
      </w:r>
      <w:r w:rsidR="00E0796C" w:rsidRPr="000450BF">
        <w:t xml:space="preserve">and the programs developed for several years for the eradication of this phenomenon which </w:t>
      </w:r>
      <w:r w:rsidR="00C32C33" w:rsidRPr="000450BF">
        <w:t xml:space="preserve">leads to an important number of school drop outs amongst girls, and often results in their </w:t>
      </w:r>
      <w:r w:rsidRPr="000450BF">
        <w:t xml:space="preserve"> marginalisation </w:t>
      </w:r>
      <w:r w:rsidR="00C32C33" w:rsidRPr="000450BF">
        <w:t>and impoverishment</w:t>
      </w:r>
      <w:r w:rsidR="0082067B">
        <w:t>.</w:t>
      </w:r>
      <w:r w:rsidRPr="000450BF">
        <w:rPr>
          <w:vertAlign w:val="superscript"/>
          <w:lang w:val="fr-CH"/>
        </w:rPr>
        <w:footnoteReference w:id="229"/>
      </w:r>
      <w:r w:rsidRPr="000450BF">
        <w:t xml:space="preserve"> </w:t>
      </w:r>
      <w:r w:rsidR="00C32C33" w:rsidRPr="000450BF">
        <w:t>However, the magnitude of this phenomenon seems to be less important in</w:t>
      </w:r>
      <w:r w:rsidRPr="000450BF">
        <w:t xml:space="preserve"> Burundi </w:t>
      </w:r>
      <w:r w:rsidR="00C32C33" w:rsidRPr="000450BF">
        <w:t xml:space="preserve">than in other countries of the sub-continent, since according to UNFPA, the rate of fertility amongst 15 to 19 years old girls in Burundi was at 58 per thousand in 2018 compared to </w:t>
      </w:r>
      <w:r w:rsidRPr="000450BF">
        <w:t xml:space="preserve">95 </w:t>
      </w:r>
      <w:r w:rsidR="00C32C33" w:rsidRPr="000450BF">
        <w:t>per thousand on average in southern Africa</w:t>
      </w:r>
      <w:r w:rsidR="0082067B">
        <w:t>.</w:t>
      </w:r>
      <w:r w:rsidRPr="000450BF">
        <w:rPr>
          <w:vertAlign w:val="superscript"/>
          <w:lang w:val="fr-CH"/>
        </w:rPr>
        <w:footnoteReference w:id="230"/>
      </w:r>
      <w:r w:rsidRPr="000450BF">
        <w:t xml:space="preserve"> </w:t>
      </w:r>
      <w:r w:rsidR="00C32C33" w:rsidRPr="000450BF">
        <w:t xml:space="preserve">The causes of these </w:t>
      </w:r>
      <w:r w:rsidR="0033063B" w:rsidRPr="000450BF">
        <w:t xml:space="preserve">pregnancies are multiple, varying from ignorance in sexuality which leads to </w:t>
      </w:r>
      <w:r w:rsidR="007101CE">
        <w:t>“</w:t>
      </w:r>
      <w:r w:rsidR="0033063B" w:rsidRPr="000450BF">
        <w:t>befriending</w:t>
      </w:r>
      <w:r w:rsidR="007101CE">
        <w:t>”</w:t>
      </w:r>
      <w:r w:rsidRPr="000450BF">
        <w:t xml:space="preserve"> </w:t>
      </w:r>
      <w:r w:rsidR="0033063B" w:rsidRPr="000450BF">
        <w:t>boys and the non usage of contraceptives to sexual violence perpetrated by some members of the teaching staff or by other men on the way to school</w:t>
      </w:r>
      <w:r w:rsidRPr="000450BF">
        <w:t>.</w:t>
      </w:r>
    </w:p>
    <w:p w14:paraId="25647A6D" w14:textId="5156032D" w:rsidR="0039134B" w:rsidRPr="000450BF" w:rsidRDefault="0039134B" w:rsidP="0039134B">
      <w:pPr>
        <w:pStyle w:val="SingleTxtG"/>
      </w:pPr>
      <w:r w:rsidRPr="000450BF">
        <w:t>353.</w:t>
      </w:r>
      <w:r w:rsidRPr="000450BF">
        <w:tab/>
      </w:r>
      <w:r w:rsidR="0033063B" w:rsidRPr="000450BF">
        <w:t>Law</w:t>
      </w:r>
      <w:r w:rsidRPr="000450BF">
        <w:t xml:space="preserve"> n°1/13 </w:t>
      </w:r>
      <w:r w:rsidR="0033063B" w:rsidRPr="000450BF">
        <w:t>of</w:t>
      </w:r>
      <w:r w:rsidRPr="000450BF">
        <w:t xml:space="preserve"> 22 </w:t>
      </w:r>
      <w:r w:rsidR="0033063B" w:rsidRPr="000450BF">
        <w:t>S</w:t>
      </w:r>
      <w:r w:rsidRPr="000450BF">
        <w:t>eptemb</w:t>
      </w:r>
      <w:r w:rsidR="0033063B" w:rsidRPr="000450BF">
        <w:t>er</w:t>
      </w:r>
      <w:r w:rsidRPr="000450BF">
        <w:t xml:space="preserve"> 2016 </w:t>
      </w:r>
      <w:r w:rsidR="00A96A6A">
        <w:t>on the P</w:t>
      </w:r>
      <w:r w:rsidR="0033063B" w:rsidRPr="000450BF">
        <w:t>revention</w:t>
      </w:r>
      <w:r w:rsidR="00AD36F9" w:rsidRPr="000450BF">
        <w:t xml:space="preserve"> of</w:t>
      </w:r>
      <w:r w:rsidR="0033063B" w:rsidRPr="000450BF">
        <w:t xml:space="preserve">, </w:t>
      </w:r>
      <w:r w:rsidR="00A96A6A">
        <w:t>V</w:t>
      </w:r>
      <w:r w:rsidR="0033063B" w:rsidRPr="000450BF">
        <w:t xml:space="preserve">ictims </w:t>
      </w:r>
      <w:r w:rsidR="00A96A6A">
        <w:t>P</w:t>
      </w:r>
      <w:r w:rsidR="0033063B" w:rsidRPr="000450BF">
        <w:t>r</w:t>
      </w:r>
      <w:r w:rsidR="00AD36F9" w:rsidRPr="000450BF">
        <w:t xml:space="preserve">otection </w:t>
      </w:r>
      <w:r w:rsidR="00A96A6A">
        <w:t>and R</w:t>
      </w:r>
      <w:r w:rsidR="0033063B" w:rsidRPr="000450BF">
        <w:t xml:space="preserve">epression of </w:t>
      </w:r>
      <w:r w:rsidR="00A96A6A">
        <w:t>Gender Based V</w:t>
      </w:r>
      <w:r w:rsidR="0033063B" w:rsidRPr="000450BF">
        <w:t xml:space="preserve">iolence has provisions for protecting the rights of </w:t>
      </w:r>
      <w:proofErr w:type="gramStart"/>
      <w:r w:rsidR="0033063B" w:rsidRPr="000450BF">
        <w:t>students</w:t>
      </w:r>
      <w:proofErr w:type="gramEnd"/>
      <w:r w:rsidR="0033063B" w:rsidRPr="000450BF">
        <w:t xml:space="preserve"> victims of gender based violence in schools, specifically their right to education</w:t>
      </w:r>
      <w:r w:rsidR="00AD36F9" w:rsidRPr="000450BF">
        <w:t>,</w:t>
      </w:r>
      <w:r w:rsidR="0033063B" w:rsidRPr="000450BF">
        <w:t xml:space="preserve"> as well as provisions to punish the</w:t>
      </w:r>
      <w:r w:rsidR="00AD36F9" w:rsidRPr="000450BF">
        <w:t>ir</w:t>
      </w:r>
      <w:r w:rsidR="0033063B" w:rsidRPr="000450BF">
        <w:t xml:space="preserve"> perpetrators</w:t>
      </w:r>
      <w:r w:rsidR="0082067B">
        <w:t>.</w:t>
      </w:r>
      <w:r w:rsidRPr="000450BF">
        <w:rPr>
          <w:vertAlign w:val="superscript"/>
          <w:lang w:val="fr-CH"/>
        </w:rPr>
        <w:footnoteReference w:id="231"/>
      </w:r>
    </w:p>
    <w:p w14:paraId="1AB96BA3" w14:textId="142E3392" w:rsidR="0039134B" w:rsidRPr="000450BF" w:rsidRDefault="0039134B" w:rsidP="0039134B">
      <w:pPr>
        <w:pStyle w:val="SingleTxtG"/>
      </w:pPr>
      <w:r w:rsidRPr="000450BF">
        <w:t>354.</w:t>
      </w:r>
      <w:r w:rsidRPr="000450BF">
        <w:tab/>
      </w:r>
      <w:r w:rsidR="00AD36F9" w:rsidRPr="000450BF">
        <w:t>However, the authorities’ speeches on the issue of pregnancies in schools tend to put the onus on the young girls, who allegedly engage in</w:t>
      </w:r>
      <w:r w:rsidRPr="000450BF">
        <w:t xml:space="preserve"> d</w:t>
      </w:r>
      <w:r w:rsidR="00AD36F9" w:rsidRPr="000450BF">
        <w:t>e</w:t>
      </w:r>
      <w:r w:rsidRPr="000450BF">
        <w:t>bauche</w:t>
      </w:r>
      <w:r w:rsidR="00AD36F9" w:rsidRPr="000450BF">
        <w:t>ry</w:t>
      </w:r>
      <w:r w:rsidRPr="000450BF">
        <w:t>,</w:t>
      </w:r>
      <w:r w:rsidR="00AD36F9" w:rsidRPr="000450BF">
        <w:t xml:space="preserve"> rather than on the adults who have the authority over them, namely the teaching staff and the parents, but also the administrative and judicial authorities </w:t>
      </w:r>
      <w:r w:rsidR="0016774D" w:rsidRPr="000450BF">
        <w:t>and the perpetrators of sexual violenc</w:t>
      </w:r>
      <w:r w:rsidR="00991132">
        <w:t xml:space="preserve">e, while regularly referencing </w:t>
      </w:r>
      <w:r w:rsidR="0082067B">
        <w:t>l</w:t>
      </w:r>
      <w:r w:rsidR="0016774D" w:rsidRPr="000450BF">
        <w:t>aw</w:t>
      </w:r>
      <w:r w:rsidRPr="000450BF">
        <w:t xml:space="preserve"> n°1/13 </w:t>
      </w:r>
      <w:r w:rsidR="0016774D" w:rsidRPr="000450BF">
        <w:t>of September</w:t>
      </w:r>
      <w:r w:rsidRPr="000450BF">
        <w:t xml:space="preserve"> 2016</w:t>
      </w:r>
      <w:r w:rsidR="0082067B">
        <w:t>.</w:t>
      </w:r>
      <w:r w:rsidRPr="000450BF">
        <w:rPr>
          <w:vertAlign w:val="superscript"/>
          <w:lang w:val="fr-CH"/>
        </w:rPr>
        <w:footnoteReference w:id="232"/>
      </w:r>
    </w:p>
    <w:p w14:paraId="5662FCFE" w14:textId="67F30A7A" w:rsidR="0039134B" w:rsidRPr="000450BF" w:rsidRDefault="0039134B" w:rsidP="0039134B">
      <w:pPr>
        <w:pStyle w:val="SingleTxtG"/>
      </w:pPr>
      <w:r w:rsidRPr="000450BF">
        <w:t>355.</w:t>
      </w:r>
      <w:r w:rsidRPr="000450BF">
        <w:tab/>
      </w:r>
      <w:r w:rsidR="00355549" w:rsidRPr="000450BF">
        <w:t>In fact, des</w:t>
      </w:r>
      <w:r w:rsidR="008E2DBA" w:rsidRPr="000450BF">
        <w:t>p</w:t>
      </w:r>
      <w:r w:rsidR="00991132">
        <w:t xml:space="preserve">ite this </w:t>
      </w:r>
      <w:r w:rsidR="0082067B">
        <w:t>l</w:t>
      </w:r>
      <w:r w:rsidR="00355549" w:rsidRPr="000450BF">
        <w:t>aw which g</w:t>
      </w:r>
      <w:r w:rsidR="0082067B">
        <w:t>u</w:t>
      </w:r>
      <w:r w:rsidR="00355549" w:rsidRPr="000450BF">
        <w:t xml:space="preserve">arantees the right to </w:t>
      </w:r>
      <w:r w:rsidR="00423B92" w:rsidRPr="000450BF">
        <w:t xml:space="preserve">education for the victims of gender based violence, </w:t>
      </w:r>
      <w:r w:rsidR="003B5C1A" w:rsidRPr="000450BF">
        <w:t xml:space="preserve">in June 2018, </w:t>
      </w:r>
      <w:r w:rsidR="00423B92" w:rsidRPr="000450BF">
        <w:t xml:space="preserve">the Minister of </w:t>
      </w:r>
      <w:r w:rsidR="00E1284F" w:rsidRPr="000450BF">
        <w:t>E</w:t>
      </w:r>
      <w:r w:rsidR="00423B92" w:rsidRPr="000450BF">
        <w:t xml:space="preserve">ducation, </w:t>
      </w:r>
      <w:r w:rsidR="007819A1" w:rsidRPr="000450BF">
        <w:t>T</w:t>
      </w:r>
      <w:r w:rsidR="008C2CBC" w:rsidRPr="000450BF">
        <w:t xml:space="preserve">echnical and </w:t>
      </w:r>
      <w:r w:rsidR="007819A1" w:rsidRPr="000450BF">
        <w:t>V</w:t>
      </w:r>
      <w:r w:rsidR="008C2CBC" w:rsidRPr="000450BF">
        <w:t xml:space="preserve">ocational </w:t>
      </w:r>
      <w:r w:rsidR="007819A1" w:rsidRPr="000450BF">
        <w:t>T</w:t>
      </w:r>
      <w:r w:rsidR="008C2CBC" w:rsidRPr="000450BF">
        <w:t xml:space="preserve">raining </w:t>
      </w:r>
      <w:r w:rsidR="0035205C" w:rsidRPr="000450BF">
        <w:t xml:space="preserve">issued a </w:t>
      </w:r>
      <w:r w:rsidRPr="000450BF">
        <w:t>circula</w:t>
      </w:r>
      <w:r w:rsidR="00FA2F0A" w:rsidRPr="000450BF">
        <w:t xml:space="preserve">r </w:t>
      </w:r>
      <w:r w:rsidR="00187421" w:rsidRPr="000450BF">
        <w:t xml:space="preserve">which </w:t>
      </w:r>
      <w:r w:rsidR="006E21DD" w:rsidRPr="000450BF">
        <w:t xml:space="preserve">excluded from the formal </w:t>
      </w:r>
      <w:r w:rsidR="00924E0B" w:rsidRPr="000450BF">
        <w:t xml:space="preserve">education system any girl victim of pregnancy or </w:t>
      </w:r>
      <w:r w:rsidR="00B96608" w:rsidRPr="000450BF">
        <w:t>forced</w:t>
      </w:r>
      <w:r w:rsidR="00924E0B" w:rsidRPr="000450BF">
        <w:t xml:space="preserve"> marriage</w:t>
      </w:r>
      <w:r w:rsidR="00991132">
        <w:t xml:space="preserve"> </w:t>
      </w:r>
      <w:r w:rsidR="002D2650" w:rsidRPr="000450BF">
        <w:t>-</w:t>
      </w:r>
      <w:r w:rsidRPr="000450BF">
        <w:t xml:space="preserve"> </w:t>
      </w:r>
      <w:r w:rsidR="00B96608" w:rsidRPr="000450BF">
        <w:t xml:space="preserve">which </w:t>
      </w:r>
      <w:r w:rsidR="002C5C91" w:rsidRPr="000450BF">
        <w:t xml:space="preserve">in </w:t>
      </w:r>
      <w:r w:rsidR="005705FD" w:rsidRPr="000450BF">
        <w:t xml:space="preserve">itself </w:t>
      </w:r>
      <w:r w:rsidR="002303F4" w:rsidRPr="000450BF">
        <w:t xml:space="preserve">is </w:t>
      </w:r>
      <w:r w:rsidR="005705FD" w:rsidRPr="000450BF">
        <w:t>a form of gender based v</w:t>
      </w:r>
      <w:r w:rsidR="00991132">
        <w:t>iolence recognised by the 2016 L</w:t>
      </w:r>
      <w:r w:rsidR="005705FD" w:rsidRPr="000450BF">
        <w:t>aw</w:t>
      </w:r>
      <w:r w:rsidR="00991132">
        <w:t xml:space="preserve"> </w:t>
      </w:r>
      <w:r w:rsidR="0080169C" w:rsidRPr="000450BF">
        <w:t>-</w:t>
      </w:r>
      <w:r w:rsidR="005F2FF1" w:rsidRPr="000450BF">
        <w:t xml:space="preserve"> as well as the male students responsible for </w:t>
      </w:r>
      <w:r w:rsidR="00800BDA" w:rsidRPr="000450BF">
        <w:t>the pregnancies</w:t>
      </w:r>
      <w:r w:rsidR="0082067B">
        <w:t>.</w:t>
      </w:r>
      <w:r w:rsidRPr="000450BF">
        <w:rPr>
          <w:vertAlign w:val="superscript"/>
          <w:lang w:val="fr-CH"/>
        </w:rPr>
        <w:footnoteReference w:id="233"/>
      </w:r>
      <w:r w:rsidRPr="000450BF">
        <w:t xml:space="preserve"> </w:t>
      </w:r>
      <w:r w:rsidR="0080169C" w:rsidRPr="000450BF">
        <w:t xml:space="preserve">This </w:t>
      </w:r>
      <w:r w:rsidRPr="000450BF">
        <w:t>circula</w:t>
      </w:r>
      <w:r w:rsidR="0080169C" w:rsidRPr="000450BF">
        <w:t xml:space="preserve">r </w:t>
      </w:r>
      <w:r w:rsidR="00CD1479" w:rsidRPr="000450BF">
        <w:t xml:space="preserve">came as a result of an exchange between the civil cabinet of the President of the Republic and the cabinet </w:t>
      </w:r>
      <w:r w:rsidR="004B14F2" w:rsidRPr="000450BF">
        <w:t xml:space="preserve">of the Education Minister. It triggered </w:t>
      </w:r>
      <w:r w:rsidR="003475DB" w:rsidRPr="000450BF">
        <w:t xml:space="preserve">a wave of protests, and </w:t>
      </w:r>
      <w:r w:rsidR="00C33F9F" w:rsidRPr="000450BF">
        <w:t xml:space="preserve">several civil society associations </w:t>
      </w:r>
      <w:r w:rsidR="00136382" w:rsidRPr="000450BF">
        <w:t>submitted a petition</w:t>
      </w:r>
      <w:r w:rsidR="00C33F9F" w:rsidRPr="000450BF">
        <w:t xml:space="preserve"> </w:t>
      </w:r>
      <w:r w:rsidR="00E42FC9" w:rsidRPr="000450BF">
        <w:t xml:space="preserve">to </w:t>
      </w:r>
      <w:r w:rsidR="003063E4" w:rsidRPr="000450BF">
        <w:t>the President of the National Assembly</w:t>
      </w:r>
      <w:r w:rsidR="00B43EDE" w:rsidRPr="000450BF">
        <w:t>. The decision</w:t>
      </w:r>
      <w:r w:rsidR="005A5EFE" w:rsidRPr="000450BF">
        <w:t xml:space="preserve"> </w:t>
      </w:r>
      <w:r w:rsidR="001667D6" w:rsidRPr="000450BF">
        <w:t>for a permanent ex</w:t>
      </w:r>
      <w:r w:rsidR="00CD7AAC" w:rsidRPr="000450BF">
        <w:t>clu</w:t>
      </w:r>
      <w:r w:rsidR="001667D6" w:rsidRPr="000450BF">
        <w:t>sion</w:t>
      </w:r>
      <w:r w:rsidR="00872D66" w:rsidRPr="000450BF">
        <w:t xml:space="preserve"> was revised a month later </w:t>
      </w:r>
      <w:r w:rsidR="00BA3E8F" w:rsidRPr="000450BF">
        <w:t xml:space="preserve">by the </w:t>
      </w:r>
      <w:r w:rsidR="004616B3" w:rsidRPr="000450BF">
        <w:t>M</w:t>
      </w:r>
      <w:r w:rsidR="00BA3E8F" w:rsidRPr="000450BF">
        <w:t xml:space="preserve">inister of </w:t>
      </w:r>
      <w:r w:rsidR="004616B3" w:rsidRPr="000450BF">
        <w:t>E</w:t>
      </w:r>
      <w:r w:rsidR="00BA3E8F" w:rsidRPr="000450BF">
        <w:t>ducation, who</w:t>
      </w:r>
      <w:r w:rsidR="00D73320" w:rsidRPr="000450BF">
        <w:t xml:space="preserve"> </w:t>
      </w:r>
      <w:r w:rsidR="00190B9D" w:rsidRPr="000450BF">
        <w:t>announced</w:t>
      </w:r>
      <w:r w:rsidR="000D015C" w:rsidRPr="000450BF">
        <w:t xml:space="preserve"> </w:t>
      </w:r>
      <w:r w:rsidR="00D73320" w:rsidRPr="000450BF">
        <w:t xml:space="preserve">a month later in a </w:t>
      </w:r>
      <w:r w:rsidRPr="000450BF">
        <w:t xml:space="preserve">communiqué </w:t>
      </w:r>
      <w:r w:rsidR="00536CAA" w:rsidRPr="000450BF">
        <w:t>dated</w:t>
      </w:r>
      <w:r w:rsidRPr="000450BF">
        <w:t xml:space="preserve"> 27 </w:t>
      </w:r>
      <w:r w:rsidR="00536CAA" w:rsidRPr="000450BF">
        <w:t>July</w:t>
      </w:r>
      <w:r w:rsidRPr="000450BF">
        <w:t xml:space="preserve"> 2018</w:t>
      </w:r>
      <w:r w:rsidR="00991132">
        <w:t xml:space="preserve">, </w:t>
      </w:r>
      <w:r w:rsidR="00DB62AD" w:rsidRPr="000450BF">
        <w:t>the establishment of a commissio</w:t>
      </w:r>
      <w:r w:rsidR="00050DD4" w:rsidRPr="000450BF">
        <w:t xml:space="preserve">n </w:t>
      </w:r>
      <w:r w:rsidR="00802E6A" w:rsidRPr="000450BF">
        <w:t xml:space="preserve">in charge of examining </w:t>
      </w:r>
      <w:r w:rsidR="00827326" w:rsidRPr="000450BF">
        <w:t>the requests for reintegration in the formal education system</w:t>
      </w:r>
      <w:r w:rsidR="00991132">
        <w:t>,</w:t>
      </w:r>
      <w:r w:rsidR="00827326" w:rsidRPr="000450BF">
        <w:t xml:space="preserve"> and </w:t>
      </w:r>
      <w:r w:rsidR="00991132">
        <w:t xml:space="preserve">it </w:t>
      </w:r>
      <w:r w:rsidR="00775F86" w:rsidRPr="000450BF">
        <w:t xml:space="preserve">authorised </w:t>
      </w:r>
      <w:r w:rsidR="00991132">
        <w:t>affected</w:t>
      </w:r>
      <w:r w:rsidR="00775F86" w:rsidRPr="000450BF">
        <w:t xml:space="preserve"> students </w:t>
      </w:r>
      <w:r w:rsidR="00BC2304" w:rsidRPr="000450BF">
        <w:t>to submit a request</w:t>
      </w:r>
      <w:r w:rsidR="00991132">
        <w:t>,</w:t>
      </w:r>
      <w:r w:rsidR="00BC2304" w:rsidRPr="000450BF">
        <w:t xml:space="preserve"> but </w:t>
      </w:r>
      <w:r w:rsidR="006405C6" w:rsidRPr="000450BF">
        <w:t>strictly</w:t>
      </w:r>
      <w:r w:rsidR="00BC2304" w:rsidRPr="000450BF">
        <w:t xml:space="preserve"> within a two</w:t>
      </w:r>
      <w:r w:rsidR="00522E4B" w:rsidRPr="000450BF">
        <w:t>-</w:t>
      </w:r>
      <w:r w:rsidR="00BC2304" w:rsidRPr="000450BF">
        <w:t xml:space="preserve">week period following the </w:t>
      </w:r>
      <w:r w:rsidR="0073478A" w:rsidRPr="000450BF">
        <w:t xml:space="preserve">publication of the </w:t>
      </w:r>
      <w:r w:rsidRPr="000450BF">
        <w:t xml:space="preserve">communiqué. </w:t>
      </w:r>
      <w:r w:rsidR="00EF5984" w:rsidRPr="000450BF">
        <w:t>However, t</w:t>
      </w:r>
      <w:r w:rsidR="00522E4B" w:rsidRPr="000450BF">
        <w:t>he</w:t>
      </w:r>
      <w:r w:rsidR="00EF5984" w:rsidRPr="000450BF">
        <w:t xml:space="preserve"> </w:t>
      </w:r>
      <w:r w:rsidR="006405C6" w:rsidRPr="000450BF">
        <w:t>M</w:t>
      </w:r>
      <w:r w:rsidRPr="000450BF">
        <w:t>inist</w:t>
      </w:r>
      <w:r w:rsidR="00E5403C" w:rsidRPr="000450BF">
        <w:t>er</w:t>
      </w:r>
      <w:r w:rsidRPr="000450BF">
        <w:t xml:space="preserve"> </w:t>
      </w:r>
      <w:r w:rsidR="00EF5984" w:rsidRPr="000450BF">
        <w:t>was not formally p</w:t>
      </w:r>
      <w:r w:rsidR="00CC4A19" w:rsidRPr="000450BF">
        <w:t>rohibiting the school principals from ex</w:t>
      </w:r>
      <w:r w:rsidR="00486EA4" w:rsidRPr="000450BF">
        <w:t>pelling</w:t>
      </w:r>
      <w:r w:rsidR="00CC4A19" w:rsidRPr="000450BF">
        <w:t xml:space="preserve"> the </w:t>
      </w:r>
      <w:r w:rsidR="006C4986" w:rsidRPr="000450BF">
        <w:t>pregnant students or the students “responsible</w:t>
      </w:r>
      <w:r w:rsidR="004F76DF" w:rsidRPr="000450BF">
        <w:t>” for the pregnancy</w:t>
      </w:r>
      <w:r w:rsidR="0082067B">
        <w:t>.</w:t>
      </w:r>
      <w:r w:rsidRPr="000450BF">
        <w:rPr>
          <w:vertAlign w:val="superscript"/>
          <w:lang w:val="fr-CH"/>
        </w:rPr>
        <w:footnoteReference w:id="234"/>
      </w:r>
    </w:p>
    <w:p w14:paraId="2E907FA1" w14:textId="07909576" w:rsidR="0039134B" w:rsidRPr="000450BF" w:rsidRDefault="0039134B" w:rsidP="0039134B">
      <w:pPr>
        <w:pStyle w:val="SingleTxtG"/>
      </w:pPr>
      <w:r w:rsidRPr="000450BF">
        <w:t>356.</w:t>
      </w:r>
      <w:r w:rsidRPr="000450BF">
        <w:tab/>
      </w:r>
      <w:r w:rsidR="004F76DF" w:rsidRPr="000450BF">
        <w:t>It is in this context that</w:t>
      </w:r>
      <w:r w:rsidR="00C82A11" w:rsidRPr="000450BF">
        <w:t>,</w:t>
      </w:r>
      <w:r w:rsidR="004F76DF" w:rsidRPr="000450BF">
        <w:t xml:space="preserve"> on </w:t>
      </w:r>
      <w:r w:rsidRPr="000450BF">
        <w:t xml:space="preserve">7 </w:t>
      </w:r>
      <w:proofErr w:type="gramStart"/>
      <w:r w:rsidRPr="000450BF">
        <w:t>ju</w:t>
      </w:r>
      <w:r w:rsidR="004F76DF" w:rsidRPr="000450BF">
        <w:t>ne</w:t>
      </w:r>
      <w:proofErr w:type="gramEnd"/>
      <w:r w:rsidRPr="000450BF">
        <w:t xml:space="preserve"> 2019, </w:t>
      </w:r>
      <w:r w:rsidR="00ED2FA4" w:rsidRPr="000450BF">
        <w:t xml:space="preserve">the principal </w:t>
      </w:r>
      <w:r w:rsidR="009743BC" w:rsidRPr="000450BF">
        <w:t xml:space="preserve">of </w:t>
      </w:r>
      <w:r w:rsidR="006D5B95" w:rsidRPr="000450BF">
        <w:t>a</w:t>
      </w:r>
      <w:r w:rsidR="009743BC" w:rsidRPr="000450BF">
        <w:t xml:space="preserve"> technical </w:t>
      </w:r>
      <w:r w:rsidR="00991132">
        <w:t>high school</w:t>
      </w:r>
      <w:r w:rsidRPr="000450BF">
        <w:t xml:space="preserve"> </w:t>
      </w:r>
      <w:r w:rsidR="00303FB3" w:rsidRPr="000450BF">
        <w:t xml:space="preserve">expelled </w:t>
      </w:r>
      <w:r w:rsidR="00340388" w:rsidRPr="000450BF">
        <w:t xml:space="preserve">ten girls and </w:t>
      </w:r>
      <w:r w:rsidR="00991132">
        <w:t>one</w:t>
      </w:r>
      <w:r w:rsidR="00340388" w:rsidRPr="000450BF">
        <w:t xml:space="preserve"> boy due to pregnancies, </w:t>
      </w:r>
      <w:r w:rsidR="00D17B52" w:rsidRPr="000450BF">
        <w:t xml:space="preserve">arguing that they </w:t>
      </w:r>
      <w:r w:rsidR="007101CE">
        <w:t>“</w:t>
      </w:r>
      <w:r w:rsidR="00266DA9" w:rsidRPr="000450BF">
        <w:t>infringed school regulations</w:t>
      </w:r>
      <w:r w:rsidR="007101CE">
        <w:t>”</w:t>
      </w:r>
      <w:r w:rsidRPr="000450BF">
        <w:t xml:space="preserve">. </w:t>
      </w:r>
      <w:r w:rsidR="004576CF" w:rsidRPr="000450BF">
        <w:t xml:space="preserve">In addition, the decision </w:t>
      </w:r>
      <w:r w:rsidR="002C1190" w:rsidRPr="000450BF">
        <w:t xml:space="preserve">stipulates that 46 </w:t>
      </w:r>
      <w:r w:rsidR="00C05014" w:rsidRPr="000450BF">
        <w:t xml:space="preserve">female students were </w:t>
      </w:r>
      <w:r w:rsidR="00EE3392" w:rsidRPr="000450BF">
        <w:t xml:space="preserve">forcibly </w:t>
      </w:r>
      <w:r w:rsidR="00C05014" w:rsidRPr="000450BF">
        <w:t>subjected to pregnancy</w:t>
      </w:r>
      <w:r w:rsidR="00EE3392" w:rsidRPr="000450BF">
        <w:t xml:space="preserve"> test</w:t>
      </w:r>
      <w:r w:rsidR="00723CE8" w:rsidRPr="000450BF">
        <w:t>ing</w:t>
      </w:r>
      <w:r w:rsidR="00EE3392" w:rsidRPr="000450BF">
        <w:t xml:space="preserve"> during the investigation. </w:t>
      </w:r>
      <w:r w:rsidR="00437264" w:rsidRPr="000450BF">
        <w:t>F</w:t>
      </w:r>
      <w:r w:rsidR="00EE3392" w:rsidRPr="000450BF">
        <w:t xml:space="preserve">orced </w:t>
      </w:r>
      <w:r w:rsidR="00723CE8" w:rsidRPr="000450BF">
        <w:t>or coerced</w:t>
      </w:r>
      <w:r w:rsidR="00B677F1" w:rsidRPr="000450BF">
        <w:t xml:space="preserve"> pregancy test</w:t>
      </w:r>
      <w:r w:rsidR="00723CE8" w:rsidRPr="000450BF">
        <w:t>ing</w:t>
      </w:r>
      <w:r w:rsidR="00437264" w:rsidRPr="000450BF">
        <w:t xml:space="preserve"> of </w:t>
      </w:r>
      <w:r w:rsidR="00F91FEF" w:rsidRPr="000450BF">
        <w:t>female students by school authorities in another schoo</w:t>
      </w:r>
      <w:r w:rsidR="000B6F37" w:rsidRPr="000450BF">
        <w:t>l was also report</w:t>
      </w:r>
      <w:r w:rsidR="002758CC" w:rsidRPr="000450BF">
        <w:t xml:space="preserve">ed in the </w:t>
      </w:r>
      <w:r w:rsidR="00991132">
        <w:t>m</w:t>
      </w:r>
      <w:r w:rsidR="002758CC" w:rsidRPr="000450BF">
        <w:t>e</w:t>
      </w:r>
      <w:r w:rsidRPr="000450BF">
        <w:t>dia</w:t>
      </w:r>
      <w:r w:rsidR="00717C44">
        <w:t>.</w:t>
      </w:r>
      <w:r w:rsidRPr="000450BF">
        <w:rPr>
          <w:vertAlign w:val="superscript"/>
          <w:lang w:val="fr-CH"/>
        </w:rPr>
        <w:footnoteReference w:id="235"/>
      </w:r>
      <w:r w:rsidRPr="000450BF">
        <w:t xml:space="preserve"> </w:t>
      </w:r>
      <w:r w:rsidR="002758CC" w:rsidRPr="000450BF">
        <w:t xml:space="preserve">To the Commission knowledge, </w:t>
      </w:r>
      <w:r w:rsidR="00454230" w:rsidRPr="000450BF">
        <w:t xml:space="preserve">this decision was not contested nor suspended by Burundian authorities. </w:t>
      </w:r>
    </w:p>
    <w:p w14:paraId="787D17C8" w14:textId="351488F9" w:rsidR="0039134B" w:rsidRPr="000450BF" w:rsidRDefault="0039134B" w:rsidP="0039134B">
      <w:pPr>
        <w:pStyle w:val="SingleTxtG"/>
      </w:pPr>
      <w:r w:rsidRPr="000450BF">
        <w:t>357.</w:t>
      </w:r>
      <w:r w:rsidRPr="000450BF">
        <w:tab/>
      </w:r>
      <w:r w:rsidR="00454230" w:rsidRPr="000450BF">
        <w:t xml:space="preserve">These discriminatory measures </w:t>
      </w:r>
      <w:r w:rsidR="00CE0D43" w:rsidRPr="000450BF">
        <w:t xml:space="preserve">represent </w:t>
      </w:r>
      <w:r w:rsidR="005875B6" w:rsidRPr="000450BF">
        <w:t>violations of the right to education</w:t>
      </w:r>
      <w:r w:rsidR="00717C44">
        <w:t>.</w:t>
      </w:r>
      <w:r w:rsidRPr="000450BF">
        <w:rPr>
          <w:vertAlign w:val="superscript"/>
          <w:lang w:val="fr-CH"/>
        </w:rPr>
        <w:footnoteReference w:id="236"/>
      </w:r>
      <w:r w:rsidRPr="000450BF">
        <w:t xml:space="preserve"> </w:t>
      </w:r>
      <w:r w:rsidR="00695794" w:rsidRPr="000450BF">
        <w:t xml:space="preserve">Moreover, when they target persons </w:t>
      </w:r>
      <w:r w:rsidR="00D0407A" w:rsidRPr="000450BF">
        <w:t xml:space="preserve">below </w:t>
      </w:r>
      <w:r w:rsidRPr="000450BF">
        <w:t xml:space="preserve">18 </w:t>
      </w:r>
      <w:r w:rsidR="00D0407A" w:rsidRPr="000450BF">
        <w:t xml:space="preserve">years </w:t>
      </w:r>
      <w:r w:rsidR="00D2442D" w:rsidRPr="000450BF">
        <w:t xml:space="preserve">of age, they represent </w:t>
      </w:r>
      <w:r w:rsidR="0068461C" w:rsidRPr="000450BF">
        <w:t>child</w:t>
      </w:r>
      <w:r w:rsidR="00692CF0" w:rsidRPr="000450BF">
        <w:t>ren’s</w:t>
      </w:r>
      <w:r w:rsidR="0068461C" w:rsidRPr="000450BF">
        <w:t xml:space="preserve"> rights violations, notably the right to education </w:t>
      </w:r>
      <w:r w:rsidR="003010C2" w:rsidRPr="000450BF">
        <w:t xml:space="preserve">but also </w:t>
      </w:r>
      <w:r w:rsidR="00587F17" w:rsidRPr="000450BF">
        <w:t xml:space="preserve">the </w:t>
      </w:r>
      <w:r w:rsidR="00494334" w:rsidRPr="000450BF">
        <w:t>right to</w:t>
      </w:r>
      <w:r w:rsidR="00587F17" w:rsidRPr="000450BF">
        <w:t xml:space="preserve"> </w:t>
      </w:r>
      <w:r w:rsidR="000D01D7" w:rsidRPr="000450BF">
        <w:t xml:space="preserve">freedom from arbitrary interference </w:t>
      </w:r>
      <w:r w:rsidR="00981FDF" w:rsidRPr="000450BF">
        <w:t>in</w:t>
      </w:r>
      <w:r w:rsidR="00152A53" w:rsidRPr="000450BF">
        <w:t xml:space="preserve"> </w:t>
      </w:r>
      <w:r w:rsidR="00ED554A" w:rsidRPr="000450BF">
        <w:t xml:space="preserve">their </w:t>
      </w:r>
      <w:r w:rsidR="00152A53" w:rsidRPr="000450BF">
        <w:t>private life</w:t>
      </w:r>
      <w:r w:rsidRPr="000450BF">
        <w:t xml:space="preserve">, </w:t>
      </w:r>
      <w:r w:rsidR="00ED554A" w:rsidRPr="000450BF">
        <w:t xml:space="preserve">and unlawful attacks </w:t>
      </w:r>
      <w:r w:rsidR="00BC19FD" w:rsidRPr="000450BF">
        <w:t>on their honor or reputation</w:t>
      </w:r>
      <w:r w:rsidR="00717C44">
        <w:t>.</w:t>
      </w:r>
      <w:r w:rsidRPr="000450BF">
        <w:rPr>
          <w:vertAlign w:val="superscript"/>
          <w:lang w:val="fr-CH"/>
        </w:rPr>
        <w:footnoteReference w:id="237"/>
      </w:r>
      <w:r w:rsidRPr="000450BF">
        <w:t xml:space="preserve"> </w:t>
      </w:r>
      <w:r w:rsidR="00BC19FD" w:rsidRPr="000450BF">
        <w:t xml:space="preserve">The Special Rapporteur </w:t>
      </w:r>
      <w:r w:rsidR="00870134" w:rsidRPr="000450BF">
        <w:t xml:space="preserve">on torture had observed that </w:t>
      </w:r>
      <w:r w:rsidR="007101CE">
        <w:t>“</w:t>
      </w:r>
      <w:r w:rsidRPr="000450BF">
        <w:t>[</w:t>
      </w:r>
      <w:r w:rsidR="00870134" w:rsidRPr="000450BF">
        <w:t xml:space="preserve">virginity </w:t>
      </w:r>
      <w:r w:rsidRPr="000450BF">
        <w:t>tests</w:t>
      </w:r>
      <w:r w:rsidR="0007305A" w:rsidRPr="000450BF">
        <w:t xml:space="preserve"> and</w:t>
      </w:r>
      <w:r w:rsidRPr="000450BF">
        <w:t>]</w:t>
      </w:r>
      <w:r w:rsidR="00FA4228" w:rsidRPr="000450BF">
        <w:t xml:space="preserve"> </w:t>
      </w:r>
      <w:r w:rsidR="00DC3BF2" w:rsidRPr="000450BF">
        <w:t>the expulsion of pregnant girls from schools, which often result in long-term harmful consequences, constitute forms of discrimination and ill-treatment</w:t>
      </w:r>
      <w:r w:rsidR="007101CE">
        <w:t>”</w:t>
      </w:r>
      <w:r w:rsidR="00717C44">
        <w:t>.</w:t>
      </w:r>
      <w:r w:rsidRPr="000450BF">
        <w:rPr>
          <w:vertAlign w:val="superscript"/>
          <w:lang w:val="fr-CH"/>
        </w:rPr>
        <w:footnoteReference w:id="238"/>
      </w:r>
    </w:p>
    <w:p w14:paraId="72063AC1" w14:textId="3174CA1E" w:rsidR="0039134B" w:rsidRPr="000450BF" w:rsidRDefault="0039134B" w:rsidP="0039134B">
      <w:pPr>
        <w:pStyle w:val="SingleTxtG"/>
        <w:rPr>
          <w:i/>
        </w:rPr>
      </w:pPr>
      <w:r w:rsidRPr="000450BF">
        <w:rPr>
          <w:i/>
        </w:rPr>
        <w:tab/>
        <w:t>c)</w:t>
      </w:r>
      <w:r w:rsidRPr="000450BF">
        <w:rPr>
          <w:i/>
        </w:rPr>
        <w:tab/>
      </w:r>
      <w:r w:rsidR="007D5503" w:rsidRPr="000450BF">
        <w:rPr>
          <w:i/>
        </w:rPr>
        <w:t>Curfew for women and girls</w:t>
      </w:r>
    </w:p>
    <w:p w14:paraId="7408FBEA" w14:textId="139900C2" w:rsidR="0039134B" w:rsidRPr="000450BF" w:rsidRDefault="0039134B" w:rsidP="0039134B">
      <w:pPr>
        <w:pStyle w:val="SingleTxtG"/>
      </w:pPr>
      <w:r w:rsidRPr="000450BF">
        <w:t>358.</w:t>
      </w:r>
      <w:r w:rsidRPr="000450BF">
        <w:tab/>
      </w:r>
      <w:r w:rsidR="007D5503" w:rsidRPr="000450BF">
        <w:t>I</w:t>
      </w:r>
      <w:r w:rsidRPr="000450BF">
        <w:t xml:space="preserve">n 2019, </w:t>
      </w:r>
      <w:r w:rsidR="007D5503" w:rsidRPr="000450BF">
        <w:t xml:space="preserve">local administrators </w:t>
      </w:r>
      <w:r w:rsidR="009F1DBF" w:rsidRPr="000450BF">
        <w:t>adopted</w:t>
      </w:r>
      <w:r w:rsidR="00D05FA1" w:rsidRPr="000450BF">
        <w:t xml:space="preserve"> disciminatory measures against women and girls, which restrict</w:t>
      </w:r>
      <w:r w:rsidR="00BA4689">
        <w:t>ed</w:t>
      </w:r>
      <w:r w:rsidR="00D05FA1" w:rsidRPr="000450BF">
        <w:t xml:space="preserve"> their freedom </w:t>
      </w:r>
      <w:r w:rsidR="001623E7" w:rsidRPr="000450BF">
        <w:t>of movement</w:t>
      </w:r>
      <w:r w:rsidRPr="000450BF">
        <w:t xml:space="preserve">, </w:t>
      </w:r>
      <w:r w:rsidR="00CF6E23" w:rsidRPr="000450BF">
        <w:t xml:space="preserve">with the </w:t>
      </w:r>
      <w:r w:rsidR="00BA64C8" w:rsidRPr="000450BF">
        <w:t>stated</w:t>
      </w:r>
      <w:r w:rsidR="00CF6E23" w:rsidRPr="000450BF">
        <w:t xml:space="preserve"> objective </w:t>
      </w:r>
      <w:r w:rsidR="00BA64C8" w:rsidRPr="000450BF">
        <w:t xml:space="preserve">to restore </w:t>
      </w:r>
      <w:r w:rsidR="0039540C" w:rsidRPr="000450BF">
        <w:t>morality. However, these measures</w:t>
      </w:r>
      <w:r w:rsidR="00BA4689">
        <w:t>,</w:t>
      </w:r>
      <w:r w:rsidR="005940FE" w:rsidRPr="000450BF">
        <w:t xml:space="preserve"> though</w:t>
      </w:r>
      <w:r w:rsidR="0039540C" w:rsidRPr="000450BF">
        <w:t xml:space="preserve"> incompatible with Burundian </w:t>
      </w:r>
      <w:r w:rsidR="00BA4689">
        <w:t xml:space="preserve">legislation, </w:t>
      </w:r>
      <w:r w:rsidR="00AD54E9" w:rsidRPr="000450BF">
        <w:t>were not cancelled by Burundian authorities who had the ability and the duty to do so.</w:t>
      </w:r>
    </w:p>
    <w:p w14:paraId="17B53F50" w14:textId="32521721" w:rsidR="0039134B" w:rsidRPr="000450BF" w:rsidRDefault="0039134B" w:rsidP="0039134B">
      <w:pPr>
        <w:pStyle w:val="SingleTxtG"/>
      </w:pPr>
      <w:r w:rsidRPr="000450BF">
        <w:t>359.</w:t>
      </w:r>
      <w:r w:rsidRPr="000450BF">
        <w:tab/>
      </w:r>
      <w:r w:rsidR="00AD54E9" w:rsidRPr="000450BF">
        <w:t xml:space="preserve">Thus, in February and May 2019, at least three </w:t>
      </w:r>
      <w:r w:rsidR="00117B60" w:rsidRPr="000450BF">
        <w:t>communal administrators</w:t>
      </w:r>
      <w:r w:rsidRPr="000450BF">
        <w:rPr>
          <w:vertAlign w:val="superscript"/>
          <w:lang w:val="fr-CH"/>
        </w:rPr>
        <w:footnoteReference w:id="239"/>
      </w:r>
      <w:r w:rsidRPr="000450BF">
        <w:t xml:space="preserve"> </w:t>
      </w:r>
      <w:r w:rsidR="007E0DC9" w:rsidRPr="000450BF">
        <w:t>imposed</w:t>
      </w:r>
      <w:r w:rsidR="00AC13E5" w:rsidRPr="000450BF">
        <w:t xml:space="preserve"> movement restriction measures </w:t>
      </w:r>
      <w:r w:rsidR="00D168E4" w:rsidRPr="000450BF">
        <w:t xml:space="preserve">after </w:t>
      </w:r>
      <w:r w:rsidRPr="000450BF">
        <w:t>18</w:t>
      </w:r>
      <w:r w:rsidR="00D168E4" w:rsidRPr="000450BF">
        <w:t>:00</w:t>
      </w:r>
      <w:r w:rsidRPr="000450BF">
        <w:t xml:space="preserve"> </w:t>
      </w:r>
      <w:r w:rsidR="00D168E4" w:rsidRPr="000450BF">
        <w:t>or</w:t>
      </w:r>
      <w:r w:rsidRPr="000450BF">
        <w:t xml:space="preserve"> 19</w:t>
      </w:r>
      <w:r w:rsidR="00D168E4" w:rsidRPr="000450BF">
        <w:t>:00</w:t>
      </w:r>
      <w:r w:rsidRPr="000450BF">
        <w:t xml:space="preserve"> h</w:t>
      </w:r>
      <w:r w:rsidR="00D168E4" w:rsidRPr="000450BF">
        <w:t xml:space="preserve">ours, </w:t>
      </w:r>
      <w:r w:rsidR="007B6CCA" w:rsidRPr="000450BF">
        <w:t xml:space="preserve">targeting only or specifically girls and women, </w:t>
      </w:r>
      <w:r w:rsidR="008B637B" w:rsidRPr="000450BF">
        <w:t xml:space="preserve">with the stated objective </w:t>
      </w:r>
      <w:r w:rsidR="00BA4C62" w:rsidRPr="000450BF">
        <w:t xml:space="preserve">to fight against behaviors that are contrary to the </w:t>
      </w:r>
      <w:r w:rsidR="00B67465" w:rsidRPr="000450BF">
        <w:t xml:space="preserve">Burundian culture, </w:t>
      </w:r>
      <w:r w:rsidR="00F81678" w:rsidRPr="000450BF">
        <w:t xml:space="preserve">to curb unwanted pregnancies and to discourage adultery. </w:t>
      </w:r>
      <w:r w:rsidR="00CE6720" w:rsidRPr="000450BF">
        <w:t xml:space="preserve">One of these decisions came </w:t>
      </w:r>
      <w:r w:rsidR="00EF0FE8" w:rsidRPr="000450BF">
        <w:t xml:space="preserve">directly </w:t>
      </w:r>
      <w:r w:rsidR="00CE6720" w:rsidRPr="000450BF">
        <w:t xml:space="preserve">after </w:t>
      </w:r>
      <w:r w:rsidR="00EF0FE8" w:rsidRPr="000450BF">
        <w:t xml:space="preserve">the visit of the President of the Senate </w:t>
      </w:r>
      <w:r w:rsidR="00AD4947" w:rsidRPr="000450BF">
        <w:t xml:space="preserve">in the commune during which the </w:t>
      </w:r>
      <w:r w:rsidR="00CF3442" w:rsidRPr="000450BF">
        <w:t>G</w:t>
      </w:r>
      <w:r w:rsidR="00AD4947" w:rsidRPr="000450BF">
        <w:t xml:space="preserve">overnor of the province </w:t>
      </w:r>
      <w:r w:rsidR="00B66E7B" w:rsidRPr="000450BF">
        <w:t>stated that unwanted pregancies amongst students were a considerable problem</w:t>
      </w:r>
      <w:r w:rsidR="00EB40B6">
        <w:t>.</w:t>
      </w:r>
      <w:r w:rsidRPr="000450BF">
        <w:rPr>
          <w:vertAlign w:val="superscript"/>
          <w:lang w:val="fr-CH"/>
        </w:rPr>
        <w:footnoteReference w:id="240"/>
      </w:r>
      <w:r w:rsidRPr="000450BF">
        <w:t xml:space="preserve"> </w:t>
      </w:r>
      <w:r w:rsidR="001B28C9" w:rsidRPr="000450BF">
        <w:t>I</w:t>
      </w:r>
      <w:r w:rsidR="00781B16" w:rsidRPr="000450BF">
        <w:t>n</w:t>
      </w:r>
      <w:r w:rsidR="001B28C9" w:rsidRPr="000450BF">
        <w:t xml:space="preserve"> one case, the communal administrator instructed the mixed security committees</w:t>
      </w:r>
      <w:r w:rsidR="002D48C4" w:rsidRPr="000450BF">
        <w:t>, in which Imbonerakure are involved, to fight against th</w:t>
      </w:r>
      <w:r w:rsidR="00D25A3A" w:rsidRPr="000450BF">
        <w:t>os</w:t>
      </w:r>
      <w:r w:rsidR="002D48C4" w:rsidRPr="000450BF">
        <w:t>e</w:t>
      </w:r>
      <w:r w:rsidR="00892C27" w:rsidRPr="000450BF">
        <w:t xml:space="preserve"> behaviors</w:t>
      </w:r>
      <w:r w:rsidR="00EB40B6">
        <w:t>.</w:t>
      </w:r>
      <w:r w:rsidRPr="000450BF">
        <w:rPr>
          <w:vertAlign w:val="superscript"/>
          <w:lang w:val="fr-CH"/>
        </w:rPr>
        <w:footnoteReference w:id="241"/>
      </w:r>
      <w:r w:rsidR="00781B16" w:rsidRPr="000450BF">
        <w:t xml:space="preserve"> In </w:t>
      </w:r>
      <w:r w:rsidR="00892C27" w:rsidRPr="000450BF">
        <w:t xml:space="preserve">another commune, the administrator </w:t>
      </w:r>
      <w:r w:rsidR="00573E61" w:rsidRPr="000450BF">
        <w:t xml:space="preserve">stated that the </w:t>
      </w:r>
      <w:r w:rsidR="00967340" w:rsidRPr="000450BF">
        <w:t xml:space="preserve">offenders will be punished in an </w:t>
      </w:r>
      <w:proofErr w:type="gramStart"/>
      <w:r w:rsidR="007101CE">
        <w:t>“</w:t>
      </w:r>
      <w:r w:rsidRPr="000450BF">
        <w:t> </w:t>
      </w:r>
      <w:r w:rsidR="00967340" w:rsidRPr="000450BF">
        <w:t>exemplary</w:t>
      </w:r>
      <w:proofErr w:type="gramEnd"/>
      <w:r w:rsidR="00967340" w:rsidRPr="000450BF">
        <w:t xml:space="preserve"> fashion</w:t>
      </w:r>
      <w:r w:rsidR="007101CE">
        <w:t>”</w:t>
      </w:r>
      <w:r w:rsidR="00EB40B6">
        <w:t>.</w:t>
      </w:r>
      <w:r w:rsidRPr="000450BF">
        <w:rPr>
          <w:vertAlign w:val="superscript"/>
          <w:lang w:val="fr-CH"/>
        </w:rPr>
        <w:footnoteReference w:id="242"/>
      </w:r>
    </w:p>
    <w:p w14:paraId="1F4AAAEB" w14:textId="1B914C81" w:rsidR="0039134B" w:rsidRPr="000450BF" w:rsidRDefault="0039134B" w:rsidP="0039134B">
      <w:pPr>
        <w:pStyle w:val="SingleTxtG"/>
      </w:pPr>
      <w:r w:rsidRPr="000450BF">
        <w:t>360.</w:t>
      </w:r>
      <w:r w:rsidRPr="000450BF">
        <w:tab/>
      </w:r>
      <w:r w:rsidR="004D44D6" w:rsidRPr="000450BF">
        <w:t>For example, one of these communal instructions stipulate</w:t>
      </w:r>
      <w:r w:rsidR="00801C41" w:rsidRPr="000450BF">
        <w:t>s</w:t>
      </w:r>
      <w:r w:rsidR="004D44D6" w:rsidRPr="000450BF">
        <w:t xml:space="preserve"> </w:t>
      </w:r>
      <w:r w:rsidR="007101CE">
        <w:rPr>
          <w:i/>
        </w:rPr>
        <w:t>“</w:t>
      </w:r>
      <w:r w:rsidR="00117ED7" w:rsidRPr="000450BF">
        <w:rPr>
          <w:i/>
        </w:rPr>
        <w:t>the administ</w:t>
      </w:r>
      <w:r w:rsidR="00B76FD8" w:rsidRPr="000450BF">
        <w:rPr>
          <w:i/>
        </w:rPr>
        <w:t>ra</w:t>
      </w:r>
      <w:r w:rsidR="00117ED7" w:rsidRPr="000450BF">
        <w:rPr>
          <w:i/>
        </w:rPr>
        <w:t xml:space="preserve">tor </w:t>
      </w:r>
      <w:r w:rsidR="00546285">
        <w:rPr>
          <w:i/>
        </w:rPr>
        <w:t>declares</w:t>
      </w:r>
      <w:r w:rsidR="00047C15" w:rsidRPr="000450BF">
        <w:rPr>
          <w:i/>
        </w:rPr>
        <w:t xml:space="preserve"> that women and girls </w:t>
      </w:r>
      <w:r w:rsidR="00B60590" w:rsidRPr="000450BF">
        <w:rPr>
          <w:i/>
        </w:rPr>
        <w:t xml:space="preserve">are no longer allowed </w:t>
      </w:r>
      <w:r w:rsidR="00D11F5F" w:rsidRPr="000450BF">
        <w:rPr>
          <w:i/>
        </w:rPr>
        <w:t xml:space="preserve">to visit bars and markets past 19:00 hours </w:t>
      </w:r>
      <w:r w:rsidR="004A2B13" w:rsidRPr="000450BF">
        <w:rPr>
          <w:i/>
        </w:rPr>
        <w:t xml:space="preserve">if they are not accompanied by their legitimate husband. </w:t>
      </w:r>
      <w:r w:rsidR="00EC6317" w:rsidRPr="000450BF">
        <w:rPr>
          <w:i/>
        </w:rPr>
        <w:t xml:space="preserve">The administrator requests the </w:t>
      </w:r>
      <w:r w:rsidR="00135731" w:rsidRPr="000450BF">
        <w:rPr>
          <w:i/>
        </w:rPr>
        <w:t>authorities and the mixed security committe</w:t>
      </w:r>
      <w:r w:rsidR="002B6129" w:rsidRPr="000450BF">
        <w:rPr>
          <w:i/>
        </w:rPr>
        <w:t>e</w:t>
      </w:r>
      <w:r w:rsidR="00135731" w:rsidRPr="000450BF">
        <w:rPr>
          <w:i/>
        </w:rPr>
        <w:t xml:space="preserve">s to fight </w:t>
      </w:r>
      <w:r w:rsidR="000E77CC" w:rsidRPr="000450BF">
        <w:rPr>
          <w:i/>
        </w:rPr>
        <w:t xml:space="preserve">against this </w:t>
      </w:r>
      <w:r w:rsidR="004855FC" w:rsidRPr="000450BF">
        <w:rPr>
          <w:i/>
        </w:rPr>
        <w:t xml:space="preserve">shameful </w:t>
      </w:r>
      <w:r w:rsidR="00BC5B3D" w:rsidRPr="000450BF">
        <w:rPr>
          <w:i/>
        </w:rPr>
        <w:t xml:space="preserve">behaviour by chasing </w:t>
      </w:r>
      <w:r w:rsidR="005639FB" w:rsidRPr="000450BF">
        <w:rPr>
          <w:i/>
        </w:rPr>
        <w:t>these unruly women and by denouncing</w:t>
      </w:r>
      <w:r w:rsidR="00674D0D" w:rsidRPr="000450BF">
        <w:rPr>
          <w:i/>
        </w:rPr>
        <w:t xml:space="preserve"> them so that they are </w:t>
      </w:r>
      <w:r w:rsidR="00F56E9E" w:rsidRPr="000450BF">
        <w:rPr>
          <w:i/>
        </w:rPr>
        <w:t>punished</w:t>
      </w:r>
      <w:r w:rsidR="007101CE">
        <w:rPr>
          <w:i/>
        </w:rPr>
        <w:t>”</w:t>
      </w:r>
      <w:r w:rsidR="00EB40B6">
        <w:rPr>
          <w:i/>
        </w:rPr>
        <w:t>.</w:t>
      </w:r>
      <w:r w:rsidRPr="000450BF">
        <w:rPr>
          <w:vertAlign w:val="superscript"/>
          <w:lang w:val="fr-CH"/>
        </w:rPr>
        <w:footnoteReference w:id="243"/>
      </w:r>
    </w:p>
    <w:p w14:paraId="0E8BBE75" w14:textId="1A0C8B19" w:rsidR="0039134B" w:rsidRPr="000450BF" w:rsidRDefault="0039134B" w:rsidP="0039134B">
      <w:pPr>
        <w:pStyle w:val="SingleTxtG"/>
      </w:pPr>
      <w:r w:rsidRPr="000450BF">
        <w:t>361.</w:t>
      </w:r>
      <w:r w:rsidRPr="000450BF">
        <w:tab/>
      </w:r>
      <w:r w:rsidR="005140EA" w:rsidRPr="000450BF">
        <w:t xml:space="preserve">Another one declares </w:t>
      </w:r>
      <w:r w:rsidR="00242DD3" w:rsidRPr="000450BF">
        <w:t>more tersely that</w:t>
      </w:r>
      <w:r w:rsidRPr="000450BF">
        <w:t xml:space="preserve">: </w:t>
      </w:r>
      <w:r w:rsidR="007101CE">
        <w:t>“</w:t>
      </w:r>
      <w:r w:rsidR="00242DD3" w:rsidRPr="000450BF">
        <w:rPr>
          <w:i/>
        </w:rPr>
        <w:t xml:space="preserve">Young women are forbidden from </w:t>
      </w:r>
      <w:r w:rsidR="00BF2828" w:rsidRPr="000450BF">
        <w:rPr>
          <w:i/>
        </w:rPr>
        <w:t xml:space="preserve">being outside past </w:t>
      </w:r>
      <w:r w:rsidRPr="000450BF">
        <w:rPr>
          <w:i/>
        </w:rPr>
        <w:t>18</w:t>
      </w:r>
      <w:r w:rsidR="005E6796" w:rsidRPr="000450BF">
        <w:rPr>
          <w:i/>
        </w:rPr>
        <w:t xml:space="preserve">:00 </w:t>
      </w:r>
      <w:r w:rsidRPr="000450BF">
        <w:rPr>
          <w:i/>
        </w:rPr>
        <w:t>h</w:t>
      </w:r>
      <w:r w:rsidR="005E6796" w:rsidRPr="000450BF">
        <w:rPr>
          <w:i/>
        </w:rPr>
        <w:t>ours</w:t>
      </w:r>
      <w:r w:rsidR="00EB40B6">
        <w:rPr>
          <w:i/>
        </w:rPr>
        <w:t>”.</w:t>
      </w:r>
      <w:r w:rsidRPr="000450BF">
        <w:rPr>
          <w:vertAlign w:val="superscript"/>
          <w:lang w:val="fr-CH"/>
        </w:rPr>
        <w:footnoteReference w:id="244"/>
      </w:r>
    </w:p>
    <w:p w14:paraId="2216541D" w14:textId="30D6FB28" w:rsidR="0039134B" w:rsidRPr="000450BF" w:rsidRDefault="0039134B" w:rsidP="0039134B">
      <w:pPr>
        <w:pStyle w:val="SingleTxtG"/>
      </w:pPr>
      <w:r w:rsidRPr="000450BF">
        <w:t>362.</w:t>
      </w:r>
      <w:r w:rsidRPr="000450BF">
        <w:tab/>
      </w:r>
      <w:r w:rsidR="00626606" w:rsidRPr="000450BF">
        <w:t xml:space="preserve">Several civil society representatives reacted in the media, highlighting the discriminatory </w:t>
      </w:r>
      <w:r w:rsidR="00B150AB" w:rsidRPr="000450BF">
        <w:t xml:space="preserve">nature of these measures and their consequences on girls and women, particularly </w:t>
      </w:r>
      <w:r w:rsidR="00432A6E" w:rsidRPr="000450BF">
        <w:t xml:space="preserve">in rural </w:t>
      </w:r>
      <w:r w:rsidR="00BF56A0" w:rsidRPr="000450BF">
        <w:t>areas</w:t>
      </w:r>
      <w:r w:rsidR="00432A6E" w:rsidRPr="000450BF">
        <w:t xml:space="preserve">. In fact, </w:t>
      </w:r>
      <w:r w:rsidR="00ED1822" w:rsidRPr="000450BF">
        <w:t xml:space="preserve">they generally need </w:t>
      </w:r>
      <w:r w:rsidR="00CE2314" w:rsidRPr="000450BF">
        <w:t xml:space="preserve">to </w:t>
      </w:r>
      <w:r w:rsidR="00C7081D" w:rsidRPr="000450BF">
        <w:t xml:space="preserve">do farm work in addition to their </w:t>
      </w:r>
      <w:r w:rsidR="00C43C8E" w:rsidRPr="000450BF">
        <w:t>domestic or school obligations</w:t>
      </w:r>
      <w:r w:rsidR="00BC2781" w:rsidRPr="000450BF">
        <w:t>;</w:t>
      </w:r>
      <w:r w:rsidR="00C43C8E" w:rsidRPr="000450BF">
        <w:t xml:space="preserve"> for those who are able to attend school. </w:t>
      </w:r>
      <w:r w:rsidR="00622257" w:rsidRPr="000450BF">
        <w:t xml:space="preserve">All these tasks involve movement </w:t>
      </w:r>
      <w:r w:rsidR="00C4649B" w:rsidRPr="000450BF">
        <w:t>or may require that student</w:t>
      </w:r>
      <w:r w:rsidR="00B76FD8" w:rsidRPr="000450BF">
        <w:t>s</w:t>
      </w:r>
      <w:r w:rsidR="00C4649B" w:rsidRPr="000450BF">
        <w:t xml:space="preserve"> find a well lit area </w:t>
      </w:r>
      <w:r w:rsidR="007114A1" w:rsidRPr="000450BF">
        <w:t xml:space="preserve">to revise </w:t>
      </w:r>
      <w:r w:rsidR="00B76FD8" w:rsidRPr="000450BF">
        <w:t>t</w:t>
      </w:r>
      <w:r w:rsidR="007114A1" w:rsidRPr="000450BF">
        <w:t>he</w:t>
      </w:r>
      <w:r w:rsidR="00B76FD8" w:rsidRPr="000450BF">
        <w:t>i</w:t>
      </w:r>
      <w:r w:rsidR="007114A1" w:rsidRPr="000450BF">
        <w:t>r coursework in the evening</w:t>
      </w:r>
      <w:r w:rsidR="00EB40B6">
        <w:t>.</w:t>
      </w:r>
      <w:r w:rsidRPr="000450BF">
        <w:rPr>
          <w:vertAlign w:val="superscript"/>
          <w:lang w:val="fr-CH"/>
        </w:rPr>
        <w:footnoteReference w:id="245"/>
      </w:r>
    </w:p>
    <w:p w14:paraId="4DA5AC8F" w14:textId="5542AFBC" w:rsidR="0039134B" w:rsidRPr="000450BF" w:rsidRDefault="0039134B" w:rsidP="0039134B">
      <w:pPr>
        <w:pStyle w:val="SingleTxtG"/>
      </w:pPr>
      <w:r w:rsidRPr="000450BF">
        <w:t>363.</w:t>
      </w:r>
      <w:r w:rsidRPr="000450BF">
        <w:tab/>
      </w:r>
      <w:r w:rsidR="000C5E6A" w:rsidRPr="000450BF">
        <w:t xml:space="preserve">These measures represent violations </w:t>
      </w:r>
      <w:r w:rsidR="00BF7E3E" w:rsidRPr="000450BF">
        <w:t>of women’s rights and children’s rights</w:t>
      </w:r>
      <w:r w:rsidR="00EB40B6">
        <w:t>.</w:t>
      </w:r>
      <w:r w:rsidRPr="000450BF">
        <w:rPr>
          <w:vertAlign w:val="superscript"/>
          <w:lang w:val="fr-CH"/>
        </w:rPr>
        <w:footnoteReference w:id="246"/>
      </w:r>
      <w:r w:rsidRPr="000450BF">
        <w:t xml:space="preserve"> </w:t>
      </w:r>
      <w:r w:rsidR="00B9741D" w:rsidRPr="000450BF">
        <w:t xml:space="preserve">There are reasons to fear that </w:t>
      </w:r>
      <w:r w:rsidR="009F4C0C" w:rsidRPr="000450BF">
        <w:t xml:space="preserve">the campaign to restore morality and Burundian values </w:t>
      </w:r>
      <w:r w:rsidR="0020621B" w:rsidRPr="000450BF">
        <w:t xml:space="preserve">by the highest level of </w:t>
      </w:r>
      <w:r w:rsidR="002D3E8D" w:rsidRPr="000450BF">
        <w:t xml:space="preserve">Burundian authorities </w:t>
      </w:r>
      <w:r w:rsidR="001E3694" w:rsidRPr="000450BF">
        <w:t xml:space="preserve">will, in practice, </w:t>
      </w:r>
      <w:r w:rsidR="00BD5453" w:rsidRPr="000450BF">
        <w:t xml:space="preserve">result in a </w:t>
      </w:r>
      <w:r w:rsidR="0020621B" w:rsidRPr="000450BF">
        <w:t>setback</w:t>
      </w:r>
      <w:r w:rsidR="00BA5DF7" w:rsidRPr="000450BF">
        <w:t xml:space="preserve"> to women’s rights and gender equality </w:t>
      </w:r>
      <w:r w:rsidR="00D77153" w:rsidRPr="000450BF">
        <w:t xml:space="preserve">in </w:t>
      </w:r>
      <w:r w:rsidRPr="000450BF">
        <w:t>Burundi.</w:t>
      </w:r>
    </w:p>
    <w:p w14:paraId="1DAA05D9" w14:textId="18DB541A" w:rsidR="00432921" w:rsidRDefault="00432921" w:rsidP="00432921">
      <w:pPr>
        <w:keepNext/>
        <w:keepLines/>
        <w:tabs>
          <w:tab w:val="right" w:pos="851"/>
        </w:tabs>
        <w:spacing w:before="360" w:after="240" w:line="300" w:lineRule="exact"/>
        <w:ind w:left="1134" w:right="1134" w:hanging="1134"/>
        <w:rPr>
          <w:b/>
          <w:sz w:val="28"/>
          <w:lang w:val="en-US"/>
        </w:rPr>
      </w:pPr>
      <w:r w:rsidRPr="000450BF">
        <w:rPr>
          <w:b/>
          <w:sz w:val="28"/>
        </w:rPr>
        <w:tab/>
      </w:r>
      <w:r w:rsidRPr="000450BF">
        <w:rPr>
          <w:b/>
          <w:sz w:val="28"/>
          <w:lang w:val="en-US"/>
        </w:rPr>
        <w:t>III.</w:t>
      </w:r>
      <w:r w:rsidRPr="000450BF">
        <w:rPr>
          <w:b/>
          <w:sz w:val="28"/>
          <w:lang w:val="en-US"/>
        </w:rPr>
        <w:tab/>
      </w:r>
      <w:r w:rsidR="00EF4EAC" w:rsidRPr="000450BF">
        <w:rPr>
          <w:b/>
          <w:sz w:val="28"/>
          <w:lang w:val="en-US"/>
        </w:rPr>
        <w:t>International crimes</w:t>
      </w:r>
      <w:r w:rsidRPr="000450BF">
        <w:rPr>
          <w:b/>
          <w:sz w:val="28"/>
          <w:lang w:val="en-US"/>
        </w:rPr>
        <w:t xml:space="preserve"> </w:t>
      </w:r>
    </w:p>
    <w:p w14:paraId="31362504" w14:textId="4224B93A" w:rsidR="00BC6CAB" w:rsidRPr="00BC6CAB" w:rsidRDefault="00BC6CAB" w:rsidP="00BC6CAB">
      <w:pPr>
        <w:keepNext/>
        <w:keepLines/>
        <w:tabs>
          <w:tab w:val="right" w:pos="851"/>
        </w:tabs>
        <w:spacing w:before="360" w:after="240" w:line="300" w:lineRule="exact"/>
        <w:ind w:left="1134" w:right="1134"/>
        <w:rPr>
          <w:sz w:val="24"/>
          <w:szCs w:val="24"/>
          <w:lang w:val="en-US"/>
        </w:rPr>
      </w:pPr>
      <w:r w:rsidRPr="00BC6CAB">
        <w:rPr>
          <w:sz w:val="24"/>
          <w:szCs w:val="24"/>
          <w:lang w:val="en-US"/>
        </w:rPr>
        <w:t>[…]</w:t>
      </w:r>
    </w:p>
    <w:p w14:paraId="5CBAF8EE" w14:textId="760A7C41" w:rsidR="008E4E71" w:rsidRPr="000450BF" w:rsidRDefault="008E4E71" w:rsidP="008E4E71">
      <w:pPr>
        <w:pStyle w:val="H1G"/>
      </w:pPr>
      <w:r w:rsidRPr="000450BF">
        <w:tab/>
        <w:t>B.</w:t>
      </w:r>
      <w:r w:rsidRPr="000450BF">
        <w:tab/>
      </w:r>
      <w:r w:rsidR="00715178" w:rsidRPr="000450BF">
        <w:t xml:space="preserve">Individual </w:t>
      </w:r>
      <w:r w:rsidR="00BD7100" w:rsidRPr="000450BF">
        <w:t>Responsibilities</w:t>
      </w:r>
      <w:r w:rsidR="00715178" w:rsidRPr="000450BF">
        <w:t xml:space="preserve"> </w:t>
      </w:r>
    </w:p>
    <w:p w14:paraId="0BECBB8C" w14:textId="7405CACB" w:rsidR="008E4E71" w:rsidRPr="000450BF" w:rsidRDefault="008E4E71" w:rsidP="008E4E71">
      <w:pPr>
        <w:pStyle w:val="SingleTxtG"/>
      </w:pPr>
      <w:r w:rsidRPr="000450BF">
        <w:rPr>
          <w:bCs/>
        </w:rPr>
        <w:t>374.</w:t>
      </w:r>
      <w:r w:rsidRPr="000450BF">
        <w:rPr>
          <w:bCs/>
        </w:rPr>
        <w:tab/>
      </w:r>
      <w:r w:rsidR="00715178" w:rsidRPr="000450BF">
        <w:rPr>
          <w:bCs/>
        </w:rPr>
        <w:t>The</w:t>
      </w:r>
      <w:r w:rsidRPr="000450BF">
        <w:rPr>
          <w:bCs/>
        </w:rPr>
        <w:t xml:space="preserve"> Commission </w:t>
      </w:r>
      <w:r w:rsidR="00715178" w:rsidRPr="000450BF">
        <w:rPr>
          <w:bCs/>
        </w:rPr>
        <w:t xml:space="preserve">still has reasonable grounds to believe that SNR agents, police as well as </w:t>
      </w:r>
      <w:r w:rsidRPr="000450BF">
        <w:rPr>
          <w:bCs/>
        </w:rPr>
        <w:t xml:space="preserve">Imbonerakure, </w:t>
      </w:r>
      <w:r w:rsidR="00715178" w:rsidRPr="000450BF">
        <w:rPr>
          <w:bCs/>
        </w:rPr>
        <w:t xml:space="preserve">were the main presumed perpetrators of crimes against humanity committed during the period covered by this report. On this basis, the </w:t>
      </w:r>
      <w:r w:rsidRPr="000450BF">
        <w:rPr>
          <w:bCs/>
        </w:rPr>
        <w:t xml:space="preserve">Commission </w:t>
      </w:r>
      <w:r w:rsidR="00715178" w:rsidRPr="000450BF">
        <w:rPr>
          <w:bCs/>
        </w:rPr>
        <w:t xml:space="preserve">updated the list of </w:t>
      </w:r>
      <w:r w:rsidR="000514F4" w:rsidRPr="000450BF">
        <w:rPr>
          <w:bCs/>
        </w:rPr>
        <w:t xml:space="preserve">alleged </w:t>
      </w:r>
      <w:r w:rsidR="00715178" w:rsidRPr="000450BF">
        <w:rPr>
          <w:bCs/>
        </w:rPr>
        <w:t xml:space="preserve">individual perpetrators </w:t>
      </w:r>
      <w:r w:rsidR="002A1C6E" w:rsidRPr="000450BF">
        <w:rPr>
          <w:bCs/>
        </w:rPr>
        <w:t xml:space="preserve">that it </w:t>
      </w:r>
      <w:r w:rsidR="000514F4" w:rsidRPr="000450BF">
        <w:rPr>
          <w:bCs/>
        </w:rPr>
        <w:t>drew</w:t>
      </w:r>
      <w:r w:rsidR="002A1C6E" w:rsidRPr="000450BF">
        <w:rPr>
          <w:bCs/>
        </w:rPr>
        <w:t xml:space="preserve"> up during the </w:t>
      </w:r>
      <w:r w:rsidR="000514F4" w:rsidRPr="000450BF">
        <w:rPr>
          <w:bCs/>
        </w:rPr>
        <w:t>initial mandate period</w:t>
      </w:r>
      <w:r w:rsidR="007900D5">
        <w:rPr>
          <w:bCs/>
        </w:rPr>
        <w:t>.</w:t>
      </w:r>
      <w:r w:rsidRPr="000450BF">
        <w:rPr>
          <w:rStyle w:val="FootnoteReference"/>
        </w:rPr>
        <w:footnoteReference w:id="247"/>
      </w:r>
      <w:r w:rsidRPr="000450BF">
        <w:rPr>
          <w:bCs/>
        </w:rPr>
        <w:t xml:space="preserve"> </w:t>
      </w:r>
      <w:r w:rsidR="002A1C6E" w:rsidRPr="000450BF">
        <w:rPr>
          <w:bCs/>
        </w:rPr>
        <w:t>This list remains confidential</w:t>
      </w:r>
      <w:r w:rsidR="000514F4" w:rsidRPr="000450BF">
        <w:rPr>
          <w:bCs/>
        </w:rPr>
        <w:t>, in the interest of protecting the Commission’s</w:t>
      </w:r>
      <w:r w:rsidR="002A1C6E" w:rsidRPr="000450BF">
        <w:rPr>
          <w:bCs/>
        </w:rPr>
        <w:t xml:space="preserve"> sources and respect</w:t>
      </w:r>
      <w:r w:rsidR="000514F4" w:rsidRPr="000450BF">
        <w:rPr>
          <w:bCs/>
        </w:rPr>
        <w:t xml:space="preserve">ing the principle of </w:t>
      </w:r>
      <w:r w:rsidR="002A1C6E" w:rsidRPr="000450BF">
        <w:rPr>
          <w:bCs/>
        </w:rPr>
        <w:t xml:space="preserve">presumption of innocence of the </w:t>
      </w:r>
      <w:r w:rsidR="000514F4" w:rsidRPr="000450BF">
        <w:rPr>
          <w:bCs/>
        </w:rPr>
        <w:t>alleged</w:t>
      </w:r>
      <w:r w:rsidR="002A1C6E" w:rsidRPr="000450BF">
        <w:rPr>
          <w:bCs/>
        </w:rPr>
        <w:t xml:space="preserve"> perpetrators. </w:t>
      </w:r>
      <w:r w:rsidR="000514F4" w:rsidRPr="000450BF">
        <w:rPr>
          <w:bCs/>
        </w:rPr>
        <w:t xml:space="preserve">It will be turned over to the </w:t>
      </w:r>
      <w:r w:rsidR="002A1C6E" w:rsidRPr="000450BF">
        <w:rPr>
          <w:bCs/>
        </w:rPr>
        <w:t xml:space="preserve">High Commissioner </w:t>
      </w:r>
      <w:r w:rsidR="000514F4" w:rsidRPr="000450BF">
        <w:rPr>
          <w:bCs/>
        </w:rPr>
        <w:t xml:space="preserve">for Human Rights at the end of the mandate. </w:t>
      </w:r>
      <w:r w:rsidR="002A1C6E" w:rsidRPr="000450BF">
        <w:rPr>
          <w:bCs/>
        </w:rPr>
        <w:t xml:space="preserve">In the meantime, the </w:t>
      </w:r>
      <w:r w:rsidRPr="000450BF">
        <w:t xml:space="preserve">Commission </w:t>
      </w:r>
      <w:r w:rsidR="002A1C6E" w:rsidRPr="000450BF">
        <w:t xml:space="preserve">reserves the right to share </w:t>
      </w:r>
      <w:r w:rsidR="000514F4" w:rsidRPr="000450BF">
        <w:t>it</w:t>
      </w:r>
      <w:r w:rsidR="002A1C6E" w:rsidRPr="000450BF">
        <w:t>.</w:t>
      </w:r>
    </w:p>
    <w:p w14:paraId="13E3B1B8" w14:textId="38BBEE81" w:rsidR="008E4E71" w:rsidRPr="000450BF" w:rsidRDefault="008E4E71" w:rsidP="008E4E71">
      <w:pPr>
        <w:pStyle w:val="SingleTxtG"/>
        <w:rPr>
          <w:bCs/>
        </w:rPr>
      </w:pPr>
      <w:r w:rsidRPr="000450BF">
        <w:rPr>
          <w:bCs/>
        </w:rPr>
        <w:t>375.</w:t>
      </w:r>
      <w:r w:rsidRPr="000450BF">
        <w:rPr>
          <w:bCs/>
        </w:rPr>
        <w:tab/>
      </w:r>
      <w:r w:rsidR="002A1C6E" w:rsidRPr="000450BF">
        <w:rPr>
          <w:bCs/>
        </w:rPr>
        <w:t>The</w:t>
      </w:r>
      <w:r w:rsidRPr="000450BF">
        <w:rPr>
          <w:bCs/>
        </w:rPr>
        <w:t xml:space="preserve"> Commission continue</w:t>
      </w:r>
      <w:r w:rsidR="002A1C6E" w:rsidRPr="000450BF">
        <w:rPr>
          <w:bCs/>
        </w:rPr>
        <w:t xml:space="preserve">s to </w:t>
      </w:r>
      <w:r w:rsidR="008B0501" w:rsidRPr="000450BF">
        <w:rPr>
          <w:bCs/>
        </w:rPr>
        <w:t xml:space="preserve">distinguish </w:t>
      </w:r>
      <w:r w:rsidR="002A1C6E" w:rsidRPr="000450BF">
        <w:rPr>
          <w:bCs/>
        </w:rPr>
        <w:t xml:space="preserve">between direct </w:t>
      </w:r>
      <w:r w:rsidR="00BD7100" w:rsidRPr="000450BF">
        <w:rPr>
          <w:bCs/>
        </w:rPr>
        <w:t>responsibility</w:t>
      </w:r>
      <w:r w:rsidR="008B0501" w:rsidRPr="000450BF">
        <w:rPr>
          <w:bCs/>
        </w:rPr>
        <w:t xml:space="preserve"> </w:t>
      </w:r>
      <w:r w:rsidR="002A1C6E" w:rsidRPr="000450BF">
        <w:rPr>
          <w:bCs/>
        </w:rPr>
        <w:t xml:space="preserve">and </w:t>
      </w:r>
      <w:r w:rsidR="008B0501" w:rsidRPr="000450BF">
        <w:rPr>
          <w:bCs/>
        </w:rPr>
        <w:t xml:space="preserve">the </w:t>
      </w:r>
      <w:r w:rsidR="002A1C6E" w:rsidRPr="000450BF">
        <w:rPr>
          <w:bCs/>
        </w:rPr>
        <w:t xml:space="preserve">indirect </w:t>
      </w:r>
      <w:r w:rsidR="00BD7100" w:rsidRPr="000450BF">
        <w:rPr>
          <w:bCs/>
        </w:rPr>
        <w:t>responsibility</w:t>
      </w:r>
      <w:r w:rsidR="002A1C6E" w:rsidRPr="000450BF">
        <w:rPr>
          <w:bCs/>
        </w:rPr>
        <w:t xml:space="preserve"> of military commanders and </w:t>
      </w:r>
      <w:r w:rsidR="00BD7100" w:rsidRPr="000450BF">
        <w:rPr>
          <w:bCs/>
        </w:rPr>
        <w:t>hierarchical</w:t>
      </w:r>
      <w:r w:rsidR="002A1C6E" w:rsidRPr="000450BF">
        <w:rPr>
          <w:bCs/>
        </w:rPr>
        <w:t xml:space="preserve"> superiors, including civilians</w:t>
      </w:r>
      <w:r w:rsidR="00A302EF">
        <w:rPr>
          <w:bCs/>
        </w:rPr>
        <w:t>.</w:t>
      </w:r>
      <w:r w:rsidRPr="000450BF">
        <w:rPr>
          <w:rStyle w:val="FootnoteReference"/>
        </w:rPr>
        <w:footnoteReference w:id="248"/>
      </w:r>
      <w:r w:rsidRPr="000450BF">
        <w:rPr>
          <w:bCs/>
        </w:rPr>
        <w:t xml:space="preserve"> </w:t>
      </w:r>
      <w:r w:rsidR="002A1C6E" w:rsidRPr="000450BF">
        <w:rPr>
          <w:bCs/>
        </w:rPr>
        <w:t>The</w:t>
      </w:r>
      <w:r w:rsidRPr="000450BF">
        <w:rPr>
          <w:bCs/>
        </w:rPr>
        <w:t xml:space="preserve"> </w:t>
      </w:r>
      <w:r w:rsidR="00BD7100" w:rsidRPr="000450BF">
        <w:rPr>
          <w:bCs/>
        </w:rPr>
        <w:t>information</w:t>
      </w:r>
      <w:r w:rsidRPr="000450BF">
        <w:rPr>
          <w:bCs/>
        </w:rPr>
        <w:t xml:space="preserve"> </w:t>
      </w:r>
      <w:r w:rsidR="002A1C6E" w:rsidRPr="000450BF">
        <w:rPr>
          <w:bCs/>
        </w:rPr>
        <w:t xml:space="preserve">collected during this </w:t>
      </w:r>
      <w:r w:rsidR="00BD7100" w:rsidRPr="000450BF">
        <w:rPr>
          <w:bCs/>
        </w:rPr>
        <w:t>mandate</w:t>
      </w:r>
      <w:r w:rsidR="002A1C6E" w:rsidRPr="000450BF">
        <w:rPr>
          <w:bCs/>
        </w:rPr>
        <w:t xml:space="preserve"> allow the Commission to confirm the descriptions already presented in its previous reports of the </w:t>
      </w:r>
      <w:r w:rsidR="00BD7100" w:rsidRPr="000450BF">
        <w:rPr>
          <w:bCs/>
        </w:rPr>
        <w:t>hierarchical</w:t>
      </w:r>
      <w:r w:rsidR="002A1C6E" w:rsidRPr="000450BF">
        <w:rPr>
          <w:bCs/>
        </w:rPr>
        <w:t xml:space="preserve"> structures with</w:t>
      </w:r>
      <w:r w:rsidR="001F0BD5" w:rsidRPr="000450BF">
        <w:rPr>
          <w:bCs/>
        </w:rPr>
        <w:t>in</w:t>
      </w:r>
      <w:r w:rsidR="002A1C6E" w:rsidRPr="000450BF">
        <w:rPr>
          <w:bCs/>
        </w:rPr>
        <w:t xml:space="preserve"> SNR and the police, as well as the </w:t>
      </w:r>
      <w:r w:rsidR="000514F4" w:rsidRPr="000450BF">
        <w:rPr>
          <w:bCs/>
        </w:rPr>
        <w:t xml:space="preserve">prevailing confusion </w:t>
      </w:r>
      <w:r w:rsidR="00365C02" w:rsidRPr="000450BF">
        <w:rPr>
          <w:bCs/>
        </w:rPr>
        <w:t>between the state institutions</w:t>
      </w:r>
      <w:r w:rsidR="00514FD2" w:rsidRPr="000450BF">
        <w:rPr>
          <w:bCs/>
        </w:rPr>
        <w:t xml:space="preserve">, state entities </w:t>
      </w:r>
      <w:r w:rsidR="00365C02" w:rsidRPr="000450BF">
        <w:rPr>
          <w:bCs/>
        </w:rPr>
        <w:t xml:space="preserve">and </w:t>
      </w:r>
      <w:r w:rsidRPr="000450BF">
        <w:rPr>
          <w:bCs/>
        </w:rPr>
        <w:t>CNDD-FDD</w:t>
      </w:r>
      <w:r w:rsidR="00A302EF">
        <w:rPr>
          <w:bCs/>
        </w:rPr>
        <w:t>.</w:t>
      </w:r>
      <w:r w:rsidRPr="000450BF">
        <w:rPr>
          <w:rStyle w:val="FootnoteReference"/>
        </w:rPr>
        <w:footnoteReference w:id="249"/>
      </w:r>
      <w:r w:rsidRPr="000450BF">
        <w:rPr>
          <w:bCs/>
        </w:rPr>
        <w:t xml:space="preserve"> </w:t>
      </w:r>
      <w:r w:rsidR="00365C02" w:rsidRPr="000450BF">
        <w:rPr>
          <w:bCs/>
        </w:rPr>
        <w:t>The</w:t>
      </w:r>
      <w:r w:rsidRPr="000450BF">
        <w:rPr>
          <w:bCs/>
        </w:rPr>
        <w:t xml:space="preserve"> </w:t>
      </w:r>
      <w:r w:rsidR="007101CE">
        <w:rPr>
          <w:bCs/>
        </w:rPr>
        <w:t>“</w:t>
      </w:r>
      <w:r w:rsidR="00A302EF">
        <w:rPr>
          <w:bCs/>
        </w:rPr>
        <w:t>C</w:t>
      </w:r>
      <w:r w:rsidR="00BD7100" w:rsidRPr="000450BF">
        <w:rPr>
          <w:bCs/>
        </w:rPr>
        <w:t>ommittee</w:t>
      </w:r>
      <w:r w:rsidR="00365C02" w:rsidRPr="000450BF">
        <w:rPr>
          <w:bCs/>
        </w:rPr>
        <w:t xml:space="preserve"> of </w:t>
      </w:r>
      <w:r w:rsidR="00A302EF">
        <w:rPr>
          <w:bCs/>
        </w:rPr>
        <w:t>G</w:t>
      </w:r>
      <w:r w:rsidR="00365C02" w:rsidRPr="000450BF">
        <w:rPr>
          <w:bCs/>
        </w:rPr>
        <w:t>enerals</w:t>
      </w:r>
      <w:r w:rsidR="007101CE">
        <w:rPr>
          <w:bCs/>
        </w:rPr>
        <w:t>”</w:t>
      </w:r>
      <w:r w:rsidRPr="000450BF">
        <w:rPr>
          <w:bCs/>
        </w:rPr>
        <w:t xml:space="preserve"> re</w:t>
      </w:r>
      <w:r w:rsidR="00365C02" w:rsidRPr="000450BF">
        <w:rPr>
          <w:bCs/>
        </w:rPr>
        <w:t>main</w:t>
      </w:r>
      <w:r w:rsidR="001F0BD5" w:rsidRPr="000450BF">
        <w:rPr>
          <w:bCs/>
        </w:rPr>
        <w:t>s</w:t>
      </w:r>
      <w:r w:rsidR="00365C02" w:rsidRPr="000450BF">
        <w:rPr>
          <w:bCs/>
        </w:rPr>
        <w:t xml:space="preserve"> the central element in the informal command structure of the security apparatus. It should be noted that in virtue of the </w:t>
      </w:r>
      <w:r w:rsidRPr="000450BF">
        <w:rPr>
          <w:bCs/>
        </w:rPr>
        <w:t>Constitution promulg</w:t>
      </w:r>
      <w:r w:rsidR="00365C02" w:rsidRPr="000450BF">
        <w:rPr>
          <w:bCs/>
        </w:rPr>
        <w:t>ated on 7 June 2018, SNR is no longer officially part of the defence and security forces</w:t>
      </w:r>
      <w:r w:rsidR="00DB6AEE" w:rsidRPr="00DB6AEE">
        <w:rPr>
          <w:bCs/>
        </w:rPr>
        <w:t xml:space="preserve"> </w:t>
      </w:r>
      <w:r w:rsidR="00DB6AEE">
        <w:rPr>
          <w:bCs/>
        </w:rPr>
        <w:t xml:space="preserve">placed </w:t>
      </w:r>
      <w:r w:rsidR="00DB6AEE" w:rsidRPr="000450BF">
        <w:rPr>
          <w:bCs/>
        </w:rPr>
        <w:t xml:space="preserve">under the authority of the </w:t>
      </w:r>
      <w:r w:rsidR="00DB6AEE">
        <w:rPr>
          <w:bCs/>
        </w:rPr>
        <w:t>Government</w:t>
      </w:r>
      <w:r w:rsidR="00DB6AEE" w:rsidRPr="000450BF">
        <w:rPr>
          <w:bCs/>
        </w:rPr>
        <w:t xml:space="preserve"> and the control of the Parliament</w:t>
      </w:r>
      <w:r w:rsidR="00365C02" w:rsidRPr="000450BF">
        <w:rPr>
          <w:bCs/>
        </w:rPr>
        <w:t>, which comprise only the Burundi National Police and the National Defence Forces</w:t>
      </w:r>
      <w:r w:rsidR="00A302EF">
        <w:rPr>
          <w:bCs/>
        </w:rPr>
        <w:t>.</w:t>
      </w:r>
      <w:r w:rsidRPr="000450BF">
        <w:rPr>
          <w:rStyle w:val="FootnoteReference"/>
        </w:rPr>
        <w:footnoteReference w:id="250"/>
      </w:r>
      <w:r w:rsidRPr="000450BF">
        <w:rPr>
          <w:bCs/>
        </w:rPr>
        <w:t xml:space="preserve"> </w:t>
      </w:r>
    </w:p>
    <w:p w14:paraId="21259ABD" w14:textId="4FCE5C6B" w:rsidR="008E4E71" w:rsidRPr="000450BF" w:rsidRDefault="008E4E71" w:rsidP="008E4E71">
      <w:pPr>
        <w:pStyle w:val="SingleTxtG"/>
        <w:rPr>
          <w:bCs/>
        </w:rPr>
      </w:pPr>
      <w:r w:rsidRPr="000450BF">
        <w:rPr>
          <w:bCs/>
        </w:rPr>
        <w:t>376.</w:t>
      </w:r>
      <w:r w:rsidRPr="000450BF">
        <w:rPr>
          <w:bCs/>
        </w:rPr>
        <w:tab/>
      </w:r>
      <w:r w:rsidR="00DB6AEE">
        <w:rPr>
          <w:bCs/>
        </w:rPr>
        <w:t xml:space="preserve">The </w:t>
      </w:r>
      <w:r w:rsidR="00A302EF">
        <w:rPr>
          <w:bCs/>
        </w:rPr>
        <w:t>o</w:t>
      </w:r>
      <w:r w:rsidR="00DB6AEE">
        <w:rPr>
          <w:bCs/>
        </w:rPr>
        <w:t xml:space="preserve">rganic </w:t>
      </w:r>
      <w:r w:rsidR="00A302EF">
        <w:rPr>
          <w:bCs/>
        </w:rPr>
        <w:t>l</w:t>
      </w:r>
      <w:r w:rsidR="00DB6AEE">
        <w:rPr>
          <w:bCs/>
        </w:rPr>
        <w:t xml:space="preserve">aw on the </w:t>
      </w:r>
      <w:r w:rsidR="00A302EF">
        <w:rPr>
          <w:bCs/>
        </w:rPr>
        <w:t>m</w:t>
      </w:r>
      <w:r w:rsidR="00365C02" w:rsidRPr="000450BF">
        <w:rPr>
          <w:bCs/>
        </w:rPr>
        <w:t xml:space="preserve">ission, </w:t>
      </w:r>
      <w:r w:rsidR="00A302EF">
        <w:rPr>
          <w:bCs/>
        </w:rPr>
        <w:t>o</w:t>
      </w:r>
      <w:r w:rsidRPr="000450BF">
        <w:rPr>
          <w:bCs/>
        </w:rPr>
        <w:t xml:space="preserve">rganisation, </w:t>
      </w:r>
      <w:r w:rsidR="00A302EF">
        <w:rPr>
          <w:bCs/>
        </w:rPr>
        <w:t>f</w:t>
      </w:r>
      <w:r w:rsidR="00BD7100" w:rsidRPr="000450BF">
        <w:rPr>
          <w:bCs/>
        </w:rPr>
        <w:t>unctioning</w:t>
      </w:r>
      <w:r w:rsidR="00DB6AEE">
        <w:rPr>
          <w:bCs/>
        </w:rPr>
        <w:t xml:space="preserve"> and </w:t>
      </w:r>
      <w:r w:rsidR="00A302EF">
        <w:rPr>
          <w:bCs/>
        </w:rPr>
        <w:t>c</w:t>
      </w:r>
      <w:r w:rsidR="00365C02" w:rsidRPr="000450BF">
        <w:rPr>
          <w:bCs/>
        </w:rPr>
        <w:t>ompositi</w:t>
      </w:r>
      <w:r w:rsidR="00DB6AEE">
        <w:rPr>
          <w:bCs/>
        </w:rPr>
        <w:t xml:space="preserve">on of SNR and the </w:t>
      </w:r>
      <w:r w:rsidR="00A302EF">
        <w:rPr>
          <w:bCs/>
        </w:rPr>
        <w:t>l</w:t>
      </w:r>
      <w:r w:rsidR="00DB6AEE">
        <w:rPr>
          <w:bCs/>
        </w:rPr>
        <w:t xml:space="preserve">aw revising </w:t>
      </w:r>
      <w:r w:rsidR="00A302EF">
        <w:rPr>
          <w:bCs/>
        </w:rPr>
        <w:t>l</w:t>
      </w:r>
      <w:r w:rsidR="00365C02" w:rsidRPr="000450BF">
        <w:rPr>
          <w:bCs/>
        </w:rPr>
        <w:t>aw n</w:t>
      </w:r>
      <w:r w:rsidRPr="000450BF">
        <w:rPr>
          <w:bCs/>
        </w:rPr>
        <w:t xml:space="preserve">°1/05 </w:t>
      </w:r>
      <w:r w:rsidR="00365C02" w:rsidRPr="000450BF">
        <w:rPr>
          <w:bCs/>
        </w:rPr>
        <w:t>of 2 March</w:t>
      </w:r>
      <w:r w:rsidRPr="000450BF">
        <w:rPr>
          <w:bCs/>
        </w:rPr>
        <w:t xml:space="preserve"> 2006 </w:t>
      </w:r>
      <w:r w:rsidR="00DB6AEE">
        <w:rPr>
          <w:bCs/>
        </w:rPr>
        <w:t xml:space="preserve">on the </w:t>
      </w:r>
      <w:r w:rsidR="00A302EF">
        <w:rPr>
          <w:bCs/>
        </w:rPr>
        <w:t>s</w:t>
      </w:r>
      <w:r w:rsidR="00365C02" w:rsidRPr="000450BF">
        <w:rPr>
          <w:bCs/>
        </w:rPr>
        <w:t xml:space="preserve">tatus of SNR </w:t>
      </w:r>
      <w:r w:rsidR="00A302EF">
        <w:rPr>
          <w:bCs/>
        </w:rPr>
        <w:t>p</w:t>
      </w:r>
      <w:r w:rsidR="00365C02" w:rsidRPr="000450BF">
        <w:rPr>
          <w:bCs/>
        </w:rPr>
        <w:t xml:space="preserve">ersonnel were adopted by the </w:t>
      </w:r>
      <w:r w:rsidR="00514FD2" w:rsidRPr="000450BF">
        <w:rPr>
          <w:bCs/>
        </w:rPr>
        <w:t>N</w:t>
      </w:r>
      <w:r w:rsidR="00365C02" w:rsidRPr="000450BF">
        <w:rPr>
          <w:bCs/>
        </w:rPr>
        <w:t xml:space="preserve">ational </w:t>
      </w:r>
      <w:r w:rsidR="00514FD2" w:rsidRPr="000450BF">
        <w:rPr>
          <w:bCs/>
        </w:rPr>
        <w:t>A</w:t>
      </w:r>
      <w:r w:rsidR="00365C02" w:rsidRPr="000450BF">
        <w:rPr>
          <w:bCs/>
        </w:rPr>
        <w:t xml:space="preserve">ssembly on 28 May </w:t>
      </w:r>
      <w:r w:rsidRPr="000450BF">
        <w:rPr>
          <w:bCs/>
        </w:rPr>
        <w:t xml:space="preserve">2019, </w:t>
      </w:r>
      <w:r w:rsidR="00365C02" w:rsidRPr="000450BF">
        <w:rPr>
          <w:bCs/>
        </w:rPr>
        <w:t>but have not yet been promulgated, nor made public at the time of the writing of this report. During the presentation of these draft laws to</w:t>
      </w:r>
      <w:r w:rsidR="00DB6AEE">
        <w:rPr>
          <w:bCs/>
        </w:rPr>
        <w:t xml:space="preserve"> the Assembly, the Minister of Public S</w:t>
      </w:r>
      <w:r w:rsidR="00365C02" w:rsidRPr="000450BF">
        <w:rPr>
          <w:bCs/>
        </w:rPr>
        <w:t>ecurity</w:t>
      </w:r>
      <w:r w:rsidRPr="000450BF">
        <w:rPr>
          <w:bCs/>
        </w:rPr>
        <w:t xml:space="preserve">, </w:t>
      </w:r>
      <w:r w:rsidR="00BD7100" w:rsidRPr="000450BF">
        <w:rPr>
          <w:bCs/>
        </w:rPr>
        <w:t>General</w:t>
      </w:r>
      <w:r w:rsidRPr="000450BF">
        <w:rPr>
          <w:bCs/>
        </w:rPr>
        <w:t xml:space="preserve"> Alain Bunyoni, confirm</w:t>
      </w:r>
      <w:r w:rsidR="00365C02" w:rsidRPr="000450BF">
        <w:rPr>
          <w:bCs/>
        </w:rPr>
        <w:t xml:space="preserve">ed that SNR is henceforth directly attached to the </w:t>
      </w:r>
      <w:r w:rsidR="000B7EC6" w:rsidRPr="000450BF">
        <w:rPr>
          <w:bCs/>
        </w:rPr>
        <w:t>President</w:t>
      </w:r>
      <w:r w:rsidR="00A302EF">
        <w:rPr>
          <w:bCs/>
        </w:rPr>
        <w:t>.</w:t>
      </w:r>
      <w:r w:rsidRPr="000450BF">
        <w:rPr>
          <w:rStyle w:val="FootnoteReference"/>
        </w:rPr>
        <w:footnoteReference w:id="251"/>
      </w:r>
      <w:r w:rsidRPr="000450BF">
        <w:rPr>
          <w:bCs/>
        </w:rPr>
        <w:t xml:space="preserve"> </w:t>
      </w:r>
      <w:r w:rsidR="00365C02" w:rsidRPr="000450BF">
        <w:rPr>
          <w:bCs/>
        </w:rPr>
        <w:t>In fact, its budget has long been incorporated in t</w:t>
      </w:r>
      <w:r w:rsidR="00DB6AEE">
        <w:rPr>
          <w:bCs/>
        </w:rPr>
        <w:t>he budget of the office of the P</w:t>
      </w:r>
      <w:r w:rsidR="00365C02" w:rsidRPr="000450BF">
        <w:rPr>
          <w:bCs/>
        </w:rPr>
        <w:t>resident</w:t>
      </w:r>
      <w:r w:rsidRPr="000450BF">
        <w:rPr>
          <w:bCs/>
        </w:rPr>
        <w:t xml:space="preserve">, </w:t>
      </w:r>
      <w:r w:rsidR="002352B3" w:rsidRPr="000450BF">
        <w:rPr>
          <w:bCs/>
        </w:rPr>
        <w:t xml:space="preserve">but henceforth SNR is not under the authority of the </w:t>
      </w:r>
      <w:r w:rsidR="007F5B89">
        <w:rPr>
          <w:bCs/>
        </w:rPr>
        <w:t>Government</w:t>
      </w:r>
      <w:r w:rsidRPr="000450BF">
        <w:rPr>
          <w:bCs/>
        </w:rPr>
        <w:t xml:space="preserve"> </w:t>
      </w:r>
      <w:r w:rsidR="002352B3" w:rsidRPr="000450BF">
        <w:rPr>
          <w:bCs/>
        </w:rPr>
        <w:t>or under the control of the Parliament, nor subject to respect the eth</w:t>
      </w:r>
      <w:r w:rsidR="00750C2C" w:rsidRPr="000450BF">
        <w:rPr>
          <w:bCs/>
        </w:rPr>
        <w:t>n</w:t>
      </w:r>
      <w:r w:rsidR="002352B3" w:rsidRPr="000450BF">
        <w:rPr>
          <w:bCs/>
        </w:rPr>
        <w:t xml:space="preserve">ic quotas provided for by the </w:t>
      </w:r>
      <w:r w:rsidRPr="000450BF">
        <w:rPr>
          <w:bCs/>
        </w:rPr>
        <w:t xml:space="preserve">Constitution </w:t>
      </w:r>
      <w:r w:rsidR="008B0501" w:rsidRPr="000450BF">
        <w:rPr>
          <w:bCs/>
        </w:rPr>
        <w:t xml:space="preserve">for the defence and security forces. </w:t>
      </w:r>
    </w:p>
    <w:p w14:paraId="3AAE15A9" w14:textId="172E7BC1" w:rsidR="008E4E71" w:rsidRPr="000450BF" w:rsidRDefault="008E4E71" w:rsidP="008E4E71">
      <w:pPr>
        <w:pStyle w:val="SingleTxtG"/>
        <w:rPr>
          <w:bCs/>
        </w:rPr>
      </w:pPr>
      <w:r w:rsidRPr="000450BF">
        <w:rPr>
          <w:bCs/>
        </w:rPr>
        <w:t>377.</w:t>
      </w:r>
      <w:r w:rsidRPr="000450BF">
        <w:rPr>
          <w:bCs/>
        </w:rPr>
        <w:tab/>
      </w:r>
      <w:r w:rsidR="00DB6AEE">
        <w:rPr>
          <w:bCs/>
        </w:rPr>
        <w:t xml:space="preserve">Such </w:t>
      </w:r>
      <w:r w:rsidR="008B0501" w:rsidRPr="000450BF">
        <w:rPr>
          <w:bCs/>
        </w:rPr>
        <w:t>re</w:t>
      </w:r>
      <w:r w:rsidRPr="000450BF">
        <w:rPr>
          <w:bCs/>
        </w:rPr>
        <w:t xml:space="preserve">organisation </w:t>
      </w:r>
      <w:r w:rsidR="008B0501" w:rsidRPr="000450BF">
        <w:rPr>
          <w:bCs/>
        </w:rPr>
        <w:t>of</w:t>
      </w:r>
      <w:r w:rsidRPr="000450BF">
        <w:rPr>
          <w:bCs/>
        </w:rPr>
        <w:t xml:space="preserve"> SNR </w:t>
      </w:r>
      <w:r w:rsidR="008B0501" w:rsidRPr="000450BF">
        <w:rPr>
          <w:bCs/>
        </w:rPr>
        <w:t>is</w:t>
      </w:r>
      <w:r w:rsidRPr="000450BF">
        <w:rPr>
          <w:bCs/>
        </w:rPr>
        <w:t xml:space="preserve"> important </w:t>
      </w:r>
      <w:r w:rsidR="008B0501" w:rsidRPr="000450BF">
        <w:rPr>
          <w:bCs/>
        </w:rPr>
        <w:t>from the point of view of personal criminal responsibility of Pre</w:t>
      </w:r>
      <w:r w:rsidRPr="000450BF">
        <w:rPr>
          <w:bCs/>
        </w:rPr>
        <w:t xml:space="preserve">sident Nkurunziza </w:t>
      </w:r>
      <w:r w:rsidR="008B0501" w:rsidRPr="000450BF">
        <w:rPr>
          <w:bCs/>
        </w:rPr>
        <w:t>for the crimes against humanity committed by SNR agents. In fact, in addition to the indirect criminal responsibility of the superior</w:t>
      </w:r>
      <w:r w:rsidRPr="000450BF">
        <w:rPr>
          <w:bCs/>
        </w:rPr>
        <w:t xml:space="preserve"> </w:t>
      </w:r>
      <w:r w:rsidR="008B0501" w:rsidRPr="000450BF">
        <w:rPr>
          <w:bCs/>
        </w:rPr>
        <w:t xml:space="preserve">who </w:t>
      </w:r>
      <w:r w:rsidR="007101CE">
        <w:rPr>
          <w:bCs/>
        </w:rPr>
        <w:t>“</w:t>
      </w:r>
      <w:r w:rsidRPr="000450BF">
        <w:rPr>
          <w:bCs/>
        </w:rPr>
        <w:t>ord</w:t>
      </w:r>
      <w:r w:rsidR="008B0501" w:rsidRPr="000450BF">
        <w:rPr>
          <w:bCs/>
        </w:rPr>
        <w:t xml:space="preserve">ers, </w:t>
      </w:r>
      <w:r w:rsidR="00BD7100" w:rsidRPr="000450BF">
        <w:rPr>
          <w:bCs/>
        </w:rPr>
        <w:t>solicits</w:t>
      </w:r>
      <w:r w:rsidR="008B0501" w:rsidRPr="000450BF">
        <w:rPr>
          <w:bCs/>
        </w:rPr>
        <w:t xml:space="preserve"> or encourages</w:t>
      </w:r>
      <w:r w:rsidR="007101CE">
        <w:rPr>
          <w:bCs/>
        </w:rPr>
        <w:t>”</w:t>
      </w:r>
      <w:r w:rsidRPr="000450BF">
        <w:rPr>
          <w:bCs/>
        </w:rPr>
        <w:t xml:space="preserve"> </w:t>
      </w:r>
      <w:r w:rsidR="008B0501" w:rsidRPr="000450BF">
        <w:rPr>
          <w:bCs/>
        </w:rPr>
        <w:t xml:space="preserve">the </w:t>
      </w:r>
      <w:r w:rsidRPr="000450BF">
        <w:rPr>
          <w:bCs/>
        </w:rPr>
        <w:t xml:space="preserve">commission </w:t>
      </w:r>
      <w:r w:rsidR="008B0501" w:rsidRPr="000450BF">
        <w:rPr>
          <w:bCs/>
        </w:rPr>
        <w:t>of a crime against humanity</w:t>
      </w:r>
      <w:r w:rsidR="00A302EF">
        <w:rPr>
          <w:bCs/>
        </w:rPr>
        <w:t>,</w:t>
      </w:r>
      <w:r w:rsidRPr="000450BF">
        <w:rPr>
          <w:rStyle w:val="FootnoteReference"/>
        </w:rPr>
        <w:footnoteReference w:id="252"/>
      </w:r>
      <w:r w:rsidRPr="000450BF">
        <w:rPr>
          <w:bCs/>
        </w:rPr>
        <w:t xml:space="preserve"> </w:t>
      </w:r>
      <w:r w:rsidR="008B0501" w:rsidRPr="000450BF">
        <w:rPr>
          <w:bCs/>
        </w:rPr>
        <w:t xml:space="preserve">the criminal responsibility </w:t>
      </w:r>
      <w:r w:rsidR="00C93BBE" w:rsidRPr="000450BF">
        <w:rPr>
          <w:bCs/>
        </w:rPr>
        <w:t xml:space="preserve">of the latter is engaged when he remains inactive in the face of criminal actions of a </w:t>
      </w:r>
      <w:r w:rsidR="00BD7100" w:rsidRPr="000450BF">
        <w:rPr>
          <w:bCs/>
        </w:rPr>
        <w:t>subordinate</w:t>
      </w:r>
      <w:r w:rsidR="00C93BBE" w:rsidRPr="000450BF">
        <w:rPr>
          <w:bCs/>
        </w:rPr>
        <w:t xml:space="preserve"> placed under his authority or effective control. This implies that if the Head of State, who officially exercises effective control and authority on SNR, has deliberately neglected to take into account pertinent information relative to crimes against humanity perpetrated by SNR agents, and that he does not stop them nor </w:t>
      </w:r>
      <w:r w:rsidR="00BD7100" w:rsidRPr="000450BF">
        <w:rPr>
          <w:bCs/>
        </w:rPr>
        <w:t>reprimands</w:t>
      </w:r>
      <w:r w:rsidR="00C93BBE" w:rsidRPr="000450BF">
        <w:rPr>
          <w:bCs/>
        </w:rPr>
        <w:t xml:space="preserve"> them</w:t>
      </w:r>
      <w:r w:rsidR="00750C2C" w:rsidRPr="000450BF">
        <w:rPr>
          <w:bCs/>
        </w:rPr>
        <w:t>,</w:t>
      </w:r>
      <w:r w:rsidR="00C93BBE" w:rsidRPr="000450BF">
        <w:rPr>
          <w:bCs/>
        </w:rPr>
        <w:t xml:space="preserve"> or refers them to competent authorities, he can</w:t>
      </w:r>
      <w:r w:rsidR="00514FD2" w:rsidRPr="000450BF">
        <w:rPr>
          <w:bCs/>
        </w:rPr>
        <w:t xml:space="preserve"> then</w:t>
      </w:r>
      <w:r w:rsidR="00C93BBE" w:rsidRPr="000450BF">
        <w:rPr>
          <w:bCs/>
        </w:rPr>
        <w:t xml:space="preserve"> be held criminally responsible for these crimes</w:t>
      </w:r>
      <w:r w:rsidRPr="000450BF">
        <w:rPr>
          <w:bCs/>
        </w:rPr>
        <w:t>.</w:t>
      </w:r>
      <w:r w:rsidRPr="000450BF">
        <w:rPr>
          <w:rStyle w:val="FootnoteReference"/>
        </w:rPr>
        <w:footnoteReference w:id="253"/>
      </w:r>
      <w:r w:rsidRPr="000450BF">
        <w:rPr>
          <w:bCs/>
        </w:rPr>
        <w:t xml:space="preserve"> </w:t>
      </w:r>
    </w:p>
    <w:p w14:paraId="4381B56F" w14:textId="18FFA9D7" w:rsidR="008E4E71" w:rsidRPr="000450BF" w:rsidRDefault="008E4E71" w:rsidP="008E4E71">
      <w:pPr>
        <w:pStyle w:val="SingleTxtG"/>
        <w:rPr>
          <w:bCs/>
        </w:rPr>
      </w:pPr>
      <w:r w:rsidRPr="000450BF">
        <w:rPr>
          <w:bCs/>
        </w:rPr>
        <w:t>378.</w:t>
      </w:r>
      <w:r w:rsidRPr="000450BF">
        <w:rPr>
          <w:bCs/>
        </w:rPr>
        <w:tab/>
        <w:t>Final</w:t>
      </w:r>
      <w:r w:rsidR="00C93BBE" w:rsidRPr="000450BF">
        <w:rPr>
          <w:bCs/>
        </w:rPr>
        <w:t xml:space="preserve">ly, </w:t>
      </w:r>
      <w:r w:rsidRPr="000450BF">
        <w:rPr>
          <w:bCs/>
        </w:rPr>
        <w:t xml:space="preserve">Imbonerakure </w:t>
      </w:r>
      <w:r w:rsidR="00C93BBE" w:rsidRPr="000450BF">
        <w:rPr>
          <w:bCs/>
        </w:rPr>
        <w:t xml:space="preserve">have continued to </w:t>
      </w:r>
      <w:r w:rsidR="00F6675B" w:rsidRPr="000450BF">
        <w:rPr>
          <w:bCs/>
        </w:rPr>
        <w:t>play</w:t>
      </w:r>
      <w:r w:rsidR="00C93BBE" w:rsidRPr="000450BF">
        <w:rPr>
          <w:bCs/>
        </w:rPr>
        <w:t xml:space="preserve"> a central role with regards to the control and the </w:t>
      </w:r>
      <w:r w:rsidR="00F6675B" w:rsidRPr="000450BF">
        <w:rPr>
          <w:bCs/>
        </w:rPr>
        <w:t xml:space="preserve">indoctrination of the population, but also the persecution of real or </w:t>
      </w:r>
      <w:r w:rsidR="00BD7100" w:rsidRPr="000450BF">
        <w:rPr>
          <w:bCs/>
        </w:rPr>
        <w:t>assumed</w:t>
      </w:r>
      <w:r w:rsidR="00F6675B" w:rsidRPr="000450BF">
        <w:rPr>
          <w:bCs/>
        </w:rPr>
        <w:t xml:space="preserve"> political opponents, often alone or in cooperation with the SNR, the police and the local administrative authorities who are for the most part members </w:t>
      </w:r>
      <w:r w:rsidR="00BD7100" w:rsidRPr="000450BF">
        <w:rPr>
          <w:bCs/>
        </w:rPr>
        <w:t>of CNDD</w:t>
      </w:r>
      <w:r w:rsidRPr="000450BF">
        <w:rPr>
          <w:bCs/>
        </w:rPr>
        <w:t xml:space="preserve">-FDD. </w:t>
      </w:r>
      <w:r w:rsidR="00F6675B" w:rsidRPr="000450BF">
        <w:rPr>
          <w:bCs/>
        </w:rPr>
        <w:t>This attests clearly that the formal and informal security apparatus are interlocked and that there exists a confusion between the state institutions an</w:t>
      </w:r>
      <w:r w:rsidR="00750C2C" w:rsidRPr="000450BF">
        <w:rPr>
          <w:bCs/>
        </w:rPr>
        <w:t>d</w:t>
      </w:r>
      <w:r w:rsidR="00F6675B" w:rsidRPr="000450BF">
        <w:rPr>
          <w:bCs/>
        </w:rPr>
        <w:t xml:space="preserve"> those of the ruling party </w:t>
      </w:r>
      <w:r w:rsidRPr="000450BF">
        <w:rPr>
          <w:bCs/>
        </w:rPr>
        <w:t xml:space="preserve">CNDD-FDD. </w:t>
      </w:r>
      <w:r w:rsidR="00F6675B" w:rsidRPr="000450BF">
        <w:rPr>
          <w:bCs/>
        </w:rPr>
        <w:t xml:space="preserve">The violations committed by </w:t>
      </w:r>
      <w:r w:rsidRPr="000450BF">
        <w:rPr>
          <w:bCs/>
        </w:rPr>
        <w:t xml:space="preserve">Imbonerakure </w:t>
      </w:r>
      <w:r w:rsidR="00F6675B" w:rsidRPr="000450BF">
        <w:rPr>
          <w:bCs/>
        </w:rPr>
        <w:t xml:space="preserve">are therefore not only </w:t>
      </w:r>
      <w:r w:rsidR="00BD7100" w:rsidRPr="000450BF">
        <w:rPr>
          <w:bCs/>
        </w:rPr>
        <w:t>attributable</w:t>
      </w:r>
      <w:r w:rsidR="00F6675B" w:rsidRPr="000450BF">
        <w:rPr>
          <w:bCs/>
        </w:rPr>
        <w:t xml:space="preserve"> to the </w:t>
      </w:r>
      <w:r w:rsidR="002E6630" w:rsidRPr="000450BF">
        <w:rPr>
          <w:bCs/>
        </w:rPr>
        <w:t>Burundian</w:t>
      </w:r>
      <w:r w:rsidR="00F6675B" w:rsidRPr="000450BF">
        <w:rPr>
          <w:bCs/>
        </w:rPr>
        <w:t xml:space="preserve"> State when they constitute violations of human rights</w:t>
      </w:r>
      <w:r w:rsidR="00A302EF">
        <w:rPr>
          <w:bCs/>
        </w:rPr>
        <w:t>,</w:t>
      </w:r>
      <w:r w:rsidRPr="000450BF">
        <w:rPr>
          <w:rStyle w:val="FootnoteReference"/>
        </w:rPr>
        <w:footnoteReference w:id="254"/>
      </w:r>
      <w:r w:rsidRPr="000450BF">
        <w:rPr>
          <w:bCs/>
        </w:rPr>
        <w:t xml:space="preserve"> </w:t>
      </w:r>
      <w:r w:rsidR="00F6675B" w:rsidRPr="000450BF">
        <w:rPr>
          <w:bCs/>
        </w:rPr>
        <w:t xml:space="preserve">but can also constitute crimes against humanity of which the </w:t>
      </w:r>
      <w:r w:rsidRPr="000450BF">
        <w:rPr>
          <w:bCs/>
        </w:rPr>
        <w:t xml:space="preserve">Imbonerakure </w:t>
      </w:r>
      <w:r w:rsidR="00F6675B" w:rsidRPr="000450BF">
        <w:rPr>
          <w:bCs/>
        </w:rPr>
        <w:t xml:space="preserve">bear individual criminal responsibility when these acts occur in </w:t>
      </w:r>
      <w:r w:rsidR="00DB6AEE">
        <w:rPr>
          <w:bCs/>
        </w:rPr>
        <w:t>the context of the policy</w:t>
      </w:r>
      <w:r w:rsidR="00F6675B" w:rsidRPr="000450BF">
        <w:rPr>
          <w:bCs/>
        </w:rPr>
        <w:t xml:space="preserve"> setup by the </w:t>
      </w:r>
      <w:r w:rsidR="002E6630" w:rsidRPr="000450BF">
        <w:rPr>
          <w:bCs/>
        </w:rPr>
        <w:t>Burundian</w:t>
      </w:r>
      <w:r w:rsidR="00F6675B" w:rsidRPr="000450BF">
        <w:rPr>
          <w:bCs/>
        </w:rPr>
        <w:t xml:space="preserve"> </w:t>
      </w:r>
      <w:r w:rsidR="00DB6AEE">
        <w:rPr>
          <w:bCs/>
        </w:rPr>
        <w:t>S</w:t>
      </w:r>
      <w:r w:rsidR="00F6675B" w:rsidRPr="000450BF">
        <w:rPr>
          <w:bCs/>
        </w:rPr>
        <w:t>tate to silence the political opposition.</w:t>
      </w:r>
    </w:p>
    <w:p w14:paraId="0EB1EF07" w14:textId="4669C977" w:rsidR="00B61A9C" w:rsidRPr="000450BF" w:rsidRDefault="00B61A9C" w:rsidP="0026250D">
      <w:pPr>
        <w:pStyle w:val="HChG"/>
        <w:jc w:val="both"/>
      </w:pPr>
      <w:r w:rsidRPr="000450BF">
        <w:tab/>
      </w:r>
      <w:r w:rsidRPr="000450BF">
        <w:rPr>
          <w:lang w:val="en-US"/>
        </w:rPr>
        <w:t>IV.</w:t>
      </w:r>
      <w:r w:rsidRPr="000450BF">
        <w:rPr>
          <w:lang w:val="en-US"/>
        </w:rPr>
        <w:tab/>
      </w:r>
      <w:r w:rsidR="00E365F4" w:rsidRPr="000450BF">
        <w:t>Risk factors</w:t>
      </w:r>
    </w:p>
    <w:p w14:paraId="2D34ED01" w14:textId="77777777" w:rsidR="00EC58CC" w:rsidRPr="000450BF" w:rsidRDefault="00B61A9C" w:rsidP="00EC58CC">
      <w:pPr>
        <w:pStyle w:val="H1G"/>
        <w:jc w:val="both"/>
      </w:pPr>
      <w:r w:rsidRPr="000450BF">
        <w:tab/>
      </w:r>
      <w:r w:rsidR="00EC58CC" w:rsidRPr="000450BF">
        <w:t>A.</w:t>
      </w:r>
      <w:r w:rsidR="00EC58CC" w:rsidRPr="000450BF">
        <w:tab/>
        <w:t>Overview</w:t>
      </w:r>
    </w:p>
    <w:p w14:paraId="6274FC6E" w14:textId="4BB94A9C" w:rsidR="00EC58CC" w:rsidRPr="000450BF" w:rsidRDefault="00EC58CC" w:rsidP="00EC58CC">
      <w:pPr>
        <w:spacing w:after="120"/>
        <w:ind w:left="1134" w:right="1134"/>
        <w:jc w:val="both"/>
      </w:pPr>
      <w:r w:rsidRPr="000450BF">
        <w:t>379.</w:t>
      </w:r>
      <w:r w:rsidRPr="000450BF">
        <w:tab/>
        <w:t xml:space="preserve">The </w:t>
      </w:r>
      <w:r w:rsidR="002E6630" w:rsidRPr="000450BF">
        <w:t>Burundian</w:t>
      </w:r>
      <w:r w:rsidRPr="000450BF">
        <w:t xml:space="preserve"> crisis, essentially political in nature, started in April 2015 with part of the population, the civil society, and some members of the opposition political parties including within the ruling CNDD-FDD, commonly known as “frondeurs”, opposing President Nkurunziza’s </w:t>
      </w:r>
      <w:r w:rsidR="00077D82" w:rsidRPr="000450BF">
        <w:t>third term</w:t>
      </w:r>
      <w:r w:rsidRPr="000450BF">
        <w:t xml:space="preserve">. These massive protests were immediately and violently repressed, but the repression against the opponents to the third term never really stopped. Since then, persons who were opposed or indifferent to the constitutional review adopted during the May 2018 referendum, or those who refused to join the CNDD-FDD party or its youth league for various reasons, were also considered as opponents to the President and to the ruling CNDD-FDD party. Consequently, they were the target of threats, acts of intimidation and retaliation which led to serious human rights violations, and crimes against humanity. On the eve of the 2020 elections, the </w:t>
      </w:r>
      <w:r w:rsidR="002A101F">
        <w:t>Commission has decided that it wa</w:t>
      </w:r>
      <w:r w:rsidRPr="000450BF">
        <w:t>s important to be forward looking and determine whether risk factors indicating a possible deterioration of the human rights situation were present in the current political context of Burundi characterized by the 2020 presidential, parliamentary and local elections</w:t>
      </w:r>
      <w:r w:rsidR="00A302EF">
        <w:t>.</w:t>
      </w:r>
      <w:r w:rsidRPr="000450BF">
        <w:rPr>
          <w:sz w:val="18"/>
          <w:vertAlign w:val="superscript"/>
        </w:rPr>
        <w:footnoteReference w:id="255"/>
      </w:r>
    </w:p>
    <w:p w14:paraId="3D04E339" w14:textId="18D519DA" w:rsidR="00EC58CC" w:rsidRPr="000450BF" w:rsidRDefault="00EC58CC" w:rsidP="00EC58CC">
      <w:pPr>
        <w:spacing w:after="120"/>
        <w:ind w:left="1134" w:right="1134"/>
        <w:jc w:val="both"/>
      </w:pPr>
      <w:r w:rsidRPr="000450BF">
        <w:t>380. To that end, the Commission analysed the most significant developments since the beginning of the 2015 crisis, in order to identify the current risk factors indicators. The Commission based this analysis on the indicators proposed in the Framework of Analysis for Atrocity Crimes developed in 2014 by the</w:t>
      </w:r>
      <w:r w:rsidR="002A101F">
        <w:t xml:space="preserve"> United Nations</w:t>
      </w:r>
      <w:r w:rsidRPr="000450BF">
        <w:t xml:space="preserve"> Office on Genocide Prevention and the Responsibility to Protect</w:t>
      </w:r>
      <w:r w:rsidR="00A302EF">
        <w:t>.</w:t>
      </w:r>
      <w:r w:rsidRPr="000450BF">
        <w:rPr>
          <w:sz w:val="18"/>
          <w:vertAlign w:val="superscript"/>
        </w:rPr>
        <w:footnoteReference w:id="256"/>
      </w:r>
      <w:r w:rsidRPr="000450BF">
        <w:t xml:space="preserve"> It also took into account the methodological guidance note established by the Office of the </w:t>
      </w:r>
      <w:r w:rsidR="002A101F">
        <w:t xml:space="preserve">United Nations </w:t>
      </w:r>
      <w:r w:rsidRPr="000450BF">
        <w:t>High Commission</w:t>
      </w:r>
      <w:r w:rsidR="002A101F">
        <w:t>ner</w:t>
      </w:r>
      <w:r w:rsidRPr="000450BF">
        <w:t xml:space="preserve"> </w:t>
      </w:r>
      <w:r w:rsidR="002A101F">
        <w:t>for</w:t>
      </w:r>
      <w:r w:rsidRPr="000450BF">
        <w:t xml:space="preserve"> Human Rights in order to develop an early warning analysis and evaluation of the risks of a deterioration of human rights situation, which includes a directory of related risk factors and indicators</w:t>
      </w:r>
      <w:r w:rsidR="00A302EF">
        <w:t>,</w:t>
      </w:r>
      <w:r w:rsidRPr="000450BF">
        <w:rPr>
          <w:sz w:val="18"/>
          <w:vertAlign w:val="superscript"/>
        </w:rPr>
        <w:footnoteReference w:id="257"/>
      </w:r>
      <w:r w:rsidR="00EF2D2F" w:rsidRPr="000450BF">
        <w:t xml:space="preserve"> as well as</w:t>
      </w:r>
      <w:r w:rsidRPr="000450BF">
        <w:t xml:space="preserve"> the violence factors linked to the elections, internal and external to electoral processes, identified by the International Institute for Democracy and Electoral Assistance</w:t>
      </w:r>
      <w:r w:rsidR="00A302EF">
        <w:t>.</w:t>
      </w:r>
      <w:r w:rsidRPr="000450BF">
        <w:rPr>
          <w:sz w:val="18"/>
          <w:vertAlign w:val="superscript"/>
        </w:rPr>
        <w:footnoteReference w:id="258"/>
      </w:r>
    </w:p>
    <w:p w14:paraId="7F8DE4AF" w14:textId="5F218282" w:rsidR="00EC58CC" w:rsidRPr="000450BF" w:rsidRDefault="00EC58CC" w:rsidP="00EC58CC">
      <w:pPr>
        <w:spacing w:after="120"/>
        <w:ind w:left="1134" w:right="1134"/>
        <w:jc w:val="both"/>
      </w:pPr>
      <w:r w:rsidRPr="000450BF">
        <w:t>381.</w:t>
      </w:r>
      <w:r w:rsidRPr="000450BF">
        <w:tab/>
        <w:t>The Framework</w:t>
      </w:r>
      <w:r w:rsidR="002A101F">
        <w:t xml:space="preserve"> of Analysis for Atrocity C</w:t>
      </w:r>
      <w:r w:rsidRPr="000450BF">
        <w:t xml:space="preserve">rimes identifies eight common risk </w:t>
      </w:r>
      <w:r w:rsidR="005379F4" w:rsidRPr="000450BF">
        <w:t>factors for</w:t>
      </w:r>
      <w:r w:rsidRPr="000450BF">
        <w:t xml:space="preserve"> the occurrence of a genocide, crimes against humanity, war crimes and ethnic cleansing with indicators linked to each factor</w:t>
      </w:r>
      <w:r w:rsidR="00A302EF">
        <w:t>.</w:t>
      </w:r>
      <w:r w:rsidRPr="000450BF">
        <w:rPr>
          <w:sz w:val="18"/>
          <w:vertAlign w:val="superscript"/>
        </w:rPr>
        <w:footnoteReference w:id="259"/>
      </w:r>
      <w:r w:rsidRPr="000450BF">
        <w:t xml:space="preserve"> It also includes two risk factors specific to the crime of genocide, two risk factors specific to crimes against humanity and two risk factors specific war crimes. The Commission chose to focus its analysis on the eight common risk factors. If there is a risk that atrocity crimes may occur, there is necessarily a risk of deterioration of the human rights situation and an increase of violations. </w:t>
      </w:r>
    </w:p>
    <w:p w14:paraId="018B0BC2" w14:textId="5CD907B6" w:rsidR="00EC58CC" w:rsidRPr="000450BF" w:rsidRDefault="00EC58CC" w:rsidP="00EC58CC">
      <w:pPr>
        <w:spacing w:after="120"/>
        <w:ind w:left="1134" w:right="1134"/>
        <w:jc w:val="both"/>
      </w:pPr>
      <w:r w:rsidRPr="000450BF">
        <w:t>382.</w:t>
      </w:r>
      <w:r w:rsidRPr="000450BF">
        <w:tab/>
        <w:t xml:space="preserve">Risk factors are defined as conditions, such as behaviours, circumstances or </w:t>
      </w:r>
      <w:proofErr w:type="gramStart"/>
      <w:r w:rsidRPr="000450BF">
        <w:t>elements, that</w:t>
      </w:r>
      <w:proofErr w:type="gramEnd"/>
      <w:r w:rsidRPr="000450BF">
        <w:t xml:space="preserve"> create an environment conducive to the perpetration of atrocity crimes, or indicate the potential, probability or risk of their occurrence. Some are structural in nature, while others pertain to more dynamic circumstances or events, such as triggering factors. It is important to highlight that while not all risk factors need to be present </w:t>
      </w:r>
      <w:r w:rsidR="002A101F">
        <w:t>to consider</w:t>
      </w:r>
      <w:r w:rsidRPr="000450BF">
        <w:t xml:space="preserve"> that there is a significant ris</w:t>
      </w:r>
      <w:r w:rsidR="002A101F">
        <w:t xml:space="preserve">k of atrocity crimes occurring, nevertheless </w:t>
      </w:r>
      <w:r w:rsidRPr="000450BF">
        <w:t xml:space="preserve">these crimes are rarely committed in the absence of all or some of the risk factors that the Framework identifies. Furthermore, it is confirmed that the more risk factors, the greater the risk that atrocity crimes may be committed. Similarly, existence of a higher number of indicators of a particular risk factor, increases the importance and role of that factor in a </w:t>
      </w:r>
      <w:r w:rsidR="002A101F">
        <w:t xml:space="preserve">given </w:t>
      </w:r>
      <w:r w:rsidRPr="000450BF">
        <w:t xml:space="preserve">situation. On the other hand, the absence of a triggering factor or the existence of mitigating factors can prevent the perpetration of atrocities despite the presence of several risk factors. Monitoring the situation and warning of the </w:t>
      </w:r>
      <w:r w:rsidR="00A467DF">
        <w:t>possibility</w:t>
      </w:r>
      <w:r w:rsidRPr="000450BF">
        <w:t xml:space="preserve"> of atrocity crimes being perpetrated in </w:t>
      </w:r>
      <w:r w:rsidR="00A467DF">
        <w:t>a more or less near</w:t>
      </w:r>
      <w:r w:rsidRPr="000450BF">
        <w:t xml:space="preserve"> remain paramount,</w:t>
      </w:r>
      <w:r w:rsidR="00EF2D2F" w:rsidRPr="000450BF">
        <w:t xml:space="preserve"> </w:t>
      </w:r>
      <w:r w:rsidR="00A467DF">
        <w:t xml:space="preserve">even </w:t>
      </w:r>
      <w:r w:rsidRPr="000450BF">
        <w:t xml:space="preserve">if </w:t>
      </w:r>
      <w:r w:rsidR="00A467DF">
        <w:t>there is bound to be some uncertainty on what</w:t>
      </w:r>
      <w:r w:rsidRPr="000450BF">
        <w:t xml:space="preserve"> will occur. The warning can itself play a certain mitigation role or, in any case, lead to the adoption or identification of preventive measures that </w:t>
      </w:r>
      <w:r w:rsidR="00A467DF">
        <w:t>c</w:t>
      </w:r>
      <w:r w:rsidRPr="000450BF">
        <w:t xml:space="preserve">ould be promptly implemented </w:t>
      </w:r>
      <w:r w:rsidR="00A467DF">
        <w:t>should</w:t>
      </w:r>
      <w:r w:rsidRPr="000450BF">
        <w:t xml:space="preserve"> the situation deteriorates.</w:t>
      </w:r>
    </w:p>
    <w:p w14:paraId="4E4EC075" w14:textId="5D94E56D" w:rsidR="00EC58CC" w:rsidRPr="000450BF" w:rsidRDefault="00EC58CC" w:rsidP="00EC58CC">
      <w:pPr>
        <w:keepNext/>
        <w:keepLines/>
        <w:tabs>
          <w:tab w:val="right" w:pos="851"/>
        </w:tabs>
        <w:spacing w:before="360" w:after="240" w:line="270" w:lineRule="exact"/>
        <w:ind w:left="1134" w:right="1134" w:hanging="1134"/>
        <w:jc w:val="both"/>
        <w:rPr>
          <w:b/>
          <w:sz w:val="24"/>
        </w:rPr>
      </w:pPr>
      <w:r w:rsidRPr="000450BF">
        <w:rPr>
          <w:b/>
          <w:sz w:val="24"/>
        </w:rPr>
        <w:tab/>
        <w:t>B.</w:t>
      </w:r>
      <w:r w:rsidRPr="000450BF">
        <w:rPr>
          <w:b/>
          <w:sz w:val="24"/>
        </w:rPr>
        <w:tab/>
        <w:t xml:space="preserve">Significant developments since 2015 and the current </w:t>
      </w:r>
      <w:r w:rsidR="002E6630" w:rsidRPr="000450BF">
        <w:rPr>
          <w:b/>
          <w:sz w:val="24"/>
        </w:rPr>
        <w:t>Burundian</w:t>
      </w:r>
      <w:r w:rsidRPr="000450BF">
        <w:rPr>
          <w:b/>
          <w:sz w:val="24"/>
        </w:rPr>
        <w:t xml:space="preserve"> context</w:t>
      </w:r>
    </w:p>
    <w:p w14:paraId="3E3A1E13" w14:textId="77777777" w:rsidR="00EC58CC" w:rsidRPr="000450BF" w:rsidRDefault="00EC58CC" w:rsidP="00EC58CC">
      <w:pPr>
        <w:keepNext/>
        <w:keepLines/>
        <w:tabs>
          <w:tab w:val="right" w:pos="851"/>
        </w:tabs>
        <w:spacing w:before="240" w:after="120" w:line="240" w:lineRule="exact"/>
        <w:ind w:left="1134" w:right="1134"/>
        <w:jc w:val="both"/>
        <w:rPr>
          <w:b/>
        </w:rPr>
      </w:pPr>
      <w:r w:rsidRPr="000450BF">
        <w:rPr>
          <w:b/>
        </w:rPr>
        <w:tab/>
        <w:t>1.</w:t>
      </w:r>
      <w:r w:rsidRPr="000450BF">
        <w:rPr>
          <w:b/>
        </w:rPr>
        <w:tab/>
        <w:t>Persistence of the 2015 political crisis</w:t>
      </w:r>
    </w:p>
    <w:p w14:paraId="56A08E7A" w14:textId="0FC3AB29" w:rsidR="00EC58CC" w:rsidRPr="000450BF" w:rsidRDefault="00EC58CC" w:rsidP="00EC58CC">
      <w:pPr>
        <w:spacing w:after="120"/>
        <w:ind w:left="1134" w:right="1134"/>
        <w:jc w:val="both"/>
      </w:pPr>
      <w:r w:rsidRPr="000450BF">
        <w:t>383.</w:t>
      </w:r>
      <w:r w:rsidRPr="000450BF">
        <w:tab/>
        <w:t xml:space="preserve">As Burundi prepares for the next presidential, parliamentary and local elections in 2020, it is important to recall that the 2015 political crisis, resulting from the 2015 presidential elections, is still unresolved. The </w:t>
      </w:r>
      <w:r w:rsidR="002E6630" w:rsidRPr="000450BF">
        <w:t>Burundian</w:t>
      </w:r>
      <w:r w:rsidRPr="000450BF">
        <w:t xml:space="preserve"> population continue to feel the impact of the crisis at various levels, including the absence of real prospects of a political solution.</w:t>
      </w:r>
      <w:r w:rsidR="00EF2D2F" w:rsidRPr="000450BF">
        <w:t xml:space="preserve"> </w:t>
      </w:r>
    </w:p>
    <w:p w14:paraId="6886B469" w14:textId="77777777" w:rsidR="00EC58CC" w:rsidRPr="000450BF" w:rsidRDefault="00EC58CC" w:rsidP="00EC58CC">
      <w:pPr>
        <w:keepNext/>
        <w:keepLines/>
        <w:tabs>
          <w:tab w:val="right" w:pos="851"/>
        </w:tabs>
        <w:spacing w:before="240" w:after="120" w:line="240" w:lineRule="exact"/>
        <w:ind w:left="1134" w:right="1134"/>
        <w:jc w:val="both"/>
        <w:rPr>
          <w:i/>
        </w:rPr>
      </w:pPr>
      <w:r w:rsidRPr="000450BF">
        <w:rPr>
          <w:i/>
        </w:rPr>
        <w:tab/>
        <w:t>a)</w:t>
      </w:r>
      <w:r w:rsidRPr="000450BF">
        <w:rPr>
          <w:i/>
        </w:rPr>
        <w:tab/>
        <w:t>Economic instability</w:t>
      </w:r>
    </w:p>
    <w:p w14:paraId="12C41509" w14:textId="44AC941E" w:rsidR="00EC58CC" w:rsidRPr="000450BF" w:rsidRDefault="00EC58CC" w:rsidP="00EC58CC">
      <w:pPr>
        <w:spacing w:after="120"/>
        <w:ind w:left="1134" w:right="1134"/>
        <w:jc w:val="both"/>
      </w:pPr>
      <w:r w:rsidRPr="000450BF">
        <w:t>384.</w:t>
      </w:r>
      <w:r w:rsidRPr="000450BF">
        <w:tab/>
        <w:t>The unequal access to resources is a structural problem in Burundi, which predates the 2015 political crisis</w:t>
      </w:r>
      <w:r w:rsidR="004D64D7">
        <w:t>, and</w:t>
      </w:r>
      <w:r w:rsidRPr="000450BF">
        <w:t xml:space="preserve"> is linked to the weakness and the lack of diversification of the economy. The latter depends primarily on the agricultural sector and coffee exports, while at the same time arable land is rare and often disputed.</w:t>
      </w:r>
      <w:r w:rsidRPr="000450BF" w:rsidDel="0075048E">
        <w:t xml:space="preserve"> </w:t>
      </w:r>
      <w:r w:rsidRPr="000450BF">
        <w:t xml:space="preserve">This situation is conducive to the appropriation of power and political struggles aimed at securing the control of the country’s wealth and resources. The investments, mainly foreign </w:t>
      </w:r>
      <w:r w:rsidR="004D64D7">
        <w:t>ones</w:t>
      </w:r>
      <w:r w:rsidRPr="000450BF">
        <w:t>, are still few owin</w:t>
      </w:r>
      <w:r w:rsidR="004D64D7">
        <w:t>g to the lack of infrastructure,</w:t>
      </w:r>
      <w:r w:rsidRPr="000450BF">
        <w:t xml:space="preserve"> but also the poor overall economic governance and specifically the rampant corruption which affects all economic sectors. Prior to 2015, the country was amongst the poorest in the world and women were already particularly affected due to the persistence of gender-based stereotypes and the existence of discrimination, both </w:t>
      </w:r>
      <w:r w:rsidR="00EF2D2F" w:rsidRPr="000450BF">
        <w:t>in law</w:t>
      </w:r>
      <w:r w:rsidRPr="000450BF">
        <w:t xml:space="preserve"> and in practice, which limit their access to the labour market and the means of production.</w:t>
      </w:r>
      <w:r w:rsidRPr="000450BF">
        <w:rPr>
          <w:sz w:val="18"/>
          <w:vertAlign w:val="superscript"/>
        </w:rPr>
        <w:footnoteReference w:id="260"/>
      </w:r>
    </w:p>
    <w:p w14:paraId="0767BB89" w14:textId="64BEE18B" w:rsidR="00EC58CC" w:rsidRPr="000450BF" w:rsidRDefault="00EC58CC" w:rsidP="00EC58CC">
      <w:pPr>
        <w:spacing w:after="120"/>
        <w:ind w:left="1134" w:right="1134"/>
        <w:jc w:val="both"/>
      </w:pPr>
      <w:r w:rsidRPr="000450BF">
        <w:t>385.</w:t>
      </w:r>
      <w:r w:rsidRPr="000450BF">
        <w:tab/>
        <w:t xml:space="preserve">However, the socioeconomic situation has worsened with the 2015 political crisis which led to the overall economic recession. The worrisome political and security situation led to the failure of some private sector funding. The budget deficit has further increased, particularly due to the suspension of numerous foreign aids as a result of human rights violations and the explosion of the domestic debt. Inflation increased as did the costs of basic goods and products. In 2016, Burundi went back to being “a country in a humanitarian emergency situation”, the </w:t>
      </w:r>
      <w:r w:rsidR="002E6630" w:rsidRPr="000450BF">
        <w:t>Burundian</w:t>
      </w:r>
      <w:r w:rsidRPr="000450BF">
        <w:t xml:space="preserve"> population became poorer and an increasing number of </w:t>
      </w:r>
      <w:r w:rsidR="002E6630" w:rsidRPr="000450BF">
        <w:t>Burundian</w:t>
      </w:r>
      <w:r w:rsidRPr="000450BF">
        <w:t>s are struggling to put food on the table.</w:t>
      </w:r>
      <w:r w:rsidRPr="000450BF">
        <w:rPr>
          <w:sz w:val="18"/>
          <w:vertAlign w:val="superscript"/>
        </w:rPr>
        <w:footnoteReference w:id="261"/>
      </w:r>
    </w:p>
    <w:p w14:paraId="31923244" w14:textId="466E974A" w:rsidR="00EC58CC" w:rsidRPr="000450BF" w:rsidRDefault="00EC58CC" w:rsidP="00EC58CC">
      <w:pPr>
        <w:spacing w:after="120"/>
        <w:ind w:left="1134" w:right="1134"/>
        <w:jc w:val="both"/>
      </w:pPr>
      <w:r w:rsidRPr="000450BF">
        <w:t>386.</w:t>
      </w:r>
      <w:r w:rsidRPr="000450BF">
        <w:tab/>
        <w:t xml:space="preserve">Currently, the country’s socioeconomic situation remains fragile, </w:t>
      </w:r>
      <w:r w:rsidRPr="000450BF">
        <w:rPr>
          <w:lang w:val="en-US"/>
        </w:rPr>
        <w:t>al</w:t>
      </w:r>
      <w:r w:rsidRPr="000450BF">
        <w:t>though the economic recession was followed by a slight recovery in 2017. Poverty, which can be defined as a condition in which “a person is unable to attain a minimum standard of living which allows him to adequately participate in the society, due to the lack of revenues or consumption capacities […] particularly […] the lack of access to food, adequate education and health”</w:t>
      </w:r>
      <w:r w:rsidR="00BE3FFB" w:rsidRPr="000450BF">
        <w:t>,</w:t>
      </w:r>
      <w:r w:rsidRPr="000450BF">
        <w:rPr>
          <w:sz w:val="18"/>
          <w:vertAlign w:val="superscript"/>
        </w:rPr>
        <w:footnoteReference w:id="262"/>
      </w:r>
      <w:r w:rsidRPr="000450BF">
        <w:t xml:space="preserve"> prevails within the </w:t>
      </w:r>
      <w:r w:rsidR="002E6630" w:rsidRPr="000450BF">
        <w:t>Burundian</w:t>
      </w:r>
      <w:r w:rsidRPr="000450BF">
        <w:t xml:space="preserve"> population. The structural problems that hinder the economic development in Burundi have not been resolved, and the cyclical economic issues are closely linked to the political situation of the country; which remains uncertain on the eve of the elections. Obtaining or sustaining employment, mainly in the public and parapublic sectors, is subject to discrimination as it is conditioned by membership or support to the ruling party</w:t>
      </w:r>
      <w:r w:rsidR="00A302EF">
        <w:t>.</w:t>
      </w:r>
      <w:r w:rsidRPr="000450BF">
        <w:rPr>
          <w:sz w:val="18"/>
          <w:vertAlign w:val="superscript"/>
        </w:rPr>
        <w:footnoteReference w:id="263"/>
      </w:r>
    </w:p>
    <w:p w14:paraId="509F16B8" w14:textId="77777777" w:rsidR="00EC58CC" w:rsidRPr="000450BF" w:rsidRDefault="00EC58CC" w:rsidP="00EC58CC">
      <w:pPr>
        <w:keepNext/>
        <w:keepLines/>
        <w:tabs>
          <w:tab w:val="right" w:pos="851"/>
        </w:tabs>
        <w:spacing w:before="240" w:after="120" w:line="240" w:lineRule="exact"/>
        <w:ind w:left="1134" w:right="1134"/>
        <w:jc w:val="both"/>
        <w:rPr>
          <w:i/>
        </w:rPr>
      </w:pPr>
      <w:r w:rsidRPr="000450BF">
        <w:rPr>
          <w:i/>
        </w:rPr>
        <w:tab/>
        <w:t>b)</w:t>
      </w:r>
      <w:r w:rsidRPr="000450BF">
        <w:rPr>
          <w:i/>
        </w:rPr>
        <w:tab/>
        <w:t>Persistence of the refugee issue</w:t>
      </w:r>
    </w:p>
    <w:p w14:paraId="02377DA5" w14:textId="3C5D4849" w:rsidR="00EC58CC" w:rsidRPr="000450BF" w:rsidRDefault="00EC58CC" w:rsidP="00EC58CC">
      <w:pPr>
        <w:spacing w:after="120"/>
        <w:ind w:left="1134" w:right="1134"/>
        <w:jc w:val="both"/>
      </w:pPr>
      <w:r w:rsidRPr="000450BF">
        <w:t>387.</w:t>
      </w:r>
      <w:r w:rsidRPr="000450BF">
        <w:tab/>
        <w:t xml:space="preserve">One of the direct and particularly visible consequences of the crisis is the presence of nearly 350,000 </w:t>
      </w:r>
      <w:r w:rsidR="002E6630" w:rsidRPr="000450BF">
        <w:t>Burundian</w:t>
      </w:r>
      <w:r w:rsidRPr="000450BF">
        <w:t xml:space="preserve"> refugees in neighbouring countries as of 31 July 2019</w:t>
      </w:r>
      <w:r w:rsidR="00BE3FFB" w:rsidRPr="000450BF">
        <w:t>.</w:t>
      </w:r>
      <w:r w:rsidRPr="000450BF">
        <w:rPr>
          <w:sz w:val="18"/>
          <w:vertAlign w:val="superscript"/>
        </w:rPr>
        <w:footnoteReference w:id="264"/>
      </w:r>
      <w:r w:rsidRPr="000450BF">
        <w:t xml:space="preserve"> In fact, serious and massive human rights violations have pushed tens of thousands of people to flee the country to seek refuge mainly in Tanzania, Rwanda, DRC and Uganda, </w:t>
      </w:r>
      <w:r w:rsidR="004D64D7">
        <w:t>but also</w:t>
      </w:r>
      <w:r w:rsidRPr="000450BF">
        <w:t xml:space="preserve"> in countries further afield. The number of persons who left Burundi </w:t>
      </w:r>
      <w:r w:rsidR="004D64D7">
        <w:t xml:space="preserve">kept </w:t>
      </w:r>
      <w:r w:rsidR="004D64D7" w:rsidRPr="000450BF">
        <w:t>increas</w:t>
      </w:r>
      <w:r w:rsidR="004D64D7">
        <w:t>ing</w:t>
      </w:r>
      <w:r w:rsidR="004D64D7" w:rsidRPr="000450BF">
        <w:t xml:space="preserve"> </w:t>
      </w:r>
      <w:r w:rsidR="004D64D7">
        <w:t>between</w:t>
      </w:r>
      <w:r w:rsidRPr="000450BF">
        <w:t xml:space="preserve"> 1 April 2015 </w:t>
      </w:r>
      <w:r w:rsidR="004D64D7">
        <w:t>and</w:t>
      </w:r>
      <w:r w:rsidRPr="000450BF">
        <w:t xml:space="preserve"> 31 March 2018</w:t>
      </w:r>
      <w:r w:rsidR="004D64D7">
        <w:t>,</w:t>
      </w:r>
      <w:r w:rsidRPr="000450BF">
        <w:t xml:space="preserve"> date</w:t>
      </w:r>
      <w:r w:rsidR="004D64D7">
        <w:t xml:space="preserve"> on which</w:t>
      </w:r>
      <w:r w:rsidRPr="000450BF">
        <w:t xml:space="preserve"> 430,938 </w:t>
      </w:r>
      <w:r w:rsidR="002E6630" w:rsidRPr="000450BF">
        <w:t>Burundian</w:t>
      </w:r>
      <w:r w:rsidRPr="000450BF">
        <w:t xml:space="preserve"> refugees were registered in neighbouring countries.</w:t>
      </w:r>
      <w:r w:rsidRPr="000450BF">
        <w:rPr>
          <w:sz w:val="18"/>
          <w:vertAlign w:val="superscript"/>
        </w:rPr>
        <w:footnoteReference w:id="265"/>
      </w:r>
      <w:r w:rsidRPr="000450BF">
        <w:t xml:space="preserve"> </w:t>
      </w:r>
    </w:p>
    <w:p w14:paraId="25DBCC87" w14:textId="2CF8B4D0" w:rsidR="00EC58CC" w:rsidRPr="000450BF" w:rsidRDefault="00EC58CC" w:rsidP="00EC58CC">
      <w:pPr>
        <w:spacing w:after="120"/>
        <w:ind w:left="1134" w:right="1134"/>
        <w:jc w:val="both"/>
      </w:pPr>
      <w:r w:rsidRPr="000450BF">
        <w:t>388.</w:t>
      </w:r>
      <w:r w:rsidRPr="000450BF">
        <w:tab/>
        <w:t xml:space="preserve">Since 2017 and especially in 2018, the </w:t>
      </w:r>
      <w:r w:rsidR="002E6630" w:rsidRPr="000450BF">
        <w:t>Burundian</w:t>
      </w:r>
      <w:r w:rsidRPr="000450BF">
        <w:t xml:space="preserve"> </w:t>
      </w:r>
      <w:r w:rsidR="007F5B89">
        <w:t>Government</w:t>
      </w:r>
      <w:r w:rsidRPr="000450BF">
        <w:t xml:space="preserve"> has sought to repatriate </w:t>
      </w:r>
      <w:r w:rsidR="002E6630" w:rsidRPr="000450BF">
        <w:t>Burundian</w:t>
      </w:r>
      <w:r w:rsidRPr="000450BF">
        <w:t xml:space="preserve"> refugees by declaring that there </w:t>
      </w:r>
      <w:r w:rsidR="004D64D7">
        <w:t>wa</w:t>
      </w:r>
      <w:r w:rsidRPr="000450BF">
        <w:t xml:space="preserve">s peace and security in the country. The </w:t>
      </w:r>
      <w:r w:rsidR="007F5B89">
        <w:t>Government</w:t>
      </w:r>
      <w:r w:rsidRPr="000450BF">
        <w:t xml:space="preserve"> sent representatives in refugee camps to convince them to return home. A tripartite agreement was signed on 28 March 2018 between Burundi, Tanzania and the United Nations High Commissioner for Refugees (UNHCR) in order to accelerate the return rate of the refugees. The UNHCR does not </w:t>
      </w:r>
      <w:r w:rsidR="00024E25">
        <w:t>recommend the return to Burundi, but since September 2017</w:t>
      </w:r>
      <w:r w:rsidRPr="000450BF">
        <w:t xml:space="preserve"> it has assisted refugees who chose to return home on a voluntary basis in order to ensure that the return is done in adequate security conditions. In December 2018, UNHCR adopted its strategic plan for Burundi covering the period 2019-2020 which integrates projections on returns and numbers of refugees still outside the country. It is </w:t>
      </w:r>
      <w:r w:rsidR="00024E25">
        <w:t>planned</w:t>
      </w:r>
      <w:r w:rsidRPr="000450BF">
        <w:t xml:space="preserve"> that 116,000 </w:t>
      </w:r>
      <w:r w:rsidR="002E6630" w:rsidRPr="000450BF">
        <w:t>Burundian</w:t>
      </w:r>
      <w:r w:rsidRPr="000450BF">
        <w:t xml:space="preserve"> refugees would return</w:t>
      </w:r>
      <w:r w:rsidR="00024E25">
        <w:t xml:space="preserve"> with the</w:t>
      </w:r>
      <w:r w:rsidRPr="000450BF">
        <w:t xml:space="preserve"> assist</w:t>
      </w:r>
      <w:r w:rsidR="00024E25">
        <w:t>ance of UNHCR and its partners,</w:t>
      </w:r>
      <w:r w:rsidRPr="000450BF">
        <w:t xml:space="preserve"> and that 278,000 refugees would remain </w:t>
      </w:r>
      <w:r w:rsidR="00024E25" w:rsidRPr="000450BF">
        <w:t>at the end of 2019</w:t>
      </w:r>
      <w:r w:rsidR="00586E89">
        <w:t xml:space="preserve"> </w:t>
      </w:r>
      <w:r w:rsidRPr="000450BF">
        <w:t xml:space="preserve">and this number would fall to 175,000 by the end of 2020. </w:t>
      </w:r>
    </w:p>
    <w:p w14:paraId="7C42299D" w14:textId="00D609C6" w:rsidR="00EC58CC" w:rsidRPr="000450BF" w:rsidRDefault="00EC58CC" w:rsidP="00EC58CC">
      <w:pPr>
        <w:spacing w:after="120"/>
        <w:ind w:left="1134" w:right="1134"/>
        <w:jc w:val="both"/>
      </w:pPr>
      <w:r w:rsidRPr="000450BF">
        <w:t>389.</w:t>
      </w:r>
      <w:r w:rsidRPr="000450BF">
        <w:tab/>
        <w:t xml:space="preserve">Difficult living conditions in the refugee camps, partly due to the lack of funding of the humanitarian crisis by international donors, as well as the reassuring and appeasing statements of </w:t>
      </w:r>
      <w:r w:rsidR="002E6630" w:rsidRPr="000450BF">
        <w:t>Burundian</w:t>
      </w:r>
      <w:r w:rsidRPr="000450BF">
        <w:t xml:space="preserve"> authorities relayed by certain authorities in host countries have convinced </w:t>
      </w:r>
      <w:r w:rsidR="00BF5441" w:rsidRPr="000450BF">
        <w:t xml:space="preserve">some </w:t>
      </w:r>
      <w:r w:rsidRPr="000450BF">
        <w:t>refugees to return.</w:t>
      </w:r>
      <w:r w:rsidR="00EF2D2F" w:rsidRPr="000450BF">
        <w:t xml:space="preserve"> </w:t>
      </w:r>
      <w:r w:rsidRPr="000450BF">
        <w:t>Between January and July 2019, 16,232 people returned to Burundi</w:t>
      </w:r>
      <w:r w:rsidR="00BE3FFB" w:rsidRPr="000450BF">
        <w:t>,</w:t>
      </w:r>
      <w:r w:rsidRPr="000450BF">
        <w:rPr>
          <w:sz w:val="18"/>
          <w:vertAlign w:val="superscript"/>
        </w:rPr>
        <w:footnoteReference w:id="266"/>
      </w:r>
      <w:r w:rsidRPr="000450BF">
        <w:t xml:space="preserve"> in addition to some 58,000 </w:t>
      </w:r>
      <w:r w:rsidR="002E6630" w:rsidRPr="000450BF">
        <w:t>Burundian</w:t>
      </w:r>
      <w:r w:rsidRPr="000450BF">
        <w:t xml:space="preserve">s repatriated between December 2017 and 31 December 2018 according to </w:t>
      </w:r>
      <w:r w:rsidR="00586E89">
        <w:t xml:space="preserve">the </w:t>
      </w:r>
      <w:r w:rsidRPr="000450BF">
        <w:t>UNHCR data. The number of returnees by mid-2019 was less than the anticipated 2,000 persons per week while at the same time 4,591 new arrivals were recorded between 1 January and 31 July 2019</w:t>
      </w:r>
      <w:r w:rsidR="00BE3FFB" w:rsidRPr="000450BF">
        <w:t>.</w:t>
      </w:r>
      <w:r w:rsidRPr="000450BF">
        <w:rPr>
          <w:sz w:val="18"/>
          <w:vertAlign w:val="superscript"/>
        </w:rPr>
        <w:footnoteReference w:id="267"/>
      </w:r>
      <w:r w:rsidRPr="000450BF">
        <w:t xml:space="preserve"> The repatriation support program has in fact had some funding challenges but was mostly hindered by difficulties encountered by some returnees upon their arrival in Burundi</w:t>
      </w:r>
      <w:r w:rsidR="00586E89">
        <w:t>,</w:t>
      </w:r>
      <w:r w:rsidRPr="000450BF">
        <w:t xml:space="preserve"> </w:t>
      </w:r>
      <w:r w:rsidR="00586E89">
        <w:t>in particular</w:t>
      </w:r>
      <w:r w:rsidRPr="000450BF">
        <w:t xml:space="preserve"> a general climate of hostility towards them</w:t>
      </w:r>
      <w:r w:rsidR="00586E89">
        <w:t>,</w:t>
      </w:r>
      <w:r w:rsidRPr="000450BF">
        <w:t xml:space="preserve"> as well as violent incidents and human right violations which</w:t>
      </w:r>
      <w:r w:rsidR="00EF2D2F" w:rsidRPr="000450BF">
        <w:t xml:space="preserve"> </w:t>
      </w:r>
      <w:r w:rsidRPr="000450BF">
        <w:t>forced them to flee again</w:t>
      </w:r>
      <w:r w:rsidR="00A302EF">
        <w:t>.</w:t>
      </w:r>
      <w:r w:rsidR="00586E89">
        <w:rPr>
          <w:rStyle w:val="FootnoteReference"/>
        </w:rPr>
        <w:footnoteReference w:id="268"/>
      </w:r>
      <w:r w:rsidRPr="000450BF">
        <w:t xml:space="preserve"> This situation dissuaded other refugees from attempting to return.</w:t>
      </w:r>
      <w:r w:rsidR="00EF2D2F" w:rsidRPr="000450BF">
        <w:t xml:space="preserve"> </w:t>
      </w:r>
    </w:p>
    <w:p w14:paraId="11436353" w14:textId="259AC2A6" w:rsidR="00EC58CC" w:rsidRPr="000450BF" w:rsidRDefault="00EC58CC" w:rsidP="00EC58CC">
      <w:pPr>
        <w:spacing w:after="120"/>
        <w:ind w:left="1134" w:right="1134"/>
        <w:jc w:val="both"/>
      </w:pPr>
      <w:r w:rsidRPr="000450BF">
        <w:t>390.</w:t>
      </w:r>
      <w:r w:rsidRPr="000450BF">
        <w:tab/>
        <w:t xml:space="preserve">In some neighbouring countries where the </w:t>
      </w:r>
      <w:r w:rsidR="00144534" w:rsidRPr="000450BF">
        <w:t>chances</w:t>
      </w:r>
      <w:r w:rsidRPr="000450BF">
        <w:t xml:space="preserve"> </w:t>
      </w:r>
      <w:r w:rsidR="00144534" w:rsidRPr="000450BF">
        <w:t xml:space="preserve">for Burundians </w:t>
      </w:r>
      <w:r w:rsidRPr="000450BF">
        <w:t xml:space="preserve">to </w:t>
      </w:r>
      <w:r w:rsidR="00144534">
        <w:t xml:space="preserve">be </w:t>
      </w:r>
      <w:r w:rsidRPr="000450BF">
        <w:t>register</w:t>
      </w:r>
      <w:r w:rsidR="00144534">
        <w:t>ed</w:t>
      </w:r>
      <w:r w:rsidRPr="000450BF">
        <w:t xml:space="preserve"> as refugee are limited, or access to the process is difficult, </w:t>
      </w:r>
      <w:r w:rsidR="002E6630" w:rsidRPr="000450BF">
        <w:t>Burundian</w:t>
      </w:r>
      <w:r w:rsidRPr="000450BF">
        <w:t xml:space="preserve">s arriving for the first time or who </w:t>
      </w:r>
      <w:r w:rsidR="00144534">
        <w:t>fled again</w:t>
      </w:r>
      <w:r w:rsidRPr="000450BF">
        <w:t xml:space="preserve"> </w:t>
      </w:r>
      <w:r w:rsidR="00144534">
        <w:t>after having tried to return to Burundi</w:t>
      </w:r>
      <w:r w:rsidRPr="000450BF">
        <w:t xml:space="preserve"> due to the hostile situation in the country, live in</w:t>
      </w:r>
      <w:r w:rsidR="00144534">
        <w:t xml:space="preserve"> extremely difficult conditions. They don’t have </w:t>
      </w:r>
      <w:r w:rsidRPr="000450BF">
        <w:t xml:space="preserve">access to assistance, including humanitarian assistance, and </w:t>
      </w:r>
      <w:r w:rsidR="00BF5441" w:rsidRPr="000450BF">
        <w:t>have to rely on</w:t>
      </w:r>
      <w:r w:rsidRPr="000450BF">
        <w:t xml:space="preserve"> the generosity of other refugees who are themselves destitute. On 24 August 2019, the </w:t>
      </w:r>
      <w:r w:rsidR="00EF2D2F" w:rsidRPr="000450BF">
        <w:t>Minister</w:t>
      </w:r>
      <w:r w:rsidRPr="000450BF">
        <w:t xml:space="preserve">s of Interior of Burundi and Tanzania announced the signing of a confidential agreement to organize the return, voluntary or forced, of </w:t>
      </w:r>
      <w:r w:rsidR="002E6630" w:rsidRPr="000450BF">
        <w:t>Burundian</w:t>
      </w:r>
      <w:r w:rsidRPr="000450BF">
        <w:t xml:space="preserve"> refugees and asylum seekers, at the rate of 2,000 persons per week, and if required, without the assistance of UNHCR. This announcement has the potential of having a </w:t>
      </w:r>
      <w:r w:rsidR="00144534">
        <w:t>destabilising</w:t>
      </w:r>
      <w:r w:rsidRPr="000450BF">
        <w:t xml:space="preserve"> </w:t>
      </w:r>
      <w:r w:rsidR="00144534">
        <w:t>effec</w:t>
      </w:r>
      <w:r w:rsidRPr="000450BF">
        <w:t xml:space="preserve">t on those who do not wish to return to Burundi </w:t>
      </w:r>
      <w:r w:rsidR="00144534">
        <w:t>as long as</w:t>
      </w:r>
      <w:r w:rsidRPr="000450BF">
        <w:t xml:space="preserve"> the violence and human rights violations that pushed th</w:t>
      </w:r>
      <w:r w:rsidR="00144534">
        <w:t>em to leave the country persist</w:t>
      </w:r>
      <w:r w:rsidRPr="000450BF">
        <w:t xml:space="preserve"> and </w:t>
      </w:r>
      <w:r w:rsidR="00144534">
        <w:t xml:space="preserve">if </w:t>
      </w:r>
      <w:r w:rsidRPr="000450BF">
        <w:t>their security is not guaranteed.</w:t>
      </w:r>
    </w:p>
    <w:p w14:paraId="61462138" w14:textId="77777777" w:rsidR="00EC58CC" w:rsidRPr="000450BF" w:rsidRDefault="00EC58CC" w:rsidP="00EC58CC">
      <w:pPr>
        <w:keepNext/>
        <w:keepLines/>
        <w:tabs>
          <w:tab w:val="right" w:pos="851"/>
        </w:tabs>
        <w:spacing w:before="240" w:after="120" w:line="240" w:lineRule="exact"/>
        <w:ind w:left="1134" w:right="1134"/>
        <w:jc w:val="both"/>
        <w:rPr>
          <w:i/>
        </w:rPr>
      </w:pPr>
      <w:r w:rsidRPr="000450BF">
        <w:rPr>
          <w:i/>
        </w:rPr>
        <w:tab/>
        <w:t>c)</w:t>
      </w:r>
      <w:r w:rsidRPr="000450BF">
        <w:rPr>
          <w:i/>
        </w:rPr>
        <w:tab/>
        <w:t>Widespread impunity for human rights violations</w:t>
      </w:r>
    </w:p>
    <w:p w14:paraId="5A7558C7" w14:textId="095C8C17" w:rsidR="00EC58CC" w:rsidRPr="000450BF" w:rsidRDefault="00EC58CC" w:rsidP="00EC58CC">
      <w:pPr>
        <w:spacing w:after="120"/>
        <w:ind w:left="1134" w:right="1134"/>
        <w:jc w:val="both"/>
      </w:pPr>
      <w:r w:rsidRPr="000450BF">
        <w:t>391. Serious human rights violations, some of which constitute crimes against humanity, perpetrated in Burundi on a large scale since April 2015 have been outlined in the Commission reports: summary executions, disappearances</w:t>
      </w:r>
      <w:r w:rsidR="00BF5441" w:rsidRPr="000450BF">
        <w:t>,</w:t>
      </w:r>
      <w:r w:rsidRPr="000450BF">
        <w:t xml:space="preserve"> including forced disappearances</w:t>
      </w:r>
      <w:r w:rsidR="00BF5441" w:rsidRPr="000450BF">
        <w:t>,</w:t>
      </w:r>
      <w:r w:rsidRPr="000450BF">
        <w:t xml:space="preserve"> arbitrary arrests and detentions, torture and other ill-treatment as well as sexual violence. These violations mainly target people who are perceived </w:t>
      </w:r>
      <w:r w:rsidR="00846562">
        <w:t xml:space="preserve">– rightly or wrongly - </w:t>
      </w:r>
      <w:r w:rsidRPr="000450BF">
        <w:t xml:space="preserve">as opponents of President Nkurunziza, the CNDD-FDD party or its youth league. </w:t>
      </w:r>
      <w:r w:rsidR="00846562">
        <w:t>S</w:t>
      </w:r>
      <w:r w:rsidR="00846562" w:rsidRPr="000450BF">
        <w:t>ince 2015</w:t>
      </w:r>
      <w:r w:rsidR="00846562">
        <w:t>, h</w:t>
      </w:r>
      <w:r w:rsidRPr="000450BF">
        <w:t>uman rights activists, journalists, members o</w:t>
      </w:r>
      <w:r w:rsidR="00846562">
        <w:t>f opposition political parties,</w:t>
      </w:r>
      <w:r w:rsidRPr="000450BF">
        <w:t xml:space="preserve"> </w:t>
      </w:r>
      <w:r w:rsidR="00846562">
        <w:t xml:space="preserve">both </w:t>
      </w:r>
      <w:r w:rsidR="00846562" w:rsidRPr="000450BF">
        <w:t>men and women</w:t>
      </w:r>
      <w:r w:rsidR="00846562">
        <w:t>,</w:t>
      </w:r>
      <w:r w:rsidR="00846562" w:rsidRPr="000450BF">
        <w:t xml:space="preserve"> </w:t>
      </w:r>
      <w:r w:rsidRPr="000450BF">
        <w:t xml:space="preserve">were amongst the main </w:t>
      </w:r>
      <w:proofErr w:type="gramStart"/>
      <w:r w:rsidRPr="000450BF">
        <w:t>victims</w:t>
      </w:r>
      <w:r w:rsidR="00846562">
        <w:t>.,</w:t>
      </w:r>
      <w:proofErr w:type="gramEnd"/>
      <w:r w:rsidR="00846562">
        <w:t xml:space="preserve"> but now</w:t>
      </w:r>
      <w:r w:rsidRPr="000450BF">
        <w:t xml:space="preserve"> anyone in the population, including in rural areas, can be a target.</w:t>
      </w:r>
      <w:r w:rsidRPr="000450BF">
        <w:rPr>
          <w:sz w:val="18"/>
          <w:vertAlign w:val="superscript"/>
        </w:rPr>
        <w:footnoteReference w:id="269"/>
      </w:r>
      <w:r w:rsidRPr="000450BF">
        <w:t xml:space="preserve"> </w:t>
      </w:r>
    </w:p>
    <w:p w14:paraId="62DBB8A9" w14:textId="7DD9B417" w:rsidR="00EC58CC" w:rsidRPr="000450BF" w:rsidRDefault="00EC58CC" w:rsidP="00EC58CC">
      <w:pPr>
        <w:spacing w:after="120"/>
        <w:ind w:left="1134" w:right="1134"/>
        <w:jc w:val="both"/>
      </w:pPr>
      <w:r w:rsidRPr="000450BF">
        <w:t>392.</w:t>
      </w:r>
      <w:r w:rsidRPr="000450BF">
        <w:tab/>
        <w:t xml:space="preserve">Impunity, defined as “the impossibility, de jure or de facto, </w:t>
      </w:r>
      <w:r w:rsidR="00FC50C3">
        <w:t>of bringing the perpetrators of violations to account - whether in criminal, civil, administrative or disciplinary proceedings - since they are not subject to any inquiry that might lead to their being accused, arrested, tried and, if found guilty, sentenced to appropriate penalties, and to making reparations to their victims</w:t>
      </w:r>
      <w:r w:rsidRPr="000450BF">
        <w:t>”</w:t>
      </w:r>
      <w:r w:rsidR="000C2EBE" w:rsidRPr="000450BF">
        <w:t>,</w:t>
      </w:r>
      <w:r w:rsidRPr="000450BF">
        <w:rPr>
          <w:sz w:val="18"/>
          <w:vertAlign w:val="superscript"/>
        </w:rPr>
        <w:footnoteReference w:id="270"/>
      </w:r>
      <w:r w:rsidRPr="000450BF">
        <w:t xml:space="preserve"> is the norm for human rights violations and crimes against humanity committed in Burundi since 2015. </w:t>
      </w:r>
    </w:p>
    <w:p w14:paraId="22481A97" w14:textId="2D6E5D4D" w:rsidR="00EC58CC" w:rsidRPr="000450BF" w:rsidRDefault="00EC58CC" w:rsidP="00EC58CC">
      <w:pPr>
        <w:spacing w:after="120"/>
        <w:ind w:left="1134" w:right="1134"/>
        <w:jc w:val="both"/>
      </w:pPr>
      <w:r w:rsidRPr="000450BF">
        <w:t>393.</w:t>
      </w:r>
      <w:r w:rsidRPr="000450BF">
        <w:tab/>
        <w:t>In fact, despite a multitude of reports from national and international civil society organizations, as well international bodies, including this Commission, which revealed the magnitude and the persistence of human rights violations in Burundi, the authorities in Burundi have not taken any comprehensive measures to bring an end to these violations. On the contrary, they have denied the</w:t>
      </w:r>
      <w:r w:rsidR="00FC50C3">
        <w:t xml:space="preserve">ir </w:t>
      </w:r>
      <w:r w:rsidRPr="000450BF">
        <w:t xml:space="preserve">existence. For example, during meetings regarding the </w:t>
      </w:r>
      <w:r w:rsidRPr="000450BF">
        <w:rPr>
          <w:lang w:val="en-US"/>
        </w:rPr>
        <w:t xml:space="preserve">security of </w:t>
      </w:r>
      <w:r w:rsidRPr="000450BF">
        <w:t xml:space="preserve">the country, the </w:t>
      </w:r>
      <w:r w:rsidR="00A302EF">
        <w:t xml:space="preserve">Head of State and the security </w:t>
      </w:r>
      <w:r w:rsidR="005379F4" w:rsidRPr="00A302EF">
        <w:rPr>
          <w:i/>
        </w:rPr>
        <w:t>quadrilogie</w:t>
      </w:r>
      <w:r w:rsidRPr="000450BF">
        <w:t xml:space="preserve"> have consistently expressed their satisfaction with the security situation. They only accepted to recognize the existence of </w:t>
      </w:r>
      <w:r w:rsidR="0048380D">
        <w:t xml:space="preserve">some </w:t>
      </w:r>
      <w:r w:rsidRPr="000450BF">
        <w:t>ordinary crimes</w:t>
      </w:r>
      <w:r w:rsidR="0048380D">
        <w:t xml:space="preserve">, </w:t>
      </w:r>
      <w:r w:rsidRPr="000450BF">
        <w:t>such as family conflicts, consumption of illegal substances and prohibited drinks, cases of rape and gender-based violence as well as thefts, including cases of armed robbery</w:t>
      </w:r>
      <w:r w:rsidR="005A3EE5" w:rsidRPr="000450BF">
        <w:t>.</w:t>
      </w:r>
      <w:r w:rsidRPr="000450BF">
        <w:rPr>
          <w:sz w:val="18"/>
          <w:vertAlign w:val="superscript"/>
        </w:rPr>
        <w:footnoteReference w:id="271"/>
      </w:r>
      <w:r w:rsidRPr="000450BF">
        <w:t xml:space="preserve"> The </w:t>
      </w:r>
      <w:r w:rsidR="002E6630" w:rsidRPr="000450BF">
        <w:t>Burundian</w:t>
      </w:r>
      <w:r w:rsidRPr="000450BF">
        <w:t xml:space="preserve"> authorities have accused people who denounced human rights violations of trying to destabilize the country, and severely punished those who were under their jurisdiction, by accusing them, for example, of violating the</w:t>
      </w:r>
      <w:r w:rsidR="00EF2D2F" w:rsidRPr="000450BF">
        <w:t xml:space="preserve"> </w:t>
      </w:r>
      <w:r w:rsidRPr="000450BF">
        <w:t>country’s internal security or by deciding to suspend or close national NGOs.</w:t>
      </w:r>
    </w:p>
    <w:p w14:paraId="4330DB9C" w14:textId="371C6CFB" w:rsidR="00EC58CC" w:rsidRPr="000450BF" w:rsidRDefault="00EC58CC" w:rsidP="00EC58CC">
      <w:pPr>
        <w:spacing w:after="120"/>
        <w:ind w:left="1134" w:right="1134"/>
        <w:jc w:val="both"/>
      </w:pPr>
      <w:r w:rsidRPr="000450BF">
        <w:t>394.</w:t>
      </w:r>
      <w:r w:rsidRPr="000450BF">
        <w:tab/>
        <w:t xml:space="preserve">Generally speaking, </w:t>
      </w:r>
      <w:r w:rsidR="002E6630" w:rsidRPr="000450BF">
        <w:t>Burundian</w:t>
      </w:r>
      <w:r w:rsidRPr="000450BF">
        <w:t xml:space="preserve"> authorities have not carried out independent and effective investigation into violations and crimes committed since 2015, their perpetrat</w:t>
      </w:r>
      <w:r w:rsidR="0048380D">
        <w:t>ors have rarely been prosecuted,</w:t>
      </w:r>
      <w:r w:rsidRPr="000450BF">
        <w:t xml:space="preserve"> except in cases that wer</w:t>
      </w:r>
      <w:r w:rsidR="005379F4" w:rsidRPr="000450BF">
        <w:t>e highly publicised. Even in the</w:t>
      </w:r>
      <w:r w:rsidRPr="000450BF">
        <w:t>s</w:t>
      </w:r>
      <w:r w:rsidRPr="000450BF">
        <w:rPr>
          <w:lang w:val="en-US"/>
        </w:rPr>
        <w:t>e cases,</w:t>
      </w:r>
      <w:r w:rsidR="00EF2D2F" w:rsidRPr="000450BF">
        <w:rPr>
          <w:lang w:val="en-US"/>
        </w:rPr>
        <w:t xml:space="preserve"> </w:t>
      </w:r>
      <w:r w:rsidRPr="000450BF">
        <w:t>most judicial proceedings were unsuccessful. No form of reparations has been offered to the numerous victims</w:t>
      </w:r>
      <w:r w:rsidR="0048380D">
        <w:t>,</w:t>
      </w:r>
      <w:r w:rsidRPr="000450BF">
        <w:t xml:space="preserve"> most of whom were too afraid to complain due to possible reprisal or did not see its usefulness given their</w:t>
      </w:r>
      <w:r w:rsidRPr="000450BF">
        <w:rPr>
          <w:lang w:val="en-US"/>
        </w:rPr>
        <w:t xml:space="preserve"> mistrust of public institutions</w:t>
      </w:r>
      <w:r w:rsidRPr="000450BF">
        <w:t>, particularly the police and the judiciary.</w:t>
      </w:r>
      <w:r w:rsidRPr="000450BF">
        <w:rPr>
          <w:sz w:val="18"/>
          <w:vertAlign w:val="superscript"/>
        </w:rPr>
        <w:footnoteReference w:id="272"/>
      </w:r>
    </w:p>
    <w:p w14:paraId="4465D7D2" w14:textId="497169B0" w:rsidR="00EC58CC" w:rsidRPr="000450BF" w:rsidRDefault="00EC58CC" w:rsidP="00EC58CC">
      <w:pPr>
        <w:spacing w:after="120"/>
        <w:ind w:left="1134" w:right="1134"/>
        <w:jc w:val="both"/>
      </w:pPr>
      <w:r w:rsidRPr="000450BF">
        <w:t>395.</w:t>
      </w:r>
      <w:r w:rsidRPr="000450BF">
        <w:tab/>
      </w:r>
      <w:r w:rsidR="0048380D">
        <w:t>Such</w:t>
      </w:r>
      <w:r w:rsidRPr="000450BF">
        <w:t xml:space="preserve"> impunity is partly linked to the numerous structural and situational </w:t>
      </w:r>
      <w:r w:rsidR="0048380D">
        <w:t>shortcomings</w:t>
      </w:r>
      <w:r w:rsidRPr="000450BF">
        <w:t xml:space="preserve"> of the judicial system, such as the lack of independence and capacity,</w:t>
      </w:r>
      <w:r w:rsidR="00EF2D2F" w:rsidRPr="000450BF">
        <w:t xml:space="preserve"> </w:t>
      </w:r>
      <w:r w:rsidRPr="000450BF">
        <w:t xml:space="preserve">widespread corruption, numerous and frequent interferences of the executive power in judicial </w:t>
      </w:r>
      <w:r w:rsidR="006153DC" w:rsidRPr="000450BF">
        <w:t>proceedings</w:t>
      </w:r>
      <w:r w:rsidRPr="000450BF">
        <w:t xml:space="preserve">, including acts of intimidation towards lawyers and magistrates, violation of criminal procedures and right to defence. However, it is </w:t>
      </w:r>
      <w:r w:rsidR="0048380D" w:rsidRPr="000450BF">
        <w:t>primarily</w:t>
      </w:r>
      <w:r w:rsidRPr="000450BF">
        <w:t xml:space="preserve"> due to</w:t>
      </w:r>
      <w:r w:rsidR="00EF2D2F" w:rsidRPr="000450BF">
        <w:t xml:space="preserve"> </w:t>
      </w:r>
      <w:r w:rsidR="0048380D">
        <w:t xml:space="preserve">the </w:t>
      </w:r>
      <w:r w:rsidRPr="000450BF">
        <w:t>collusion between the judiciary and the executive, which generally seeks to protect the perpetrators of the violations</w:t>
      </w:r>
      <w:r w:rsidR="005A3EE5" w:rsidRPr="000450BF">
        <w:t>,</w:t>
      </w:r>
      <w:r w:rsidRPr="000450BF">
        <w:rPr>
          <w:sz w:val="18"/>
          <w:vertAlign w:val="superscript"/>
        </w:rPr>
        <w:footnoteReference w:id="273"/>
      </w:r>
      <w:r w:rsidR="00EF2D2F" w:rsidRPr="000450BF">
        <w:t xml:space="preserve"> </w:t>
      </w:r>
      <w:r w:rsidRPr="000450BF">
        <w:t xml:space="preserve">namely police and SNR agents and especially Imbonerakure and, to a lesser extent since 2017, military </w:t>
      </w:r>
      <w:r w:rsidR="00D1497B" w:rsidRPr="000450BF">
        <w:t>personnel</w:t>
      </w:r>
      <w:r w:rsidR="005A3EE5" w:rsidRPr="000450BF">
        <w:t>.</w:t>
      </w:r>
      <w:r w:rsidRPr="000450BF">
        <w:rPr>
          <w:sz w:val="18"/>
          <w:vertAlign w:val="superscript"/>
        </w:rPr>
        <w:footnoteReference w:id="274"/>
      </w:r>
    </w:p>
    <w:p w14:paraId="12157F90" w14:textId="61165371" w:rsidR="00EC58CC" w:rsidRPr="000450BF" w:rsidRDefault="00EC58CC" w:rsidP="00EC58CC">
      <w:pPr>
        <w:spacing w:after="120"/>
        <w:ind w:left="1134" w:right="1134"/>
        <w:jc w:val="both"/>
      </w:pPr>
      <w:r w:rsidRPr="000450BF">
        <w:t>396.</w:t>
      </w:r>
      <w:r w:rsidRPr="000450BF">
        <w:tab/>
        <w:t>All these perpetrators, except members of defence and security forces whose loyalty was questioned during the attempted coup d’état on 13 May 2015 or the attacks against the military camps in December 2015, continued to benefit from the unwavering support of the authorities.</w:t>
      </w:r>
      <w:r w:rsidR="00EF2D2F" w:rsidRPr="000450BF">
        <w:t xml:space="preserve"> </w:t>
      </w:r>
      <w:r w:rsidRPr="000450BF">
        <w:t>The authorities continued to praise the qualities and the actions of Imbonerakure and to provide them with material support</w:t>
      </w:r>
      <w:r w:rsidR="005A3EE5" w:rsidRPr="000450BF">
        <w:t>.</w:t>
      </w:r>
      <w:r w:rsidRPr="000450BF">
        <w:rPr>
          <w:sz w:val="18"/>
          <w:vertAlign w:val="superscript"/>
        </w:rPr>
        <w:footnoteReference w:id="275"/>
      </w:r>
      <w:r w:rsidRPr="000450BF">
        <w:t xml:space="preserve"> </w:t>
      </w:r>
      <w:r w:rsidR="0048380D">
        <w:t>For</w:t>
      </w:r>
      <w:r w:rsidRPr="000450BF">
        <w:t xml:space="preserve"> the last three years, an official day dedicated to Imbonerakure “Imbonerakure Day” </w:t>
      </w:r>
      <w:r w:rsidR="0048380D">
        <w:t>has been</w:t>
      </w:r>
      <w:r w:rsidRPr="000450BF">
        <w:t xml:space="preserve"> organized </w:t>
      </w:r>
      <w:r w:rsidR="0048380D">
        <w:t xml:space="preserve">annually </w:t>
      </w:r>
      <w:r w:rsidRPr="000450BF">
        <w:t xml:space="preserve">in all the provinces of the country in the presence of members of </w:t>
      </w:r>
      <w:r w:rsidR="007F5B89">
        <w:t>Government</w:t>
      </w:r>
      <w:r w:rsidRPr="000450BF">
        <w:t xml:space="preserve"> and parliamentarians.</w:t>
      </w:r>
      <w:r w:rsidRPr="000450BF">
        <w:rPr>
          <w:sz w:val="18"/>
          <w:vertAlign w:val="superscript"/>
        </w:rPr>
        <w:footnoteReference w:id="276"/>
      </w:r>
      <w:r w:rsidRPr="000450BF">
        <w:t xml:space="preserve"> Former leaders of Imbonerakure at the national level have also been appointed to important functions such as Eze</w:t>
      </w:r>
      <w:r w:rsidR="0048380D">
        <w:t>ch</w:t>
      </w:r>
      <w:r w:rsidRPr="000450BF">
        <w:t>iel N</w:t>
      </w:r>
      <w:r w:rsidR="0048380D">
        <w:t>ibigira as</w:t>
      </w:r>
      <w:r w:rsidRPr="000450BF">
        <w:t xml:space="preserve"> </w:t>
      </w:r>
      <w:r w:rsidR="00A4591E" w:rsidRPr="000450BF">
        <w:t>Minister of Foreign Affairs</w:t>
      </w:r>
      <w:r w:rsidR="0048380D">
        <w:t xml:space="preserve"> since April 2018,</w:t>
      </w:r>
      <w:r w:rsidRPr="000450BF">
        <w:t xml:space="preserve"> and Eric Nshimirimana</w:t>
      </w:r>
      <w:r w:rsidR="006153DC" w:rsidRPr="000450BF">
        <w:t xml:space="preserve"> as the H</w:t>
      </w:r>
      <w:r w:rsidRPr="000450BF">
        <w:t xml:space="preserve">ead of the Burundi National Radio Television (RTNB) since July 2019. </w:t>
      </w:r>
    </w:p>
    <w:p w14:paraId="5DCB7CD8" w14:textId="475A6535" w:rsidR="00EC58CC" w:rsidRPr="000450BF" w:rsidRDefault="00EC58CC" w:rsidP="00EC58CC">
      <w:pPr>
        <w:spacing w:after="120"/>
        <w:ind w:left="1134" w:right="1134"/>
        <w:jc w:val="both"/>
      </w:pPr>
      <w:r w:rsidRPr="000450BF">
        <w:t>397.</w:t>
      </w:r>
      <w:r w:rsidRPr="000450BF">
        <w:tab/>
        <w:t xml:space="preserve">The SNR, also accused of involvement in numerous violations, has also been given a special status compared to other security forces in the 2018 </w:t>
      </w:r>
      <w:r w:rsidR="007670FB" w:rsidRPr="000450BF">
        <w:t>Constitution</w:t>
      </w:r>
      <w:r w:rsidRPr="000450BF">
        <w:t>. Its mission</w:t>
      </w:r>
      <w:r w:rsidR="0048380D">
        <w:t>s</w:t>
      </w:r>
      <w:r w:rsidRPr="000450BF">
        <w:t xml:space="preserve"> have been expanded “in order to embrace the entire national life with a view to respond fully to the needs of the citizen”</w:t>
      </w:r>
      <w:r w:rsidR="0048380D">
        <w:t>,</w:t>
      </w:r>
      <w:r w:rsidRPr="000450BF">
        <w:t xml:space="preserve"> and the </w:t>
      </w:r>
      <w:r w:rsidR="00EF2D2F" w:rsidRPr="000450BF">
        <w:t>Minister of Public S</w:t>
      </w:r>
      <w:r w:rsidRPr="000450BF">
        <w:t>ecurity explained that it was necessary to clean up its image which has been historically vilified”</w:t>
      </w:r>
      <w:r w:rsidR="005A3EE5" w:rsidRPr="000450BF">
        <w:t>.</w:t>
      </w:r>
      <w:r w:rsidRPr="000450BF">
        <w:rPr>
          <w:sz w:val="18"/>
          <w:vertAlign w:val="superscript"/>
        </w:rPr>
        <w:footnoteReference w:id="277"/>
      </w:r>
      <w:r w:rsidRPr="000450BF">
        <w:t xml:space="preserve"> </w:t>
      </w:r>
    </w:p>
    <w:p w14:paraId="628159E3" w14:textId="5264FC05" w:rsidR="00EC58CC" w:rsidRPr="000450BF" w:rsidRDefault="00EC58CC" w:rsidP="00EC58CC">
      <w:pPr>
        <w:spacing w:after="120"/>
        <w:ind w:left="1134" w:right="1134"/>
        <w:jc w:val="both"/>
      </w:pPr>
      <w:r w:rsidRPr="000450BF">
        <w:t>398.</w:t>
      </w:r>
      <w:r w:rsidRPr="000450BF">
        <w:tab/>
        <w:t>Alleged perpetrators of violations and crimes continue to occupy positions of leadership within the security apparatus, while some have</w:t>
      </w:r>
      <w:r w:rsidR="00EF2D2F" w:rsidRPr="000450BF">
        <w:t xml:space="preserve"> </w:t>
      </w:r>
      <w:r w:rsidRPr="000450BF">
        <w:t>been recently promoted.</w:t>
      </w:r>
      <w:r w:rsidRPr="000450BF">
        <w:rPr>
          <w:sz w:val="18"/>
          <w:vertAlign w:val="superscript"/>
        </w:rPr>
        <w:footnoteReference w:id="278"/>
      </w:r>
      <w:r w:rsidRPr="000450BF">
        <w:t xml:space="preserve"> </w:t>
      </w:r>
    </w:p>
    <w:p w14:paraId="17623721" w14:textId="1502EC98" w:rsidR="00EC58CC" w:rsidRPr="000450BF" w:rsidRDefault="00EC58CC" w:rsidP="00EC58CC">
      <w:pPr>
        <w:spacing w:after="120"/>
        <w:ind w:left="1134" w:right="1134"/>
        <w:jc w:val="both"/>
      </w:pPr>
      <w:r w:rsidRPr="000450BF">
        <w:t>399.</w:t>
      </w:r>
      <w:r w:rsidRPr="000450BF">
        <w:tab/>
        <w:t>Beyond the importance of guaranteeing the victims’ right to truth including being informed of the fate o</w:t>
      </w:r>
      <w:r w:rsidR="00057B51">
        <w:t xml:space="preserve">f their missing family members as well as </w:t>
      </w:r>
      <w:r w:rsidRPr="000450BF">
        <w:t>their right to reparation, there cannot be “just and sustainable reconciliation without an effective response to the need for justice”</w:t>
      </w:r>
      <w:r w:rsidR="005A3EE5" w:rsidRPr="000450BF">
        <w:t>.</w:t>
      </w:r>
      <w:r w:rsidRPr="000450BF">
        <w:rPr>
          <w:sz w:val="18"/>
          <w:vertAlign w:val="superscript"/>
        </w:rPr>
        <w:footnoteReference w:id="279"/>
      </w:r>
      <w:r w:rsidRPr="000450BF">
        <w:t xml:space="preserve"> The persistent and widespread impunity is therefore an impediment to the reconciliation of the </w:t>
      </w:r>
      <w:r w:rsidR="002E6630" w:rsidRPr="000450BF">
        <w:t>Burundian</w:t>
      </w:r>
      <w:r w:rsidRPr="000450BF">
        <w:t xml:space="preserve"> population and the resolution of the 2015 political crisis. </w:t>
      </w:r>
    </w:p>
    <w:p w14:paraId="2DE9A26A" w14:textId="7B3BB76E" w:rsidR="00EC58CC" w:rsidRPr="000450BF" w:rsidRDefault="00EC58CC" w:rsidP="00EC58CC">
      <w:pPr>
        <w:keepNext/>
        <w:keepLines/>
        <w:tabs>
          <w:tab w:val="right" w:pos="851"/>
        </w:tabs>
        <w:spacing w:before="240" w:after="120" w:line="240" w:lineRule="exact"/>
        <w:ind w:left="1134" w:right="1134"/>
        <w:jc w:val="both"/>
        <w:rPr>
          <w:i/>
        </w:rPr>
      </w:pPr>
      <w:r w:rsidRPr="000450BF">
        <w:rPr>
          <w:i/>
        </w:rPr>
        <w:tab/>
        <w:t>d)</w:t>
      </w:r>
      <w:r w:rsidRPr="000450BF">
        <w:rPr>
          <w:i/>
        </w:rPr>
        <w:tab/>
        <w:t>Failure of the inter-</w:t>
      </w:r>
      <w:r w:rsidR="002E6630" w:rsidRPr="000450BF">
        <w:rPr>
          <w:i/>
        </w:rPr>
        <w:t>Burundian</w:t>
      </w:r>
      <w:r w:rsidRPr="000450BF">
        <w:rPr>
          <w:i/>
        </w:rPr>
        <w:t xml:space="preserve"> dialogue process </w:t>
      </w:r>
    </w:p>
    <w:p w14:paraId="77088389" w14:textId="34B8932E" w:rsidR="00EC58CC" w:rsidRPr="000450BF" w:rsidRDefault="00EC58CC" w:rsidP="00EC58CC">
      <w:pPr>
        <w:spacing w:after="120"/>
        <w:ind w:left="1134" w:right="1134"/>
        <w:jc w:val="both"/>
      </w:pPr>
      <w:r w:rsidRPr="000450BF">
        <w:t>400.</w:t>
      </w:r>
      <w:r w:rsidRPr="000450BF">
        <w:tab/>
        <w:t xml:space="preserve">The political crisis that emerged from the candidacy of Pierre Nkurunziza to a </w:t>
      </w:r>
      <w:r w:rsidR="00077D82" w:rsidRPr="000450BF">
        <w:t>third term</w:t>
      </w:r>
      <w:r w:rsidRPr="000450BF">
        <w:t xml:space="preserve"> and the repression that ensued have forced numerous </w:t>
      </w:r>
      <w:r w:rsidR="002E6630" w:rsidRPr="000450BF">
        <w:t>Burundian</w:t>
      </w:r>
      <w:r w:rsidRPr="000450BF">
        <w:t>s into exile, including sever</w:t>
      </w:r>
      <w:r w:rsidR="00A302EF">
        <w:t xml:space="preserve">al political figures known as </w:t>
      </w:r>
      <w:r w:rsidRPr="000450BF">
        <w:rPr>
          <w:i/>
        </w:rPr>
        <w:t>frondeurs</w:t>
      </w:r>
      <w:r w:rsidRPr="000450BF">
        <w:t xml:space="preserve"> of the CNDD-FDD, and representatives of civil society </w:t>
      </w:r>
      <w:r w:rsidR="00D1497B" w:rsidRPr="000450BF">
        <w:t>organisation</w:t>
      </w:r>
      <w:r w:rsidR="005A3EE5" w:rsidRPr="000450BF">
        <w:t>.</w:t>
      </w:r>
      <w:r w:rsidRPr="000450BF">
        <w:rPr>
          <w:sz w:val="18"/>
          <w:vertAlign w:val="superscript"/>
        </w:rPr>
        <w:footnoteReference w:id="280"/>
      </w:r>
    </w:p>
    <w:p w14:paraId="1CAB2678" w14:textId="4A98A83E" w:rsidR="00EC58CC" w:rsidRPr="000450BF" w:rsidRDefault="00EC58CC" w:rsidP="00EC58CC">
      <w:pPr>
        <w:spacing w:after="120"/>
        <w:ind w:left="1134" w:right="1134"/>
        <w:jc w:val="both"/>
      </w:pPr>
      <w:r w:rsidRPr="000450BF">
        <w:t>401.</w:t>
      </w:r>
      <w:r w:rsidRPr="000450BF">
        <w:tab/>
        <w:t xml:space="preserve">All international community actors including representatives of the United Nations and the African Union have repeatedly insisted since the beginning of the crisis, on the necessity of an inclusive </w:t>
      </w:r>
      <w:r w:rsidR="00F61030" w:rsidRPr="000450BF">
        <w:t>inter-</w:t>
      </w:r>
      <w:r w:rsidR="002E6630" w:rsidRPr="000450BF">
        <w:t>Burundian</w:t>
      </w:r>
      <w:r w:rsidRPr="000450BF">
        <w:t xml:space="preserve"> dialogue in order to find a solution </w:t>
      </w:r>
      <w:r w:rsidR="00F61030" w:rsidRPr="000450BF">
        <w:t xml:space="preserve">to </w:t>
      </w:r>
      <w:r w:rsidRPr="000450BF">
        <w:t>the crisis while preserving the gains and the spirit of the Arusha Agreement</w:t>
      </w:r>
      <w:r w:rsidR="00456B99" w:rsidRPr="000450BF">
        <w:t>.</w:t>
      </w:r>
      <w:r w:rsidRPr="000450BF">
        <w:rPr>
          <w:sz w:val="18"/>
          <w:vertAlign w:val="superscript"/>
        </w:rPr>
        <w:footnoteReference w:id="281"/>
      </w:r>
      <w:r w:rsidRPr="000450BF">
        <w:t xml:space="preserve"> </w:t>
      </w:r>
      <w:r w:rsidR="00056336">
        <w:t>On 18 January 2018, during its Universal Periodic R</w:t>
      </w:r>
      <w:r w:rsidRPr="000450BF">
        <w:t>eview, several countries had recommended Burundi to engage in an inclusive dialogue with the opposition in order to find a solution to the crisis</w:t>
      </w:r>
      <w:r w:rsidR="00056336">
        <w:t>, recommendations not accepted b</w:t>
      </w:r>
      <w:r w:rsidRPr="000450BF">
        <w:t xml:space="preserve">y the </w:t>
      </w:r>
      <w:r w:rsidR="002E6630" w:rsidRPr="000450BF">
        <w:t>Burundian</w:t>
      </w:r>
      <w:r w:rsidRPr="000450BF">
        <w:t xml:space="preserve"> </w:t>
      </w:r>
      <w:r w:rsidR="007F5B89">
        <w:t>Government</w:t>
      </w:r>
      <w:r w:rsidR="00456B99" w:rsidRPr="000450BF">
        <w:t>.</w:t>
      </w:r>
      <w:r w:rsidRPr="000450BF">
        <w:rPr>
          <w:sz w:val="18"/>
          <w:vertAlign w:val="superscript"/>
        </w:rPr>
        <w:footnoteReference w:id="282"/>
      </w:r>
      <w:r w:rsidRPr="000450BF">
        <w:t xml:space="preserve"> Members of the International Organization of </w:t>
      </w:r>
      <w:r w:rsidRPr="000450BF">
        <w:rPr>
          <w:i/>
        </w:rPr>
        <w:t>La Francophonie</w:t>
      </w:r>
      <w:r w:rsidRPr="000450BF">
        <w:t xml:space="preserve"> </w:t>
      </w:r>
      <w:r w:rsidR="00ED4D58" w:rsidRPr="000450BF">
        <w:t xml:space="preserve">(OIF) </w:t>
      </w:r>
      <w:r w:rsidRPr="000450BF">
        <w:t xml:space="preserve">have also reiterated their support to the “efforts of the international community and most particularly the East African Community (EAC) in favour of an </w:t>
      </w:r>
      <w:r w:rsidR="00F61030" w:rsidRPr="000450BF">
        <w:t>inter-</w:t>
      </w:r>
      <w:r w:rsidR="002E6630" w:rsidRPr="000450BF">
        <w:t>Burundian</w:t>
      </w:r>
      <w:r w:rsidRPr="000450BF">
        <w:t xml:space="preserve"> political dialogue”.</w:t>
      </w:r>
      <w:r w:rsidRPr="000450BF">
        <w:rPr>
          <w:sz w:val="18"/>
          <w:vertAlign w:val="superscript"/>
        </w:rPr>
        <w:footnoteReference w:id="283"/>
      </w:r>
    </w:p>
    <w:p w14:paraId="6CEF7B45" w14:textId="61AC60A6" w:rsidR="00EC58CC" w:rsidRPr="000450BF" w:rsidRDefault="00EC58CC" w:rsidP="00EC58CC">
      <w:pPr>
        <w:spacing w:after="120"/>
        <w:ind w:left="1134" w:right="1134"/>
        <w:jc w:val="both"/>
      </w:pPr>
      <w:r w:rsidRPr="000450BF">
        <w:t>402.</w:t>
      </w:r>
      <w:r w:rsidRPr="000450BF">
        <w:tab/>
        <w:t xml:space="preserve">In fact, in accordance with the principle of subsidiarity between the African Union and the sub-regional organisations on the continent, since July 2015, the East African Community (EAC) initiated and supported the organisation of an </w:t>
      </w:r>
      <w:r w:rsidR="00F61030" w:rsidRPr="000450BF">
        <w:t>inter-</w:t>
      </w:r>
      <w:r w:rsidR="002E6630" w:rsidRPr="000450BF">
        <w:t>Burundian</w:t>
      </w:r>
      <w:r w:rsidRPr="000450BF">
        <w:t xml:space="preserve"> dialogue under the auspices of President Yoweri Museveni as the Mediator and President Benjamin Mkapa as the Facilitator</w:t>
      </w:r>
      <w:r w:rsidR="00456B99" w:rsidRPr="000450BF">
        <w:t>.</w:t>
      </w:r>
      <w:r w:rsidRPr="000450BF">
        <w:rPr>
          <w:sz w:val="18"/>
          <w:vertAlign w:val="superscript"/>
        </w:rPr>
        <w:footnoteReference w:id="284"/>
      </w:r>
      <w:r w:rsidRPr="000450BF">
        <w:t xml:space="preserve"> Despite the unanimous support of the international community and the efforts made since then, the mediation has reached an impasse. The fifth and </w:t>
      </w:r>
      <w:r w:rsidR="00562E4F">
        <w:t>last</w:t>
      </w:r>
      <w:r w:rsidRPr="000450BF">
        <w:t xml:space="preserve"> round of </w:t>
      </w:r>
      <w:r w:rsidR="00F61030" w:rsidRPr="000450BF">
        <w:t>inter-</w:t>
      </w:r>
      <w:r w:rsidR="002E6630" w:rsidRPr="000450BF">
        <w:t>Burundian</w:t>
      </w:r>
      <w:r w:rsidRPr="000450BF">
        <w:t xml:space="preserve"> talks organised in October 2018 in Arusha w</w:t>
      </w:r>
      <w:r w:rsidR="00562E4F">
        <w:t>as</w:t>
      </w:r>
      <w:r w:rsidRPr="000450BF">
        <w:t xml:space="preserve"> boycotted by the </w:t>
      </w:r>
      <w:r w:rsidR="002E6630" w:rsidRPr="000450BF">
        <w:t>Burundian</w:t>
      </w:r>
      <w:r w:rsidRPr="000450BF">
        <w:t xml:space="preserve"> </w:t>
      </w:r>
      <w:r w:rsidR="007F5B89">
        <w:t>Government</w:t>
      </w:r>
      <w:r w:rsidRPr="000450BF">
        <w:t xml:space="preserve">. The </w:t>
      </w:r>
      <w:r w:rsidR="00562E4F">
        <w:t>F</w:t>
      </w:r>
      <w:r w:rsidRPr="000450BF">
        <w:t xml:space="preserve">acilitator concluded his mission on 1 February 2019 with the presentation of his final report at the Heads of State Summit of the East African Community, </w:t>
      </w:r>
      <w:r w:rsidR="00562E4F">
        <w:t>without this leading to the</w:t>
      </w:r>
      <w:r w:rsidRPr="000450BF">
        <w:t xml:space="preserve"> beginning of a solution or concrete achievements</w:t>
      </w:r>
      <w:r w:rsidR="00456B99" w:rsidRPr="000450BF">
        <w:t>.</w:t>
      </w:r>
      <w:r w:rsidRPr="000450BF">
        <w:rPr>
          <w:sz w:val="18"/>
          <w:vertAlign w:val="superscript"/>
        </w:rPr>
        <w:footnoteReference w:id="285"/>
      </w:r>
      <w:r w:rsidRPr="000450BF">
        <w:t xml:space="preserve"> The EAC simply took note of the report and decided that the </w:t>
      </w:r>
      <w:r w:rsidR="002E6630" w:rsidRPr="000450BF">
        <w:t>Burundian</w:t>
      </w:r>
      <w:r w:rsidRPr="000450BF">
        <w:t xml:space="preserve"> question would be discussed at a later stage; without fixing a date nor appointing a new facilitator.</w:t>
      </w:r>
    </w:p>
    <w:p w14:paraId="3A58F051" w14:textId="53F50724" w:rsidR="00EC58CC" w:rsidRPr="000450BF" w:rsidRDefault="00EC58CC" w:rsidP="00EC58CC">
      <w:pPr>
        <w:spacing w:after="120"/>
        <w:ind w:left="1134" w:right="1134"/>
        <w:jc w:val="both"/>
      </w:pPr>
      <w:r w:rsidRPr="000450BF">
        <w:t>403.</w:t>
      </w:r>
      <w:r w:rsidRPr="000450BF">
        <w:tab/>
        <w:t xml:space="preserve">In its November 2018 report, the Facilitator gave an overview of the five </w:t>
      </w:r>
      <w:r w:rsidR="00562E4F">
        <w:t xml:space="preserve">sessions of </w:t>
      </w:r>
      <w:r w:rsidRPr="000450BF">
        <w:t xml:space="preserve">dialogue that he organised between May 2016 and October 2018, recalling progress made; but mostly the obstacles and difficulties encountered. According to him, from the fourth </w:t>
      </w:r>
      <w:r w:rsidR="00562E4F">
        <w:t>session</w:t>
      </w:r>
      <w:r w:rsidRPr="000450BF">
        <w:t xml:space="preserve"> organized between 27 November and 8 December 2017, the main challenges came from the </w:t>
      </w:r>
      <w:r w:rsidR="002E6630" w:rsidRPr="000450BF">
        <w:t>Burundian</w:t>
      </w:r>
      <w:r w:rsidRPr="000450BF">
        <w:t xml:space="preserve"> </w:t>
      </w:r>
      <w:r w:rsidR="007F5B89">
        <w:t>Government</w:t>
      </w:r>
      <w:r w:rsidRPr="000450BF">
        <w:t>. That session was the first opportunity for all parties to the crisis to sit around the negotiation table</w:t>
      </w:r>
      <w:r w:rsidR="00F61030" w:rsidRPr="000450BF">
        <w:t xml:space="preserve"> </w:t>
      </w:r>
      <w:r w:rsidRPr="000450BF">
        <w:t xml:space="preserve">– after having participated separately in the first three </w:t>
      </w:r>
      <w:r w:rsidR="00562E4F">
        <w:t>sessions</w:t>
      </w:r>
      <w:r w:rsidRPr="000450BF">
        <w:t xml:space="preserve"> – in order to discuss the four thematic priorities identified durin</w:t>
      </w:r>
      <w:r w:rsidR="00EF2D2F" w:rsidRPr="000450BF">
        <w:t xml:space="preserve">g the previous </w:t>
      </w:r>
      <w:r w:rsidR="00562E4F">
        <w:t>rounds</w:t>
      </w:r>
      <w:r w:rsidR="00EF2D2F" w:rsidRPr="000450BF">
        <w:t>, namely</w:t>
      </w:r>
      <w:r w:rsidRPr="000450BF">
        <w:t xml:space="preserve">: the political issues; the constitutional, legislatives and electoral issues; the humanitarian questions and the socio-economic situation; and finally the security situation. However, the </w:t>
      </w:r>
      <w:r w:rsidR="007F5B89">
        <w:t>Government</w:t>
      </w:r>
      <w:r w:rsidRPr="000450BF">
        <w:t xml:space="preserve"> of Burundi, which had requested that the fourth </w:t>
      </w:r>
      <w:r w:rsidR="00562E4F">
        <w:t>session</w:t>
      </w:r>
      <w:r w:rsidRPr="000450BF">
        <w:t xml:space="preserve"> be immediately organised, demanded that no invitation be extended to the persons who are subjects of an arrest warrant by the </w:t>
      </w:r>
      <w:r w:rsidR="002E6630" w:rsidRPr="000450BF">
        <w:t>Burundian</w:t>
      </w:r>
      <w:r w:rsidRPr="000450BF">
        <w:t xml:space="preserve"> judiciary. The Facilitator complied and this prompted members of the external opposition to cancel their participation to this </w:t>
      </w:r>
      <w:r w:rsidR="00562E4F">
        <w:t>session</w:t>
      </w:r>
      <w:r w:rsidRPr="000450BF">
        <w:t xml:space="preserve">. Then, despite the fulfilment of their requirements, the </w:t>
      </w:r>
      <w:r w:rsidR="007F5B89">
        <w:t>Government</w:t>
      </w:r>
      <w:r w:rsidRPr="000450BF">
        <w:t xml:space="preserve"> of Burundi and the CNDD-FDD party sent </w:t>
      </w:r>
      <w:r w:rsidR="004F42A0" w:rsidRPr="000450BF">
        <w:t xml:space="preserve">only </w:t>
      </w:r>
      <w:r w:rsidRPr="000450BF">
        <w:t xml:space="preserve">junior representatives. </w:t>
      </w:r>
    </w:p>
    <w:p w14:paraId="01081CC9" w14:textId="102AECFB" w:rsidR="00EC58CC" w:rsidRPr="000450BF" w:rsidRDefault="00EC58CC" w:rsidP="00EC58CC">
      <w:pPr>
        <w:spacing w:after="120"/>
        <w:ind w:left="1134" w:right="1134"/>
        <w:jc w:val="both"/>
      </w:pPr>
      <w:r w:rsidRPr="000450BF">
        <w:t>404.</w:t>
      </w:r>
      <w:r w:rsidRPr="000450BF">
        <w:tab/>
        <w:t xml:space="preserve">The Facilitator also mentioned that the preparation of the fifth and last session was postponed to 19-24 October 2018 to comply with the decision of the </w:t>
      </w:r>
      <w:r w:rsidR="002E6630" w:rsidRPr="000450BF">
        <w:t>Burundian</w:t>
      </w:r>
      <w:r w:rsidRPr="000450BF">
        <w:t xml:space="preserve"> </w:t>
      </w:r>
      <w:r w:rsidR="007F5B89">
        <w:t>Government</w:t>
      </w:r>
      <w:r w:rsidRPr="000450BF">
        <w:t xml:space="preserve"> </w:t>
      </w:r>
      <w:r w:rsidR="004F42A0" w:rsidRPr="000450BF">
        <w:t>that any</w:t>
      </w:r>
      <w:r w:rsidRPr="000450BF">
        <w:t xml:space="preserve"> activity </w:t>
      </w:r>
      <w:r w:rsidR="004F42A0" w:rsidRPr="000450BF">
        <w:t xml:space="preserve">be postponed </w:t>
      </w:r>
      <w:r w:rsidR="00031880" w:rsidRPr="000450BF">
        <w:t xml:space="preserve">to </w:t>
      </w:r>
      <w:r w:rsidRPr="000450BF">
        <w:t xml:space="preserve">after the May 2018 constitutional referendum. Then, the </w:t>
      </w:r>
      <w:r w:rsidR="007F5B89">
        <w:t>Government</w:t>
      </w:r>
      <w:r w:rsidR="00EF2D2F" w:rsidRPr="000450BF">
        <w:t xml:space="preserve"> </w:t>
      </w:r>
      <w:r w:rsidRPr="000450BF">
        <w:t xml:space="preserve">requested that the session be further postponed to 24 October 2018 </w:t>
      </w:r>
      <w:r w:rsidR="004F42A0" w:rsidRPr="000450BF">
        <w:t xml:space="preserve">to allow </w:t>
      </w:r>
      <w:r w:rsidRPr="000450BF">
        <w:t>the commemoration of the 25</w:t>
      </w:r>
      <w:r w:rsidRPr="000450BF">
        <w:rPr>
          <w:vertAlign w:val="superscript"/>
        </w:rPr>
        <w:t>th</w:t>
      </w:r>
      <w:r w:rsidRPr="000450BF">
        <w:t xml:space="preserve"> anniversary of the assassination of President Ndadaye, scheduled for 21 October 2018. The Facilitator complied once again and planned the session for 24 to 29 October. The </w:t>
      </w:r>
      <w:r w:rsidR="007F5B89">
        <w:t>Government</w:t>
      </w:r>
      <w:r w:rsidRPr="000450BF">
        <w:t xml:space="preserve"> requested yet again the postponement of this session to the month of November 2018, arguing that the month of October was a period of national mourning. It also demanded that the work programme of that session be limited to the roadmap for the preparation of the 2020 elections signed in Kayanza in August 2018 by the </w:t>
      </w:r>
      <w:r w:rsidR="00945069">
        <w:t xml:space="preserve">sole </w:t>
      </w:r>
      <w:r w:rsidRPr="000450BF">
        <w:t xml:space="preserve">opposition parties allied to the </w:t>
      </w:r>
      <w:r w:rsidR="007F5B89">
        <w:t>Government</w:t>
      </w:r>
      <w:r w:rsidRPr="000450BF">
        <w:t xml:space="preserve">; and finally the authorities requested that an advance copy of the participants list be sent to them. The Facilitator considered that the </w:t>
      </w:r>
      <w:r w:rsidR="007F5B89">
        <w:t>Government</w:t>
      </w:r>
      <w:r w:rsidRPr="000450BF">
        <w:t xml:space="preserve"> of Burundi was not really interested in the dialogue and went ahead to organise the final session without the representatives of the </w:t>
      </w:r>
      <w:r w:rsidR="002E6630" w:rsidRPr="000450BF">
        <w:t>Burundian</w:t>
      </w:r>
      <w:r w:rsidRPr="000450BF">
        <w:t xml:space="preserve"> </w:t>
      </w:r>
      <w:r w:rsidR="007F5B89">
        <w:t>Government</w:t>
      </w:r>
      <w:r w:rsidRPr="000450BF">
        <w:t>, but with several representatives of the opposition and the civil society. The participants elaborated roadmaps for the crisis recovery and the preparation of the elections, on the basis of which the Facilitator prepared a consensual roadmap which, according to him, could bring stability to Burundi.</w:t>
      </w:r>
    </w:p>
    <w:p w14:paraId="2F44F7D4" w14:textId="5088FF42" w:rsidR="00EC58CC" w:rsidRPr="000450BF" w:rsidRDefault="00EC58CC" w:rsidP="00EC58CC">
      <w:pPr>
        <w:spacing w:after="120"/>
        <w:ind w:left="1134" w:right="1134"/>
        <w:jc w:val="both"/>
      </w:pPr>
      <w:r w:rsidRPr="000450BF">
        <w:t>405.</w:t>
      </w:r>
      <w:r w:rsidRPr="000450BF">
        <w:tab/>
        <w:t xml:space="preserve">At the end of his term, the Facilitator expressed his concern regarding the political situation in Burundi, particularly in the run-up to the 2020 elections in the absence of any agreement to find a sustainable solution to the 2015 crisis. He noted that the internal dialogue process done in parallel by the </w:t>
      </w:r>
      <w:r w:rsidR="002E6630" w:rsidRPr="000450BF">
        <w:t>Burundian</w:t>
      </w:r>
      <w:r w:rsidRPr="000450BF">
        <w:t xml:space="preserve"> </w:t>
      </w:r>
      <w:r w:rsidR="007F5B89">
        <w:t>Government</w:t>
      </w:r>
      <w:r w:rsidRPr="000450BF">
        <w:t xml:space="preserve"> was an indication of its lack of commitment to the EAC facilitation and mediation process, since the result of the internal dialogue was presented as a </w:t>
      </w:r>
      <w:r w:rsidRPr="000450BF">
        <w:rPr>
          <w:i/>
        </w:rPr>
        <w:t>fait accompli</w:t>
      </w:r>
      <w:r w:rsidRPr="000450BF">
        <w:t xml:space="preserve">. Similarly, the </w:t>
      </w:r>
      <w:r w:rsidR="007F5B89">
        <w:t>Government</w:t>
      </w:r>
      <w:r w:rsidRPr="000450BF">
        <w:t xml:space="preserve"> organised the referendum to revise the </w:t>
      </w:r>
      <w:r w:rsidR="003E49F9" w:rsidRPr="000450BF">
        <w:t xml:space="preserve">Constitution </w:t>
      </w:r>
      <w:r w:rsidRPr="000450BF">
        <w:t xml:space="preserve">and, in so doing, </w:t>
      </w:r>
      <w:r w:rsidR="00945069">
        <w:t xml:space="preserve">amending </w:t>
      </w:r>
      <w:r w:rsidRPr="000450BF">
        <w:t>some provisions of the Arusha Peace Agreement; whi</w:t>
      </w:r>
      <w:r w:rsidR="00ED4D58" w:rsidRPr="000450BF">
        <w:t xml:space="preserve">le those issues </w:t>
      </w:r>
      <w:r w:rsidRPr="000450BF">
        <w:t xml:space="preserve">were </w:t>
      </w:r>
      <w:r w:rsidR="00ED4D58" w:rsidRPr="000450BF">
        <w:t>on</w:t>
      </w:r>
      <w:r w:rsidRPr="000450BF">
        <w:t xml:space="preserve"> the agenda of the </w:t>
      </w:r>
      <w:r w:rsidR="00F61030" w:rsidRPr="000450BF">
        <w:t>inter-</w:t>
      </w:r>
      <w:r w:rsidR="002E6630" w:rsidRPr="000450BF">
        <w:t>Burundian</w:t>
      </w:r>
      <w:r w:rsidRPr="000450BF">
        <w:t xml:space="preserve"> dialogue. Lastly, the Facilitator noted that the intransigent attitude of some members of the political opposition further weakened this process. Similarly, the fact that a regional Summit specifically dedicated to Burundi was not organised, the lack of a clear funding mechanism and a budget dedicated to the activities of the facilitation team, were also identified as obstacles.</w:t>
      </w:r>
    </w:p>
    <w:p w14:paraId="03E44B53" w14:textId="10102006" w:rsidR="00EC58CC" w:rsidRPr="000450BF" w:rsidRDefault="00EC58CC" w:rsidP="00EC58CC">
      <w:pPr>
        <w:spacing w:after="120"/>
        <w:ind w:left="1134" w:right="1134"/>
        <w:jc w:val="both"/>
      </w:pPr>
      <w:r w:rsidRPr="000450BF">
        <w:t>406.</w:t>
      </w:r>
      <w:r w:rsidRPr="000450BF">
        <w:tab/>
        <w:t xml:space="preserve">In fact, the </w:t>
      </w:r>
      <w:r w:rsidR="002E6630" w:rsidRPr="000450BF">
        <w:t>Burundian</w:t>
      </w:r>
      <w:r w:rsidRPr="000450BF">
        <w:t xml:space="preserve"> </w:t>
      </w:r>
      <w:r w:rsidR="007F5B89">
        <w:t>Government</w:t>
      </w:r>
      <w:r w:rsidRPr="000450BF">
        <w:t xml:space="preserve"> is in denial with regards to the reality of the 2015 crisis and</w:t>
      </w:r>
      <w:r w:rsidR="00EF2D2F" w:rsidRPr="000450BF">
        <w:t xml:space="preserve"> </w:t>
      </w:r>
      <w:r w:rsidRPr="000450BF">
        <w:t xml:space="preserve">more so with regards to its current persistence. For example, </w:t>
      </w:r>
      <w:r w:rsidR="00945069" w:rsidRPr="000450BF">
        <w:t>on 20 August 2018</w:t>
      </w:r>
      <w:r w:rsidR="00945069">
        <w:t xml:space="preserve">, </w:t>
      </w:r>
      <w:r w:rsidRPr="000450BF">
        <w:t xml:space="preserve">in a message </w:t>
      </w:r>
      <w:r w:rsidR="00945069">
        <w:t xml:space="preserve">addressed </w:t>
      </w:r>
      <w:r w:rsidRPr="000450BF">
        <w:t xml:space="preserve">to the </w:t>
      </w:r>
      <w:r w:rsidR="003E49F9" w:rsidRPr="000450BF">
        <w:t>Nation</w:t>
      </w:r>
      <w:r w:rsidR="00945069">
        <w:t xml:space="preserve"> to mark</w:t>
      </w:r>
      <w:r w:rsidRPr="000450BF">
        <w:t xml:space="preserve"> the third anniversar</w:t>
      </w:r>
      <w:r w:rsidR="00945069">
        <w:t>y of his election in 2015,</w:t>
      </w:r>
      <w:r w:rsidRPr="000450BF">
        <w:t xml:space="preserve"> President Nkurunziza declared “it was on 20 August 2015 when we were invested with the powers of leading Burundi, following free, transparent and peaceful elections</w:t>
      </w:r>
      <w:r w:rsidR="003E49F9" w:rsidRPr="000450BF">
        <w:t>”</w:t>
      </w:r>
      <w:r w:rsidR="00ED4D58" w:rsidRPr="000450BF">
        <w:t>.</w:t>
      </w:r>
      <w:r w:rsidRPr="000450BF">
        <w:rPr>
          <w:sz w:val="18"/>
          <w:vertAlign w:val="superscript"/>
        </w:rPr>
        <w:footnoteReference w:id="286"/>
      </w:r>
      <w:r w:rsidRPr="000450BF">
        <w:t xml:space="preserve"> Consequently, he refuse</w:t>
      </w:r>
      <w:r w:rsidR="00945069">
        <w:t>d</w:t>
      </w:r>
      <w:r w:rsidRPr="000450BF">
        <w:t xml:space="preserve"> to engage in a dialogue and to make concessions or to solicit the support of the international community in order to find a solution.</w:t>
      </w:r>
    </w:p>
    <w:p w14:paraId="682A5CD2" w14:textId="1966D368" w:rsidR="00EC58CC" w:rsidRPr="000450BF" w:rsidRDefault="00EC58CC" w:rsidP="00EC58CC">
      <w:pPr>
        <w:spacing w:after="120"/>
        <w:ind w:left="1134" w:right="1134"/>
        <w:jc w:val="both"/>
      </w:pPr>
      <w:r w:rsidRPr="000450BF">
        <w:t>407.</w:t>
      </w:r>
      <w:r w:rsidRPr="000450BF">
        <w:tab/>
        <w:t xml:space="preserve">On the contrary, the </w:t>
      </w:r>
      <w:r w:rsidR="007F5B89">
        <w:t>Government</w:t>
      </w:r>
      <w:r w:rsidRPr="000450BF">
        <w:t xml:space="preserve"> constantly denounces the attention given to the political situation and the human rights situation in Burundi by various international and regional actors, as interference or</w:t>
      </w:r>
      <w:r w:rsidR="00EF2D2F" w:rsidRPr="000450BF">
        <w:t xml:space="preserve"> </w:t>
      </w:r>
      <w:r w:rsidRPr="000450BF">
        <w:t>attempts to destabilize the country. It has locked itself into a rhetoric of an international conspiracy theory mounted against it and according to which any initiative from the international community constitutes a threat or an infringement on its sovereignty.</w:t>
      </w:r>
      <w:r w:rsidRPr="000450BF">
        <w:rPr>
          <w:sz w:val="18"/>
          <w:vertAlign w:val="superscript"/>
        </w:rPr>
        <w:footnoteReference w:id="287"/>
      </w:r>
      <w:r w:rsidRPr="000450BF">
        <w:t xml:space="preserve"> Fo</w:t>
      </w:r>
      <w:r w:rsidR="00945069">
        <w:t>r example, on 22 may 2019, the F</w:t>
      </w:r>
      <w:r w:rsidRPr="000450BF">
        <w:t xml:space="preserve">irst Vice-president of Burundi declared that an international conspiracy against Burundi </w:t>
      </w:r>
      <w:r w:rsidR="00945069">
        <w:t xml:space="preserve">had </w:t>
      </w:r>
      <w:r w:rsidRPr="000450BF">
        <w:t>started five years ago</w:t>
      </w:r>
      <w:r w:rsidR="00945069">
        <w:t xml:space="preserve"> but </w:t>
      </w:r>
      <w:r w:rsidRPr="000450BF">
        <w:t>the mediation process ha</w:t>
      </w:r>
      <w:r w:rsidR="00945069">
        <w:t>d</w:t>
      </w:r>
      <w:r w:rsidRPr="000450BF">
        <w:t xml:space="preserve"> now concluded and the priority was the preparation of the 2020 elections</w:t>
      </w:r>
      <w:r w:rsidR="00456B99" w:rsidRPr="000450BF">
        <w:t>.</w:t>
      </w:r>
      <w:r w:rsidRPr="000450BF">
        <w:rPr>
          <w:sz w:val="18"/>
          <w:vertAlign w:val="superscript"/>
        </w:rPr>
        <w:footnoteReference w:id="288"/>
      </w:r>
      <w:r w:rsidRPr="000450BF">
        <w:t xml:space="preserve"> </w:t>
      </w:r>
    </w:p>
    <w:p w14:paraId="3C37C62F" w14:textId="77777777" w:rsidR="00EC58CC" w:rsidRPr="000450BF" w:rsidRDefault="00EC58CC" w:rsidP="00EC58CC">
      <w:pPr>
        <w:keepNext/>
        <w:keepLines/>
        <w:tabs>
          <w:tab w:val="right" w:pos="851"/>
        </w:tabs>
        <w:spacing w:before="240" w:after="120" w:line="240" w:lineRule="exact"/>
        <w:ind w:left="1134" w:right="1134"/>
        <w:jc w:val="both"/>
        <w:rPr>
          <w:b/>
        </w:rPr>
      </w:pPr>
      <w:r w:rsidRPr="000450BF">
        <w:rPr>
          <w:b/>
        </w:rPr>
        <w:tab/>
        <w:t>2.</w:t>
      </w:r>
      <w:r w:rsidRPr="000450BF">
        <w:rPr>
          <w:b/>
        </w:rPr>
        <w:tab/>
        <w:t>2020 Elections</w:t>
      </w:r>
    </w:p>
    <w:p w14:paraId="42BACBCC" w14:textId="0DC5EE2A" w:rsidR="00EC58CC" w:rsidRPr="000450BF" w:rsidRDefault="00EC58CC" w:rsidP="00EC58CC">
      <w:pPr>
        <w:spacing w:after="120"/>
        <w:ind w:left="1134" w:right="1134"/>
        <w:jc w:val="both"/>
      </w:pPr>
      <w:r w:rsidRPr="000450BF">
        <w:t>408.</w:t>
      </w:r>
      <w:r w:rsidRPr="000450BF">
        <w:tab/>
        <w:t xml:space="preserve">The holding of regular, transparent, free and fair elections is the fundamental principle of a functioning democratic </w:t>
      </w:r>
      <w:r w:rsidR="007F5B89">
        <w:t>Government</w:t>
      </w:r>
      <w:r w:rsidR="00ED4D58" w:rsidRPr="000450BF">
        <w:t>,</w:t>
      </w:r>
      <w:r w:rsidRPr="000450BF">
        <w:rPr>
          <w:sz w:val="18"/>
          <w:vertAlign w:val="superscript"/>
        </w:rPr>
        <w:footnoteReference w:id="289"/>
      </w:r>
      <w:r w:rsidRPr="000450BF">
        <w:t xml:space="preserve"> however, in and of themselves, they are</w:t>
      </w:r>
      <w:r w:rsidR="00EF2D2F" w:rsidRPr="000450BF">
        <w:t xml:space="preserve"> </w:t>
      </w:r>
      <w:r w:rsidRPr="000450BF">
        <w:t>not sufficient if they do not happen in an environment that promotes “the democratic practice and culture, the building and strengthening of governance institutions and the inculcation of political pluralism and tolerance”</w:t>
      </w:r>
      <w:r w:rsidR="00456B99" w:rsidRPr="000450BF">
        <w:t>,</w:t>
      </w:r>
      <w:r w:rsidRPr="000450BF">
        <w:rPr>
          <w:sz w:val="18"/>
          <w:vertAlign w:val="superscript"/>
        </w:rPr>
        <w:footnoteReference w:id="290"/>
      </w:r>
      <w:r w:rsidRPr="000450BF">
        <w:t xml:space="preserve"> as well as the “creation of the necessary conditions to foster citizen participation, transparency, access to information, freedom of the press and accountability in the management of public affairs”</w:t>
      </w:r>
      <w:r w:rsidR="00456B99" w:rsidRPr="000450BF">
        <w:t>.</w:t>
      </w:r>
      <w:r w:rsidRPr="000450BF">
        <w:rPr>
          <w:sz w:val="18"/>
          <w:vertAlign w:val="superscript"/>
        </w:rPr>
        <w:footnoteReference w:id="291"/>
      </w:r>
    </w:p>
    <w:p w14:paraId="132918F8" w14:textId="6835AAD5" w:rsidR="00EC58CC" w:rsidRPr="000450BF" w:rsidRDefault="00EC58CC" w:rsidP="00EC58CC">
      <w:pPr>
        <w:spacing w:after="120"/>
        <w:ind w:left="1134" w:right="1134"/>
        <w:jc w:val="both"/>
      </w:pPr>
      <w:r w:rsidRPr="000450BF">
        <w:t>409.</w:t>
      </w:r>
      <w:r w:rsidRPr="000450BF">
        <w:tab/>
        <w:t xml:space="preserve">Several objective indicators help to establish if elections are free and credible, for example the fact that elections are organised at regular interval; that suffrage is universal and egalitarian; that the right of citizens to stand for elections is guaranteed </w:t>
      </w:r>
      <w:r w:rsidR="0064344D" w:rsidRPr="000450BF">
        <w:t xml:space="preserve">in law </w:t>
      </w:r>
      <w:r w:rsidRPr="000450BF">
        <w:t>and in practice; as is the right to setup political parties that are able to participate in equal measure in elections; that the electoral campaign happens in an open and fair context, free of administrative acts, violent actions or intimation of candidates, political parties or voters; that the access to media is not restricted nor discriminatory; that votes are done by secret ballot, that they are honestly counted and tallied and that results are made public; and finally that candidates who obtain the necessary number of votes are duly installed in office and permitted to remain in office until their term expires.</w:t>
      </w:r>
      <w:r w:rsidRPr="000450BF">
        <w:rPr>
          <w:sz w:val="18"/>
          <w:vertAlign w:val="superscript"/>
        </w:rPr>
        <w:footnoteReference w:id="292"/>
      </w:r>
    </w:p>
    <w:p w14:paraId="2AAF9CFD" w14:textId="773E8D50" w:rsidR="00EC58CC" w:rsidRPr="000450BF" w:rsidRDefault="00EC58CC" w:rsidP="00EC58CC">
      <w:pPr>
        <w:spacing w:after="120"/>
        <w:ind w:left="1134" w:right="1134"/>
        <w:jc w:val="both"/>
      </w:pPr>
      <w:r w:rsidRPr="000450BF">
        <w:t>410.</w:t>
      </w:r>
      <w:r w:rsidRPr="000450BF">
        <w:tab/>
        <w:t>Beyond these specific elements to the electoral process itself</w:t>
      </w:r>
      <w:r w:rsidR="0064344D" w:rsidRPr="000450BF">
        <w:t>,</w:t>
      </w:r>
      <w:r w:rsidRPr="000450BF">
        <w:t xml:space="preserve"> to be free, transparent, fair and credible</w:t>
      </w:r>
      <w:r w:rsidR="0064344D" w:rsidRPr="000450BF">
        <w:t>,</w:t>
      </w:r>
      <w:r w:rsidRPr="000450BF">
        <w:t xml:space="preserve"> elections must take place in a “democratic space” in which the enjoyment of fundamental rights, particularly the rights of freedom of opinion, expression and information, and the rights to freedom of peaceful assembly and association and the right to participate in public life are guaranteed, respected and protected both in law and in practice. A truly democratic space implies that the State and the ruling party are clearly separate and distinct and therefore, no public resources are used for the benefit of a candidate or the ruling party, including the involvement of public officials and employees in the electoral campaign.</w:t>
      </w:r>
      <w:r w:rsidRPr="000450BF">
        <w:rPr>
          <w:sz w:val="18"/>
          <w:vertAlign w:val="superscript"/>
        </w:rPr>
        <w:footnoteReference w:id="293"/>
      </w:r>
    </w:p>
    <w:p w14:paraId="2E2666E9" w14:textId="7A1F44AE" w:rsidR="00EC58CC" w:rsidRPr="000450BF" w:rsidRDefault="00EC58CC" w:rsidP="00EC58CC">
      <w:pPr>
        <w:spacing w:after="120"/>
        <w:ind w:left="1134" w:right="1134"/>
        <w:jc w:val="both"/>
      </w:pPr>
      <w:r w:rsidRPr="000450BF">
        <w:t>411.</w:t>
      </w:r>
      <w:r w:rsidRPr="000450BF">
        <w:tab/>
        <w:t>The preparation of the 2020 presidential and legislative elections in Burundi officially started</w:t>
      </w:r>
      <w:r w:rsidR="00927F87">
        <w:t xml:space="preserve"> in</w:t>
      </w:r>
      <w:r w:rsidRPr="000450BF">
        <w:t xml:space="preserve"> 2018 with the holding of the constitutional referendum on 17 May 2018, the signing of the roadmap for the elections preparation in Kayanza in August 2018 by</w:t>
      </w:r>
      <w:r w:rsidR="00ED4D58" w:rsidRPr="000450BF">
        <w:t xml:space="preserve"> </w:t>
      </w:r>
      <w:r w:rsidRPr="000450BF">
        <w:t xml:space="preserve">CNDD-FDD and 24 opposition parties loyal to the </w:t>
      </w:r>
      <w:r w:rsidR="007F5B89">
        <w:t>Government</w:t>
      </w:r>
      <w:r w:rsidRPr="000450BF">
        <w:t>, the collection of “voluntary” and mandatory contributions from the population for the organisation of these elections, the creation of the new Independent National Election Commission (CENI) and the progressive setup of its subdivisions at the provincial and communal levels, as well as the adoption of a new Electoral Code.</w:t>
      </w:r>
      <w:r w:rsidRPr="000450BF">
        <w:rPr>
          <w:sz w:val="18"/>
          <w:vertAlign w:val="superscript"/>
        </w:rPr>
        <w:footnoteReference w:id="294"/>
      </w:r>
    </w:p>
    <w:p w14:paraId="1246B9AF" w14:textId="14A83B29" w:rsidR="00EC58CC" w:rsidRPr="000450BF" w:rsidRDefault="00EC58CC" w:rsidP="00EC58CC">
      <w:pPr>
        <w:spacing w:after="120"/>
        <w:ind w:left="1134" w:right="1134"/>
        <w:jc w:val="both"/>
      </w:pPr>
      <w:r w:rsidRPr="000450BF">
        <w:t>412.</w:t>
      </w:r>
      <w:r w:rsidRPr="000450BF">
        <w:tab/>
        <w:t xml:space="preserve">In addition, </w:t>
      </w:r>
      <w:r w:rsidR="00ED4D58" w:rsidRPr="000450BF">
        <w:t xml:space="preserve">the </w:t>
      </w:r>
      <w:r w:rsidRPr="000450BF">
        <w:t>CENI has already communicated the electoral calendar:</w:t>
      </w:r>
    </w:p>
    <w:p w14:paraId="3E4E3B87" w14:textId="5740ECCA" w:rsidR="00EC58CC" w:rsidRPr="000450BF" w:rsidRDefault="00EC58CC" w:rsidP="00EC58CC">
      <w:pPr>
        <w:spacing w:after="120"/>
        <w:ind w:left="1134" w:right="1134"/>
        <w:jc w:val="both"/>
      </w:pPr>
      <w:r w:rsidRPr="000450BF">
        <w:t xml:space="preserve">- 20 May 2020: Presidential election, elections of </w:t>
      </w:r>
      <w:r w:rsidR="00927F87">
        <w:t>members of the National Assembly</w:t>
      </w:r>
      <w:r w:rsidR="00927F87" w:rsidRPr="000450BF">
        <w:t xml:space="preserve"> </w:t>
      </w:r>
      <w:r w:rsidR="00927F87">
        <w:t xml:space="preserve">and of </w:t>
      </w:r>
      <w:r w:rsidRPr="000450BF">
        <w:t>the communal councils;</w:t>
      </w:r>
    </w:p>
    <w:p w14:paraId="5A4E726C" w14:textId="79BB92FD" w:rsidR="00EC58CC" w:rsidRPr="000450BF" w:rsidRDefault="00927F87" w:rsidP="00EC58CC">
      <w:pPr>
        <w:spacing w:after="120"/>
        <w:ind w:left="1134" w:right="1134"/>
        <w:jc w:val="both"/>
      </w:pPr>
      <w:r>
        <w:t>- 20 July 2020: Elections of Se</w:t>
      </w:r>
      <w:r w:rsidR="00EC58CC" w:rsidRPr="000450BF">
        <w:t>nators;</w:t>
      </w:r>
    </w:p>
    <w:p w14:paraId="0E8884E9" w14:textId="078D5327" w:rsidR="00EC58CC" w:rsidRPr="000450BF" w:rsidRDefault="00EC58CC" w:rsidP="00EC58CC">
      <w:pPr>
        <w:spacing w:after="120"/>
        <w:ind w:left="1134" w:right="1134"/>
        <w:jc w:val="both"/>
      </w:pPr>
      <w:r w:rsidRPr="000450BF">
        <w:t xml:space="preserve">- 24 August 2020: Elections of the </w:t>
      </w:r>
      <w:r w:rsidR="00927F87">
        <w:t xml:space="preserve">members of the </w:t>
      </w:r>
      <w:r w:rsidRPr="000450BF">
        <w:t xml:space="preserve">councils at the </w:t>
      </w:r>
      <w:r w:rsidRPr="000450BF">
        <w:rPr>
          <w:i/>
        </w:rPr>
        <w:t>collines</w:t>
      </w:r>
      <w:r w:rsidRPr="000450BF">
        <w:t xml:space="preserve"> and neighbourhood levels.</w:t>
      </w:r>
    </w:p>
    <w:p w14:paraId="265F92CC" w14:textId="754283A5" w:rsidR="00EC58CC" w:rsidRPr="000450BF" w:rsidRDefault="00EC58CC" w:rsidP="00EC58CC">
      <w:pPr>
        <w:spacing w:after="120"/>
        <w:ind w:left="1134" w:right="1134"/>
        <w:jc w:val="both"/>
      </w:pPr>
      <w:r w:rsidRPr="000450BF">
        <w:t>413.</w:t>
      </w:r>
      <w:r w:rsidRPr="000450BF">
        <w:tab/>
        <w:t>Nevertheless, it is clear that the conditions for free, fair and credible elections are not met at this point in time.</w:t>
      </w:r>
      <w:r w:rsidR="00EF2D2F" w:rsidRPr="000450BF">
        <w:t xml:space="preserve"> </w:t>
      </w:r>
    </w:p>
    <w:p w14:paraId="3B8F5FC5" w14:textId="2E5BEB3B" w:rsidR="00EC58CC" w:rsidRPr="000450BF" w:rsidRDefault="00EC58CC" w:rsidP="00EC58CC">
      <w:pPr>
        <w:keepNext/>
        <w:keepLines/>
        <w:tabs>
          <w:tab w:val="right" w:pos="851"/>
        </w:tabs>
        <w:spacing w:before="240" w:after="120" w:line="240" w:lineRule="exact"/>
        <w:ind w:left="1134" w:right="1134"/>
        <w:jc w:val="both"/>
        <w:rPr>
          <w:i/>
        </w:rPr>
      </w:pPr>
      <w:r w:rsidRPr="000450BF">
        <w:rPr>
          <w:i/>
        </w:rPr>
        <w:t>a)</w:t>
      </w:r>
      <w:r w:rsidRPr="000450BF">
        <w:rPr>
          <w:i/>
        </w:rPr>
        <w:tab/>
        <w:t xml:space="preserve">Shrinking of the democratic space </w:t>
      </w:r>
    </w:p>
    <w:p w14:paraId="0659E33C" w14:textId="261F3514" w:rsidR="00EC58CC" w:rsidRPr="000450BF" w:rsidRDefault="00EC58CC" w:rsidP="00EC58CC">
      <w:pPr>
        <w:spacing w:after="120"/>
        <w:ind w:left="1134" w:right="1134"/>
        <w:jc w:val="both"/>
        <w:rPr>
          <w:b/>
        </w:rPr>
      </w:pPr>
      <w:r w:rsidRPr="000450BF">
        <w:t>414.</w:t>
      </w:r>
      <w:r w:rsidRPr="000450BF">
        <w:tab/>
        <w:t xml:space="preserve">The democratic space in Burundi started to shrink significantly from the beginning of the 2015 political crisis with the suspension or the closing of media organs, civil society organisations, the attacks against journalists and human rights activists and the increase of violations of </w:t>
      </w:r>
      <w:r w:rsidR="00ED4D58" w:rsidRPr="000450BF">
        <w:t xml:space="preserve">civil </w:t>
      </w:r>
      <w:r w:rsidRPr="000450BF">
        <w:t>liberties.</w:t>
      </w:r>
      <w:r w:rsidRPr="000450BF">
        <w:rPr>
          <w:sz w:val="18"/>
          <w:vertAlign w:val="superscript"/>
        </w:rPr>
        <w:footnoteReference w:id="295"/>
      </w:r>
      <w:r w:rsidRPr="000450BF">
        <w:t xml:space="preserve"> The organisation of the May 2018 constitutional referendum and the ongoing preparation of the 2020 elections have triggered anew the shrinking of the democratic space with an increased control </w:t>
      </w:r>
      <w:r w:rsidR="00927F87">
        <w:t>by the Government</w:t>
      </w:r>
      <w:r w:rsidR="00927F87" w:rsidRPr="000450BF">
        <w:t xml:space="preserve"> </w:t>
      </w:r>
      <w:r w:rsidRPr="000450BF">
        <w:t>of the non-</w:t>
      </w:r>
      <w:r w:rsidR="00927F87">
        <w:t>g</w:t>
      </w:r>
      <w:r w:rsidR="007F5B89">
        <w:t>overnment</w:t>
      </w:r>
      <w:r w:rsidRPr="000450BF">
        <w:t xml:space="preserve">al organisations and </w:t>
      </w:r>
      <w:r w:rsidR="00927F87" w:rsidRPr="000450BF">
        <w:t xml:space="preserve">censure </w:t>
      </w:r>
      <w:r w:rsidR="00927F87">
        <w:t xml:space="preserve">of </w:t>
      </w:r>
      <w:r w:rsidRPr="000450BF">
        <w:t>media</w:t>
      </w:r>
      <w:r w:rsidR="00927F87">
        <w:t>m while</w:t>
      </w:r>
      <w:r w:rsidRPr="000450BF">
        <w:t xml:space="preserve"> the independent national institutions</w:t>
      </w:r>
      <w:r w:rsidR="00ED4D58" w:rsidRPr="000450BF">
        <w:t xml:space="preserve"> that are </w:t>
      </w:r>
      <w:r w:rsidRPr="000450BF">
        <w:t>competent in human rights matters</w:t>
      </w:r>
      <w:r w:rsidR="00ED4D58" w:rsidRPr="000450BF">
        <w:t>,</w:t>
      </w:r>
      <w:r w:rsidRPr="000450BF">
        <w:t xml:space="preserve"> have lost all credibility</w:t>
      </w:r>
      <w:r w:rsidRPr="000450BF">
        <w:rPr>
          <w:sz w:val="18"/>
          <w:vertAlign w:val="superscript"/>
        </w:rPr>
        <w:footnoteReference w:id="296"/>
      </w:r>
      <w:r w:rsidRPr="000450BF">
        <w:t>.</w:t>
      </w:r>
    </w:p>
    <w:p w14:paraId="416F2008" w14:textId="4D53DE29" w:rsidR="00EC58CC" w:rsidRPr="000450BF" w:rsidRDefault="00EC58CC" w:rsidP="00EC58CC">
      <w:pPr>
        <w:keepNext/>
        <w:keepLines/>
        <w:tabs>
          <w:tab w:val="right" w:pos="851"/>
        </w:tabs>
        <w:spacing w:before="240" w:after="120" w:line="240" w:lineRule="exact"/>
        <w:ind w:left="1134" w:right="1134" w:hanging="1134"/>
        <w:jc w:val="both"/>
      </w:pPr>
      <w:r w:rsidRPr="000450BF">
        <w:tab/>
      </w:r>
      <w:r w:rsidRPr="000450BF">
        <w:tab/>
        <w:t>(i)</w:t>
      </w:r>
      <w:r w:rsidRPr="000450BF">
        <w:tab/>
      </w:r>
      <w:r w:rsidR="00772770" w:rsidRPr="000450BF">
        <w:t xml:space="preserve">Closure </w:t>
      </w:r>
      <w:r w:rsidRPr="000450BF">
        <w:t xml:space="preserve">of the Office of </w:t>
      </w:r>
      <w:r w:rsidR="00772770" w:rsidRPr="000450BF">
        <w:t xml:space="preserve">High </w:t>
      </w:r>
      <w:r w:rsidR="00ED4D58" w:rsidRPr="000450BF">
        <w:t xml:space="preserve">Commissioner for </w:t>
      </w:r>
      <w:r w:rsidRPr="000450BF">
        <w:t xml:space="preserve">Human Rights </w:t>
      </w:r>
    </w:p>
    <w:p w14:paraId="5F2CA553" w14:textId="5C4043CC" w:rsidR="00EC58CC" w:rsidRPr="000450BF" w:rsidRDefault="00EC58CC" w:rsidP="00EC58CC">
      <w:pPr>
        <w:spacing w:after="120"/>
        <w:ind w:left="1134" w:right="1134"/>
        <w:jc w:val="both"/>
      </w:pPr>
      <w:r w:rsidRPr="000450BF">
        <w:t>415.</w:t>
      </w:r>
      <w:r w:rsidRPr="000450BF">
        <w:tab/>
        <w:t xml:space="preserve">On 5 December 2018, the </w:t>
      </w:r>
      <w:r w:rsidR="007F5B89">
        <w:t>Government</w:t>
      </w:r>
      <w:r w:rsidRPr="000450BF">
        <w:t xml:space="preserve"> of Burundi sent a letter to the United Nations Office of the High Commissioner for Human Rights requesting that </w:t>
      </w:r>
      <w:r w:rsidR="00772770" w:rsidRPr="000450BF">
        <w:t xml:space="preserve">its country </w:t>
      </w:r>
      <w:r w:rsidRPr="000450BF">
        <w:t xml:space="preserve">Office </w:t>
      </w:r>
      <w:r w:rsidR="00772770" w:rsidRPr="000450BF">
        <w:t xml:space="preserve">in Burundi </w:t>
      </w:r>
      <w:r w:rsidRPr="000450BF">
        <w:t xml:space="preserve">ceases its activities within two months. As a reminder, </w:t>
      </w:r>
      <w:r w:rsidR="00772770" w:rsidRPr="000450BF">
        <w:t xml:space="preserve">this </w:t>
      </w:r>
      <w:r w:rsidR="00927F87">
        <w:t>O</w:t>
      </w:r>
      <w:r w:rsidRPr="000450BF">
        <w:t xml:space="preserve">ffice had reduced its activities since 11 October 2016 as </w:t>
      </w:r>
      <w:r w:rsidR="00772770" w:rsidRPr="000450BF">
        <w:t xml:space="preserve">it </w:t>
      </w:r>
      <w:r w:rsidRPr="000450BF">
        <w:t xml:space="preserve">awaited the renewal of the Headquarters Agreement between the United Nations and Burundi. In September 2017, the </w:t>
      </w:r>
      <w:r w:rsidR="002E6630" w:rsidRPr="000450BF">
        <w:t>Burundian</w:t>
      </w:r>
      <w:r w:rsidRPr="000450BF">
        <w:t xml:space="preserve"> </w:t>
      </w:r>
      <w:r w:rsidR="007F5B89">
        <w:t>Government</w:t>
      </w:r>
      <w:r w:rsidRPr="000450BF">
        <w:t xml:space="preserve"> had however confirmed to the Human Rights Council its decision to “restore its complete cooperation with the Human Rights Council and the United Nations Office of the High Commissioner for Human Rights, including by providing full and complete cooperation with the Office of the High Commissioner in Bujumbura</w:t>
      </w:r>
      <w:r w:rsidR="00772770" w:rsidRPr="000450BF">
        <w:t>”.</w:t>
      </w:r>
      <w:r w:rsidRPr="000450BF">
        <w:rPr>
          <w:sz w:val="18"/>
          <w:vertAlign w:val="superscript"/>
        </w:rPr>
        <w:footnoteReference w:id="297"/>
      </w:r>
      <w:r w:rsidRPr="000450BF">
        <w:t xml:space="preserve"> It </w:t>
      </w:r>
      <w:r w:rsidR="00927F87">
        <w:t>appears that it was</w:t>
      </w:r>
      <w:r w:rsidRPr="000450BF">
        <w:t xml:space="preserve"> manoeuvring by the </w:t>
      </w:r>
      <w:r w:rsidR="007F5B89">
        <w:t>Government</w:t>
      </w:r>
      <w:r w:rsidRPr="000450BF">
        <w:t xml:space="preserve"> to attempt to block the renewal of the present Commission, given that a few months later, in January 2018, during its </w:t>
      </w:r>
      <w:r w:rsidR="00772770" w:rsidRPr="000450BF">
        <w:t>Universal Periodic Review</w:t>
      </w:r>
      <w:r w:rsidRPr="000450BF">
        <w:t xml:space="preserve">, the </w:t>
      </w:r>
      <w:r w:rsidR="007F5B89">
        <w:t>Government</w:t>
      </w:r>
      <w:r w:rsidRPr="000450BF">
        <w:t xml:space="preserve"> </w:t>
      </w:r>
      <w:r w:rsidR="00927F87">
        <w:t>did not accept</w:t>
      </w:r>
      <w:r w:rsidRPr="000450BF">
        <w:t xml:space="preserve"> </w:t>
      </w:r>
      <w:r w:rsidR="00772770" w:rsidRPr="000450BF">
        <w:t xml:space="preserve">the numerous </w:t>
      </w:r>
      <w:r w:rsidRPr="000450BF">
        <w:t xml:space="preserve">recommendations to that effect that had been submitted </w:t>
      </w:r>
      <w:r w:rsidR="00772770" w:rsidRPr="000450BF">
        <w:t xml:space="preserve">for </w:t>
      </w:r>
      <w:r w:rsidRPr="000450BF">
        <w:t xml:space="preserve">its </w:t>
      </w:r>
      <w:r w:rsidR="00772770" w:rsidRPr="000450BF">
        <w:t xml:space="preserve">consideration </w:t>
      </w:r>
      <w:r w:rsidRPr="000450BF">
        <w:t xml:space="preserve">by </w:t>
      </w:r>
      <w:r w:rsidR="00772770" w:rsidRPr="000450BF">
        <w:t xml:space="preserve">various </w:t>
      </w:r>
      <w:r w:rsidRPr="000450BF">
        <w:t>States.</w:t>
      </w:r>
    </w:p>
    <w:p w14:paraId="4ECF59DC" w14:textId="2888004A" w:rsidR="00EC58CC" w:rsidRPr="000450BF" w:rsidRDefault="00EC58CC" w:rsidP="00EC58CC">
      <w:pPr>
        <w:spacing w:after="120"/>
        <w:ind w:left="1134" w:right="1134"/>
        <w:jc w:val="both"/>
      </w:pPr>
      <w:r w:rsidRPr="000450BF">
        <w:t>416.</w:t>
      </w:r>
      <w:r w:rsidRPr="000450BF">
        <w:tab/>
        <w:t xml:space="preserve">On 28 February 2019, </w:t>
      </w:r>
      <w:r w:rsidR="00772770" w:rsidRPr="000450BF">
        <w:t xml:space="preserve">the Office was then closed, </w:t>
      </w:r>
      <w:r w:rsidRPr="000450BF">
        <w:t xml:space="preserve">after 23 years in the country </w:t>
      </w:r>
      <w:r w:rsidR="00772770" w:rsidRPr="000450BF">
        <w:t>working</w:t>
      </w:r>
      <w:r w:rsidRPr="000450BF">
        <w:t xml:space="preserve"> to support the peace consolidation and the reform of the security and justice sectors, despite the regressions and countless difficulties. It had also contributed to the capacity building of some of the </w:t>
      </w:r>
      <w:r w:rsidR="00927F87">
        <w:t>S</w:t>
      </w:r>
      <w:r w:rsidRPr="000450BF">
        <w:t xml:space="preserve">tate institutions and the civil society in human rights related issues. </w:t>
      </w:r>
    </w:p>
    <w:p w14:paraId="03B73EAB" w14:textId="6362B1D1" w:rsidR="00EC58CC" w:rsidRPr="000450BF" w:rsidRDefault="00EC58CC" w:rsidP="00EC58CC">
      <w:pPr>
        <w:spacing w:after="120"/>
        <w:ind w:left="1134" w:right="1134"/>
        <w:jc w:val="both"/>
        <w:rPr>
          <w:b/>
        </w:rPr>
      </w:pPr>
      <w:r w:rsidRPr="000450BF">
        <w:t>417.</w:t>
      </w:r>
      <w:r w:rsidRPr="000450BF">
        <w:tab/>
        <w:t xml:space="preserve">The </w:t>
      </w:r>
      <w:r w:rsidR="007F5B89">
        <w:t>Government</w:t>
      </w:r>
      <w:r w:rsidRPr="000450BF">
        <w:t xml:space="preserve"> of Burundi justified its decision by explaining that </w:t>
      </w:r>
      <w:r w:rsidR="006C020C" w:rsidRPr="000450BF">
        <w:t xml:space="preserve">from </w:t>
      </w:r>
      <w:r w:rsidRPr="000450BF">
        <w:t>now</w:t>
      </w:r>
      <w:r w:rsidR="006C020C" w:rsidRPr="000450BF">
        <w:t xml:space="preserve"> on</w:t>
      </w:r>
      <w:r w:rsidRPr="000450BF">
        <w:t xml:space="preserve">, the country </w:t>
      </w:r>
      <w:r w:rsidR="006C020C" w:rsidRPr="000450BF">
        <w:t xml:space="preserve">has </w:t>
      </w:r>
      <w:r w:rsidRPr="000450BF">
        <w:t xml:space="preserve">national mechanisms for the protection of human rights, which in some way were going to take over from the Office of the High Commissioner for Human Rights with regards to all matters related to </w:t>
      </w:r>
      <w:r w:rsidR="00927F87">
        <w:t>h</w:t>
      </w:r>
      <w:r w:rsidRPr="000450BF">
        <w:t xml:space="preserve">uman </w:t>
      </w:r>
      <w:r w:rsidR="00927F87">
        <w:t>r</w:t>
      </w:r>
      <w:r w:rsidRPr="000450BF">
        <w:t>ights. However, the closure of the office leaves a gap in terms of</w:t>
      </w:r>
      <w:r w:rsidR="00EF2D2F" w:rsidRPr="000450BF">
        <w:t xml:space="preserve"> </w:t>
      </w:r>
      <w:r w:rsidRPr="000450BF">
        <w:t xml:space="preserve">monitoring, defence and promotion of human rights in Burundi, which are rather crucial for maintaining a democratic space. </w:t>
      </w:r>
      <w:r w:rsidR="00927F87">
        <w:t>Currently, t</w:t>
      </w:r>
      <w:r w:rsidRPr="000450BF">
        <w:t xml:space="preserve">he national human rights </w:t>
      </w:r>
      <w:r w:rsidR="006C020C" w:rsidRPr="000450BF">
        <w:t xml:space="preserve">institutions </w:t>
      </w:r>
      <w:r w:rsidRPr="000450BF">
        <w:t>are not able to fulfil these functions in a credible and effective manner</w:t>
      </w:r>
      <w:r w:rsidR="002B3A7E">
        <w:t>. T</w:t>
      </w:r>
      <w:r w:rsidRPr="000450BF">
        <w:t xml:space="preserve">he international and national civil society </w:t>
      </w:r>
      <w:r w:rsidR="002B3A7E">
        <w:t xml:space="preserve">is not in a position </w:t>
      </w:r>
      <w:r w:rsidRPr="000450BF">
        <w:t>to carry out activities for the monitoring or promotion of human rights since it is closely monitored by the authorities.</w:t>
      </w:r>
    </w:p>
    <w:p w14:paraId="27EBCF42" w14:textId="1CC9BF7C" w:rsidR="00EC58CC" w:rsidRPr="000450BF" w:rsidRDefault="00EC58CC" w:rsidP="00EC58CC">
      <w:pPr>
        <w:keepNext/>
        <w:keepLines/>
        <w:tabs>
          <w:tab w:val="right" w:pos="851"/>
        </w:tabs>
        <w:spacing w:before="240" w:after="120" w:line="240" w:lineRule="exact"/>
        <w:ind w:left="1134" w:right="1134" w:hanging="1134"/>
        <w:jc w:val="both"/>
      </w:pPr>
      <w:r w:rsidRPr="000450BF">
        <w:tab/>
      </w:r>
      <w:r w:rsidRPr="000450BF">
        <w:tab/>
        <w:t>(ii)</w:t>
      </w:r>
      <w:r w:rsidRPr="000450BF">
        <w:tab/>
      </w:r>
      <w:r w:rsidR="00456B99" w:rsidRPr="000450BF">
        <w:t xml:space="preserve">National </w:t>
      </w:r>
      <w:r w:rsidRPr="000450BF">
        <w:t xml:space="preserve">Human Rights Institutions </w:t>
      </w:r>
    </w:p>
    <w:p w14:paraId="1C7AE61A" w14:textId="640FA1CC" w:rsidR="00EC58CC" w:rsidRPr="000450BF" w:rsidRDefault="00EC58CC" w:rsidP="00EC58CC">
      <w:pPr>
        <w:spacing w:after="120"/>
        <w:ind w:left="1134" w:right="1134"/>
        <w:jc w:val="both"/>
      </w:pPr>
      <w:r w:rsidRPr="000450BF">
        <w:t>418.</w:t>
      </w:r>
      <w:r w:rsidRPr="000450BF">
        <w:tab/>
        <w:t xml:space="preserve">There are three national institutions which are officially mandated to independently protect and promote human rights: The Independent National Commission for Human Rights (CNIDH); the National Observatory for the </w:t>
      </w:r>
      <w:r w:rsidR="002B3A7E">
        <w:t>Prevention and the R</w:t>
      </w:r>
      <w:r w:rsidRPr="000450BF">
        <w:t xml:space="preserve">radication of the </w:t>
      </w:r>
      <w:r w:rsidR="002B3A7E">
        <w:t>Crime of Genocide, W</w:t>
      </w:r>
      <w:r w:rsidRPr="000450BF">
        <w:t xml:space="preserve">ar </w:t>
      </w:r>
      <w:r w:rsidR="002B3A7E">
        <w:t>C</w:t>
      </w:r>
      <w:r w:rsidRPr="000450BF">
        <w:t xml:space="preserve">rimes and </w:t>
      </w:r>
      <w:r w:rsidR="002B3A7E">
        <w:t>C</w:t>
      </w:r>
      <w:r w:rsidRPr="000450BF">
        <w:t xml:space="preserve">rimes </w:t>
      </w:r>
      <w:r w:rsidR="001941F7">
        <w:t>a</w:t>
      </w:r>
      <w:r w:rsidRPr="000450BF">
        <w:t xml:space="preserve">gainst </w:t>
      </w:r>
      <w:r w:rsidR="002B3A7E">
        <w:t>H</w:t>
      </w:r>
      <w:r w:rsidRPr="000450BF">
        <w:t>umanity; and the Ombudsman</w:t>
      </w:r>
      <w:r w:rsidR="00456B99" w:rsidRPr="000450BF">
        <w:t>.</w:t>
      </w:r>
      <w:r w:rsidRPr="000450BF">
        <w:rPr>
          <w:sz w:val="18"/>
          <w:vertAlign w:val="superscript"/>
        </w:rPr>
        <w:footnoteReference w:id="298"/>
      </w:r>
      <w:r w:rsidRPr="000450BF">
        <w:t xml:space="preserve"> </w:t>
      </w:r>
    </w:p>
    <w:p w14:paraId="31DA4618" w14:textId="77777777" w:rsidR="00EC58CC" w:rsidRPr="000450BF" w:rsidRDefault="00EC58CC" w:rsidP="00EC58CC">
      <w:pPr>
        <w:keepNext/>
        <w:keepLines/>
        <w:tabs>
          <w:tab w:val="right" w:pos="851"/>
        </w:tabs>
        <w:spacing w:before="240" w:after="120" w:line="240" w:lineRule="exact"/>
        <w:ind w:left="1134" w:right="1134"/>
        <w:jc w:val="both"/>
        <w:rPr>
          <w:i/>
        </w:rPr>
      </w:pPr>
      <w:r w:rsidRPr="000450BF">
        <w:rPr>
          <w:i/>
        </w:rPr>
        <w:tab/>
        <w:t>-</w:t>
      </w:r>
      <w:r w:rsidRPr="000450BF">
        <w:rPr>
          <w:i/>
        </w:rPr>
        <w:tab/>
        <w:t>The Independent National Commission for Human Rights</w:t>
      </w:r>
    </w:p>
    <w:p w14:paraId="1DBFC79C" w14:textId="2A66F899" w:rsidR="00EC58CC" w:rsidRPr="000450BF" w:rsidRDefault="00EC58CC" w:rsidP="00EC58CC">
      <w:pPr>
        <w:spacing w:after="120"/>
        <w:ind w:left="1134" w:right="1134"/>
        <w:jc w:val="both"/>
      </w:pPr>
      <w:r w:rsidRPr="000450BF">
        <w:t>419.</w:t>
      </w:r>
      <w:r w:rsidRPr="000450BF">
        <w:tab/>
      </w:r>
      <w:r w:rsidR="002B3A7E">
        <w:t xml:space="preserve">The </w:t>
      </w:r>
      <w:r w:rsidRPr="000450BF">
        <w:t>CNIDH was created and given the mandate to uphold and promote human rights in the country</w:t>
      </w:r>
      <w:r w:rsidR="00456B99" w:rsidRPr="000450BF">
        <w:t>.</w:t>
      </w:r>
      <w:r w:rsidRPr="000450BF">
        <w:rPr>
          <w:sz w:val="18"/>
          <w:vertAlign w:val="superscript"/>
        </w:rPr>
        <w:footnoteReference w:id="299"/>
      </w:r>
      <w:r w:rsidRPr="000450BF">
        <w:t xml:space="preserve"> It can receive complaints and carry out investigations on human rights violations</w:t>
      </w:r>
      <w:r w:rsidR="003939F3" w:rsidRPr="000450BF">
        <w:t>;</w:t>
      </w:r>
      <w:r w:rsidRPr="000450BF">
        <w:t xml:space="preserve"> carry out regular visits in detention centres and formulate recommendations in order to</w:t>
      </w:r>
      <w:r w:rsidR="002B3A7E">
        <w:t>:</w:t>
      </w:r>
      <w:r w:rsidRPr="000450BF">
        <w:t xml:space="preserve"> improve the treatment and the conditions of the persons deprived of their liberty; prevent torture and other cruel, inhuman or degrading treatment or punishment; fight against</w:t>
      </w:r>
      <w:r w:rsidR="002B3A7E">
        <w:t xml:space="preserve"> rape and gender-based violence. It can also </w:t>
      </w:r>
      <w:r w:rsidRPr="000450BF">
        <w:t>file a complaint with the Office of the Prosecutor on cases of human rights violations</w:t>
      </w:r>
      <w:r w:rsidR="002B3A7E">
        <w:t>;</w:t>
      </w:r>
      <w:r w:rsidRPr="000450BF">
        <w:t xml:space="preserve"> provide or facilitate legal assistance to victims; and draw the </w:t>
      </w:r>
      <w:r w:rsidR="007F5B89">
        <w:t>Government</w:t>
      </w:r>
      <w:r w:rsidRPr="000450BF">
        <w:t>’s</w:t>
      </w:r>
      <w:r w:rsidR="00EF2D2F" w:rsidRPr="000450BF">
        <w:t xml:space="preserve"> </w:t>
      </w:r>
      <w:r w:rsidRPr="000450BF">
        <w:t>attention on cases of human rights violations</w:t>
      </w:r>
      <w:r w:rsidR="003939F3" w:rsidRPr="000450BF">
        <w:t>.</w:t>
      </w:r>
      <w:r w:rsidRPr="000450BF">
        <w:rPr>
          <w:sz w:val="18"/>
          <w:vertAlign w:val="superscript"/>
        </w:rPr>
        <w:footnoteReference w:id="300"/>
      </w:r>
      <w:r w:rsidRPr="000450BF">
        <w:t xml:space="preserve"> </w:t>
      </w:r>
    </w:p>
    <w:p w14:paraId="61596AAF" w14:textId="3773061D" w:rsidR="00EC58CC" w:rsidRPr="00E72ABD" w:rsidRDefault="00EC58CC" w:rsidP="00EC58CC">
      <w:pPr>
        <w:spacing w:after="120"/>
        <w:ind w:left="1134" w:right="1134"/>
        <w:jc w:val="both"/>
      </w:pPr>
      <w:r w:rsidRPr="000450BF">
        <w:t>420.</w:t>
      </w:r>
      <w:r w:rsidRPr="000450BF">
        <w:tab/>
      </w:r>
      <w:r w:rsidR="002B3A7E">
        <w:t xml:space="preserve">The </w:t>
      </w:r>
      <w:r w:rsidRPr="000450BF">
        <w:t>CNIDH, which had enjoyed an “A” status with the Global Alliance of National Human Rights Institutions (GANHRI) since its creation, was downgraded to “B” status in</w:t>
      </w:r>
      <w:r w:rsidR="00EF2D2F" w:rsidRPr="000450BF">
        <w:t xml:space="preserve"> </w:t>
      </w:r>
      <w:r w:rsidRPr="000450BF">
        <w:t xml:space="preserve">November 2017, because it had not “taken a stand to promote the protection of human rights in response to credible allegations of gross human rights violations by authorities”, which </w:t>
      </w:r>
      <w:r w:rsidR="002B3A7E">
        <w:t xml:space="preserve">demonstrated its lack of independence that </w:t>
      </w:r>
      <w:r w:rsidRPr="00E72ABD">
        <w:t>had been a concern for several human rights mechanisms since 2014, including the fact that it does not have financial autonomy.</w:t>
      </w:r>
      <w:r w:rsidRPr="00E72ABD">
        <w:rPr>
          <w:sz w:val="18"/>
          <w:vertAlign w:val="superscript"/>
        </w:rPr>
        <w:footnoteReference w:id="301"/>
      </w:r>
    </w:p>
    <w:p w14:paraId="3E5EB290" w14:textId="28D9D992" w:rsidR="00EC58CC" w:rsidRPr="00E72ABD" w:rsidRDefault="00EC58CC" w:rsidP="00EC58CC">
      <w:pPr>
        <w:spacing w:after="120"/>
        <w:ind w:left="1134" w:right="1134"/>
        <w:jc w:val="both"/>
      </w:pPr>
      <w:r w:rsidRPr="00E72ABD">
        <w:t>421.</w:t>
      </w:r>
      <w:r w:rsidRPr="00E72ABD">
        <w:tab/>
        <w:t xml:space="preserve">In fact, since 2015, </w:t>
      </w:r>
      <w:r w:rsidR="002B3A7E">
        <w:t xml:space="preserve">the </w:t>
      </w:r>
      <w:r w:rsidRPr="00E72ABD">
        <w:t xml:space="preserve">CNIDH has been more of a sounding board for official </w:t>
      </w:r>
      <w:r w:rsidR="007F5B89">
        <w:t>Government</w:t>
      </w:r>
      <w:r w:rsidRPr="00E72ABD">
        <w:t xml:space="preserve"> positions than an independent mechanism for the protection of human rights. For example, on 13 September 2018, it published a press release criticizing the report of this Commission of Inquiry submitted to the Human Rights Council</w:t>
      </w:r>
      <w:r w:rsidR="00A302EF">
        <w:t>,</w:t>
      </w:r>
      <w:r w:rsidRPr="00E72ABD">
        <w:rPr>
          <w:sz w:val="18"/>
          <w:vertAlign w:val="superscript"/>
        </w:rPr>
        <w:footnoteReference w:id="302"/>
      </w:r>
      <w:r w:rsidRPr="00E72ABD">
        <w:t xml:space="preserve"> in which CNIDH expressed its ou</w:t>
      </w:r>
      <w:r w:rsidRPr="00E72ABD">
        <w:rPr>
          <w:lang w:val="en-US"/>
        </w:rPr>
        <w:t xml:space="preserve">trage </w:t>
      </w:r>
      <w:r w:rsidRPr="00E72ABD">
        <w:t>for the Commission’s mention of the President of the Republic delivering a hate speech. It also voiced its indignation at the fact that the Commission imputed liability to Imbonerakure for the most recent human rights violations. It refuted the existence of violations that took place in the context of the referendum as documented by this Commission and on the contrary declared standing up “as a witness of a clear improvement of the human rights situation throughout the country”</w:t>
      </w:r>
      <w:r w:rsidR="007376B5" w:rsidRPr="00E72ABD">
        <w:t>.</w:t>
      </w:r>
      <w:r w:rsidRPr="00E72ABD">
        <w:rPr>
          <w:sz w:val="18"/>
          <w:vertAlign w:val="superscript"/>
        </w:rPr>
        <w:footnoteReference w:id="303"/>
      </w:r>
    </w:p>
    <w:p w14:paraId="51F502DF" w14:textId="77777777" w:rsidR="00EC58CC" w:rsidRPr="00E72ABD" w:rsidRDefault="00EC58CC" w:rsidP="00EC58CC">
      <w:pPr>
        <w:keepNext/>
        <w:keepLines/>
        <w:tabs>
          <w:tab w:val="right" w:pos="851"/>
        </w:tabs>
        <w:spacing w:before="240" w:after="120" w:line="240" w:lineRule="exact"/>
        <w:ind w:left="1134" w:right="1134"/>
        <w:jc w:val="both"/>
        <w:rPr>
          <w:i/>
        </w:rPr>
      </w:pPr>
      <w:r w:rsidRPr="00E72ABD">
        <w:rPr>
          <w:i/>
        </w:rPr>
        <w:tab/>
        <w:t>-</w:t>
      </w:r>
      <w:r w:rsidRPr="00E72ABD">
        <w:rPr>
          <w:i/>
        </w:rPr>
        <w:tab/>
        <w:t>The Ombudsman</w:t>
      </w:r>
    </w:p>
    <w:p w14:paraId="3F7C0692" w14:textId="27118A7B" w:rsidR="00EC58CC" w:rsidRPr="00E72ABD" w:rsidRDefault="00EC58CC" w:rsidP="00EC58CC">
      <w:pPr>
        <w:spacing w:after="120"/>
        <w:ind w:left="1134" w:right="1134"/>
        <w:jc w:val="both"/>
      </w:pPr>
      <w:r w:rsidRPr="00E72ABD">
        <w:t>422.</w:t>
      </w:r>
      <w:r w:rsidRPr="00E72ABD">
        <w:tab/>
        <w:t xml:space="preserve">The </w:t>
      </w:r>
      <w:r w:rsidR="007376B5" w:rsidRPr="00E72ABD">
        <w:t xml:space="preserve">Ombudsman’s </w:t>
      </w:r>
      <w:r w:rsidRPr="00E72ABD">
        <w:t>role is to receive complaints and carry out investigations related to mismanagement and violations of citizens’ rights by public officials or members of the judicial system</w:t>
      </w:r>
      <w:r w:rsidR="007376B5" w:rsidRPr="00E72ABD">
        <w:t>.</w:t>
      </w:r>
      <w:r w:rsidRPr="00E72ABD">
        <w:rPr>
          <w:vertAlign w:val="superscript"/>
        </w:rPr>
        <w:footnoteReference w:id="304"/>
      </w:r>
      <w:r w:rsidRPr="00E72ABD">
        <w:t xml:space="preserve"> He must also ensure mediation between the </w:t>
      </w:r>
      <w:r w:rsidR="007376B5" w:rsidRPr="00E72ABD">
        <w:t xml:space="preserve">Administration </w:t>
      </w:r>
      <w:r w:rsidRPr="00E72ABD">
        <w:t xml:space="preserve">and the citizens and he has an observer’s role with regards to the functioning of the public </w:t>
      </w:r>
      <w:r w:rsidR="007376B5" w:rsidRPr="00E72ABD">
        <w:t>Administration</w:t>
      </w:r>
      <w:r w:rsidRPr="00E72ABD">
        <w:t>.</w:t>
      </w:r>
    </w:p>
    <w:p w14:paraId="1414D58D" w14:textId="08600EBB" w:rsidR="00EC58CC" w:rsidRPr="00E72ABD" w:rsidRDefault="00EC58CC" w:rsidP="00EC58CC">
      <w:pPr>
        <w:spacing w:after="120"/>
        <w:ind w:left="1134" w:right="1134"/>
        <w:jc w:val="both"/>
      </w:pPr>
      <w:r w:rsidRPr="00E72ABD">
        <w:t>423.</w:t>
      </w:r>
      <w:r w:rsidRPr="00E72ABD">
        <w:tab/>
        <w:t xml:space="preserve">The lack of independence of the current Ombudsman, Édouard Nduwimana, who is in this position since November 2016, is obvious. He is a former </w:t>
      </w:r>
      <w:r w:rsidR="00EF2D2F" w:rsidRPr="00E72ABD">
        <w:t>Minister</w:t>
      </w:r>
      <w:r w:rsidRPr="00E72ABD">
        <w:t xml:space="preserve"> of Interior of President Nkurunziza and is known as the architect of the strategy to divide the opposition political </w:t>
      </w:r>
      <w:r w:rsidR="007376B5" w:rsidRPr="00E72ABD">
        <w:t xml:space="preserve">parties </w:t>
      </w:r>
      <w:r w:rsidRPr="00E72ABD">
        <w:t>from within (</w:t>
      </w:r>
      <w:r w:rsidRPr="006461A6">
        <w:rPr>
          <w:i/>
        </w:rPr>
        <w:t>nyakurisation</w:t>
      </w:r>
      <w:r w:rsidRPr="00E72ABD">
        <w:t>)</w:t>
      </w:r>
      <w:r w:rsidR="00456B99" w:rsidRPr="00E72ABD">
        <w:t>,</w:t>
      </w:r>
      <w:r w:rsidRPr="00E72ABD">
        <w:rPr>
          <w:sz w:val="18"/>
          <w:vertAlign w:val="superscript"/>
        </w:rPr>
        <w:footnoteReference w:id="305"/>
      </w:r>
      <w:r w:rsidRPr="00E72ABD">
        <w:t xml:space="preserve"> </w:t>
      </w:r>
      <w:r w:rsidR="002B3A7E">
        <w:t>as well as</w:t>
      </w:r>
      <w:r w:rsidRPr="00E72ABD">
        <w:t xml:space="preserve"> for his repressive policy towards media and civil society. Despite his new functions, he does not hesitate to publicly display his allegiance to the ruling party</w:t>
      </w:r>
      <w:r w:rsidR="00456B99" w:rsidRPr="00E72ABD">
        <w:t>,</w:t>
      </w:r>
      <w:r w:rsidRPr="00E72ABD">
        <w:rPr>
          <w:sz w:val="18"/>
          <w:vertAlign w:val="superscript"/>
        </w:rPr>
        <w:footnoteReference w:id="306"/>
      </w:r>
      <w:r w:rsidRPr="00E72ABD">
        <w:t xml:space="preserve"> such as his participation to the celebration of “Imbonerakure Day” on 17 August 2019, during which he congratulated the CNDD-FDD party and its leagues and pledged a heifer to the secretary of the Imbonerakure in the province of</w:t>
      </w:r>
      <w:r w:rsidR="00EF2D2F" w:rsidRPr="00E72ABD">
        <w:t xml:space="preserve"> </w:t>
      </w:r>
      <w:r w:rsidRPr="00E72ABD">
        <w:t>Kirundo.</w:t>
      </w:r>
      <w:r w:rsidRPr="00E72ABD">
        <w:rPr>
          <w:sz w:val="18"/>
          <w:vertAlign w:val="superscript"/>
        </w:rPr>
        <w:footnoteReference w:id="307"/>
      </w:r>
    </w:p>
    <w:p w14:paraId="7E5132C6" w14:textId="01896F14" w:rsidR="00EC58CC" w:rsidRPr="00E72ABD" w:rsidRDefault="00EC58CC" w:rsidP="00EC58CC">
      <w:pPr>
        <w:spacing w:after="120"/>
        <w:ind w:left="1134" w:right="1134"/>
        <w:jc w:val="both"/>
      </w:pPr>
      <w:r w:rsidRPr="00E72ABD">
        <w:t>424.</w:t>
      </w:r>
      <w:r w:rsidRPr="00E72ABD">
        <w:tab/>
        <w:t xml:space="preserve">With regards to the current situation, the Ombudsman confines himself to calling members of various registered political </w:t>
      </w:r>
      <w:r w:rsidR="007376B5" w:rsidRPr="00E72ABD">
        <w:t xml:space="preserve">parties </w:t>
      </w:r>
      <w:r w:rsidRPr="00E72ABD">
        <w:t>to cohabitate peacefully and live in harmony</w:t>
      </w:r>
      <w:r w:rsidR="007376B5" w:rsidRPr="00E72ABD">
        <w:t>.</w:t>
      </w:r>
      <w:r w:rsidRPr="00E72ABD">
        <w:rPr>
          <w:sz w:val="18"/>
          <w:vertAlign w:val="superscript"/>
        </w:rPr>
        <w:footnoteReference w:id="308"/>
      </w:r>
      <w:r w:rsidRPr="00E72ABD">
        <w:t xml:space="preserve"> He has often acted as the spokesperson of </w:t>
      </w:r>
      <w:r w:rsidR="007F5B89">
        <w:t>Government</w:t>
      </w:r>
      <w:r w:rsidRPr="00E72ABD">
        <w:t xml:space="preserve"> rhetoric and policies</w:t>
      </w:r>
      <w:r w:rsidR="007376B5" w:rsidRPr="00E72ABD">
        <w:t>.</w:t>
      </w:r>
      <w:r w:rsidRPr="00E72ABD">
        <w:rPr>
          <w:sz w:val="18"/>
          <w:vertAlign w:val="superscript"/>
        </w:rPr>
        <w:footnoteReference w:id="309"/>
      </w:r>
      <w:r w:rsidRPr="00E72ABD">
        <w:t xml:space="preserve"> For example, he expressed his satisfaction for the “inclusive character at social level” which allegedly characterised the referendum campaign and ballot, whereas, as documented by this Commission, several incidents, acts of intimidation and violence against political opponents were committed in the context of the constitutional referendum</w:t>
      </w:r>
      <w:r w:rsidR="00EF2D2F" w:rsidRPr="00E72ABD">
        <w:t xml:space="preserve"> </w:t>
      </w:r>
      <w:r w:rsidRPr="00E72ABD">
        <w:t>in</w:t>
      </w:r>
      <w:r w:rsidR="00EF2D2F" w:rsidRPr="00E72ABD">
        <w:t xml:space="preserve"> </w:t>
      </w:r>
      <w:r w:rsidRPr="00E72ABD">
        <w:t>May 2018.</w:t>
      </w:r>
      <w:r w:rsidRPr="00E72ABD">
        <w:rPr>
          <w:sz w:val="18"/>
          <w:vertAlign w:val="superscript"/>
        </w:rPr>
        <w:footnoteReference w:id="310"/>
      </w:r>
      <w:r w:rsidRPr="00E72ABD">
        <w:t xml:space="preserve"> On 19 June 2019, endorsing the conspiracy theories of the international community targeting Burundi, he organised a press conference to criticise the intervention of the African Union representative Smaïl Chergui at the </w:t>
      </w:r>
      <w:r w:rsidR="00621952" w:rsidRPr="00E72ABD">
        <w:t xml:space="preserve">Security Council </w:t>
      </w:r>
      <w:r w:rsidRPr="00E72ABD">
        <w:t xml:space="preserve">requesting the reopening of the </w:t>
      </w:r>
      <w:r w:rsidR="00F61030" w:rsidRPr="00E72ABD">
        <w:t>inter-</w:t>
      </w:r>
      <w:r w:rsidR="002E6630">
        <w:t>Burundian</w:t>
      </w:r>
      <w:r w:rsidRPr="00E72ABD">
        <w:t xml:space="preserve"> dialogue.</w:t>
      </w:r>
      <w:r w:rsidRPr="00E72ABD">
        <w:rPr>
          <w:sz w:val="18"/>
          <w:vertAlign w:val="superscript"/>
        </w:rPr>
        <w:footnoteReference w:id="311"/>
      </w:r>
    </w:p>
    <w:p w14:paraId="0C15CABF" w14:textId="55B6ED67" w:rsidR="00EC58CC" w:rsidRPr="00E72ABD" w:rsidRDefault="00EC58CC" w:rsidP="00EC58CC">
      <w:pPr>
        <w:keepNext/>
        <w:keepLines/>
        <w:tabs>
          <w:tab w:val="right" w:pos="851"/>
        </w:tabs>
        <w:spacing w:before="240" w:after="120" w:line="240" w:lineRule="exact"/>
        <w:ind w:left="1134" w:right="1134"/>
        <w:jc w:val="both"/>
        <w:rPr>
          <w:i/>
        </w:rPr>
      </w:pPr>
      <w:r w:rsidRPr="00E72ABD">
        <w:rPr>
          <w:i/>
        </w:rPr>
        <w:tab/>
        <w:t>-</w:t>
      </w:r>
      <w:r w:rsidRPr="00E72ABD">
        <w:rPr>
          <w:i/>
        </w:rPr>
        <w:tab/>
        <w:t xml:space="preserve">National Observatory for the </w:t>
      </w:r>
      <w:r w:rsidR="00621952" w:rsidRPr="00E72ABD">
        <w:rPr>
          <w:i/>
        </w:rPr>
        <w:t xml:space="preserve">Prevention </w:t>
      </w:r>
      <w:r w:rsidRPr="00E72ABD">
        <w:rPr>
          <w:i/>
        </w:rPr>
        <w:t xml:space="preserve">and </w:t>
      </w:r>
      <w:r w:rsidR="00621952" w:rsidRPr="00E72ABD">
        <w:rPr>
          <w:i/>
        </w:rPr>
        <w:t xml:space="preserve">Eradication </w:t>
      </w:r>
      <w:r w:rsidRPr="00E72ABD">
        <w:rPr>
          <w:i/>
        </w:rPr>
        <w:t xml:space="preserve">of </w:t>
      </w:r>
      <w:r w:rsidR="00621952" w:rsidRPr="00E72ABD">
        <w:rPr>
          <w:i/>
        </w:rPr>
        <w:t>Genocide</w:t>
      </w:r>
      <w:r w:rsidRPr="00E72ABD">
        <w:rPr>
          <w:i/>
        </w:rPr>
        <w:t xml:space="preserve">, </w:t>
      </w:r>
      <w:r w:rsidR="00621952" w:rsidRPr="00E72ABD">
        <w:rPr>
          <w:i/>
        </w:rPr>
        <w:t xml:space="preserve">War Crimes </w:t>
      </w:r>
      <w:r w:rsidRPr="00E72ABD">
        <w:rPr>
          <w:i/>
        </w:rPr>
        <w:t xml:space="preserve">and other </w:t>
      </w:r>
      <w:r w:rsidR="00621952" w:rsidRPr="00E72ABD">
        <w:rPr>
          <w:i/>
        </w:rPr>
        <w:t xml:space="preserve">Crimes </w:t>
      </w:r>
      <w:r w:rsidR="001941F7">
        <w:rPr>
          <w:i/>
        </w:rPr>
        <w:t>a</w:t>
      </w:r>
      <w:r w:rsidRPr="00E72ABD">
        <w:rPr>
          <w:i/>
        </w:rPr>
        <w:t xml:space="preserve">gainst </w:t>
      </w:r>
      <w:r w:rsidR="00621952" w:rsidRPr="00E72ABD">
        <w:rPr>
          <w:i/>
        </w:rPr>
        <w:t>Humanity</w:t>
      </w:r>
    </w:p>
    <w:p w14:paraId="3B0FBBC2" w14:textId="6D9A3D24" w:rsidR="00EC58CC" w:rsidRPr="00E72ABD" w:rsidRDefault="00EC58CC" w:rsidP="00EC58CC">
      <w:pPr>
        <w:spacing w:after="120"/>
        <w:ind w:left="1134" w:right="1134"/>
        <w:jc w:val="both"/>
      </w:pPr>
      <w:r w:rsidRPr="00E72ABD">
        <w:t>425.</w:t>
      </w:r>
      <w:r w:rsidRPr="00E72ABD">
        <w:tab/>
        <w:t>Provided for by the Arusha Agreement and the 2005 Constitution</w:t>
      </w:r>
      <w:r w:rsidR="00456B99" w:rsidRPr="00E72ABD">
        <w:t>,</w:t>
      </w:r>
      <w:r w:rsidRPr="00E72ABD">
        <w:rPr>
          <w:sz w:val="18"/>
          <w:vertAlign w:val="superscript"/>
        </w:rPr>
        <w:footnoteReference w:id="312"/>
      </w:r>
      <w:r w:rsidRPr="00E72ABD">
        <w:t xml:space="preserve"> the National </w:t>
      </w:r>
      <w:r w:rsidR="00621952" w:rsidRPr="00E72ABD">
        <w:t xml:space="preserve">Observatory </w:t>
      </w:r>
      <w:r w:rsidRPr="00E72ABD">
        <w:t xml:space="preserve">for the </w:t>
      </w:r>
      <w:r w:rsidR="00621952" w:rsidRPr="00E72ABD">
        <w:t xml:space="preserve">Prevention </w:t>
      </w:r>
      <w:r w:rsidRPr="00E72ABD">
        <w:t xml:space="preserve">and the </w:t>
      </w:r>
      <w:r w:rsidR="00621952" w:rsidRPr="00E72ABD">
        <w:t xml:space="preserve">Eradication </w:t>
      </w:r>
      <w:r w:rsidRPr="00E72ABD">
        <w:t xml:space="preserve">of </w:t>
      </w:r>
      <w:r w:rsidR="00621952" w:rsidRPr="00E72ABD">
        <w:t>Genocide</w:t>
      </w:r>
      <w:r w:rsidRPr="00E72ABD">
        <w:t xml:space="preserve">, </w:t>
      </w:r>
      <w:r w:rsidR="00621952" w:rsidRPr="00E72ABD">
        <w:t xml:space="preserve">War Crimes </w:t>
      </w:r>
      <w:r w:rsidRPr="00E72ABD">
        <w:t xml:space="preserve">and other </w:t>
      </w:r>
      <w:r w:rsidR="00621952" w:rsidRPr="00E72ABD">
        <w:t xml:space="preserve">Crimes </w:t>
      </w:r>
      <w:r w:rsidRPr="00E72ABD">
        <w:t xml:space="preserve">against </w:t>
      </w:r>
      <w:r w:rsidR="00621952" w:rsidRPr="00E72ABD">
        <w:t xml:space="preserve">Humanity </w:t>
      </w:r>
      <w:r w:rsidRPr="00E72ABD">
        <w:t>was only established in December 2017</w:t>
      </w:r>
      <w:r w:rsidR="007F638E">
        <w:t>,</w:t>
      </w:r>
      <w:r w:rsidRPr="00E72ABD">
        <w:rPr>
          <w:sz w:val="18"/>
          <w:vertAlign w:val="superscript"/>
        </w:rPr>
        <w:footnoteReference w:id="313"/>
      </w:r>
      <w:r w:rsidRPr="00E72ABD">
        <w:t xml:space="preserve"> and its members were appointed shortly after by the President </w:t>
      </w:r>
      <w:r w:rsidR="007F638E">
        <w:t>of the</w:t>
      </w:r>
      <w:r w:rsidRPr="00E72ABD">
        <w:t xml:space="preserve"> Republic</w:t>
      </w:r>
      <w:r w:rsidR="00456B99" w:rsidRPr="00E72ABD">
        <w:t>.</w:t>
      </w:r>
      <w:r w:rsidRPr="00E72ABD">
        <w:rPr>
          <w:sz w:val="18"/>
          <w:vertAlign w:val="superscript"/>
        </w:rPr>
        <w:footnoteReference w:id="314"/>
      </w:r>
      <w:r w:rsidRPr="00E72ABD">
        <w:t xml:space="preserve"> Th</w:t>
      </w:r>
      <w:r w:rsidR="007F638E">
        <w:t>e</w:t>
      </w:r>
      <w:r w:rsidRPr="00E72ABD">
        <w:t xml:space="preserve"> </w:t>
      </w:r>
      <w:r w:rsidR="00621952" w:rsidRPr="00E72ABD">
        <w:t xml:space="preserve">Observatory </w:t>
      </w:r>
      <w:r w:rsidRPr="00E72ABD">
        <w:t xml:space="preserve">was at the outset conceived as an early warning mechanism to prevent atrocity crimes. This consultative body is officially responsible to observe the evolution of the </w:t>
      </w:r>
      <w:r w:rsidR="002E6630">
        <w:t>Burundian</w:t>
      </w:r>
      <w:r w:rsidRPr="00E72ABD">
        <w:t xml:space="preserve"> society in order to prevent and eradicate acts of genocide, war crimes and other crimes against humanity, </w:t>
      </w:r>
      <w:r w:rsidR="007F638E">
        <w:t>especially by</w:t>
      </w:r>
      <w:r w:rsidRPr="00E72ABD">
        <w:t xml:space="preserve"> suggesting measures to effectively fight against impunity for such crimes, including at the legislative level.</w:t>
      </w:r>
    </w:p>
    <w:p w14:paraId="65A2C80F" w14:textId="4EAD9FB8" w:rsidR="00EC58CC" w:rsidRPr="00E72ABD" w:rsidRDefault="00EC58CC" w:rsidP="00EC58CC">
      <w:pPr>
        <w:spacing w:after="120"/>
        <w:ind w:left="1134" w:right="1134"/>
        <w:jc w:val="both"/>
      </w:pPr>
      <w:r w:rsidRPr="00E72ABD">
        <w:t>426.</w:t>
      </w:r>
      <w:r w:rsidRPr="00E72ABD">
        <w:tab/>
        <w:t xml:space="preserve">This </w:t>
      </w:r>
      <w:r w:rsidR="00621952" w:rsidRPr="00E72ABD">
        <w:t xml:space="preserve">Observatory </w:t>
      </w:r>
      <w:r w:rsidRPr="00E72ABD">
        <w:t>is not independent either since its budget is included in that of the Presidency</w:t>
      </w:r>
      <w:r w:rsidR="007F638E">
        <w:t>,</w:t>
      </w:r>
      <w:r w:rsidRPr="00E72ABD">
        <w:t xml:space="preserve"> and the </w:t>
      </w:r>
      <w:r w:rsidR="00621952" w:rsidRPr="00E72ABD">
        <w:t>Observatory’s President</w:t>
      </w:r>
      <w:r w:rsidRPr="00E72ABD">
        <w:t xml:space="preserve">, Jean de Dieu Mutabazi, who is the leader of the party </w:t>
      </w:r>
      <w:r w:rsidRPr="00E72ABD">
        <w:rPr>
          <w:i/>
        </w:rPr>
        <w:t>Rassemblement des démocrates du Burundi</w:t>
      </w:r>
      <w:r w:rsidRPr="00E72ABD">
        <w:t xml:space="preserve"> (Radebu), is close to the current leadership.</w:t>
      </w:r>
    </w:p>
    <w:p w14:paraId="30E1C556" w14:textId="3F6F2F5B" w:rsidR="00EC58CC" w:rsidRPr="00E72ABD" w:rsidRDefault="00EC58CC" w:rsidP="00EC58CC">
      <w:pPr>
        <w:spacing w:after="120"/>
        <w:ind w:left="1134" w:right="1134"/>
        <w:jc w:val="both"/>
      </w:pPr>
      <w:r w:rsidRPr="00E72ABD">
        <w:t>427.</w:t>
      </w:r>
      <w:r w:rsidRPr="00E72ABD">
        <w:tab/>
        <w:t xml:space="preserve">Its activities since its creation are quasi negligible. The </w:t>
      </w:r>
      <w:r w:rsidR="00621952" w:rsidRPr="00E72ABD">
        <w:t xml:space="preserve">Observatory </w:t>
      </w:r>
      <w:r w:rsidRPr="00E72ABD">
        <w:t>had requested that international observers be invited during the constitutional referendum</w:t>
      </w:r>
      <w:r w:rsidRPr="00E72ABD">
        <w:rPr>
          <w:sz w:val="18"/>
          <w:vertAlign w:val="superscript"/>
        </w:rPr>
        <w:footnoteReference w:id="315"/>
      </w:r>
      <w:r w:rsidRPr="00E72ABD">
        <w:t xml:space="preserve"> but the </w:t>
      </w:r>
      <w:r w:rsidR="007F5B89">
        <w:t>Government</w:t>
      </w:r>
      <w:r w:rsidRPr="00E72ABD">
        <w:t xml:space="preserve"> did not heed that call. It later refuted that acts of violence and human rights violations had been committed in the context of the same referendum</w:t>
      </w:r>
      <w:r w:rsidR="00621952" w:rsidRPr="00E72ABD">
        <w:t>.</w:t>
      </w:r>
      <w:r w:rsidRPr="00E72ABD">
        <w:rPr>
          <w:sz w:val="18"/>
          <w:vertAlign w:val="superscript"/>
        </w:rPr>
        <w:footnoteReference w:id="316"/>
      </w:r>
    </w:p>
    <w:p w14:paraId="605C3E92" w14:textId="096D5075" w:rsidR="00EC58CC" w:rsidRPr="00E72ABD" w:rsidRDefault="00EC58CC" w:rsidP="00EC58CC">
      <w:pPr>
        <w:spacing w:after="120"/>
        <w:ind w:left="1134" w:right="1134"/>
        <w:jc w:val="both"/>
      </w:pPr>
      <w:r w:rsidRPr="00E72ABD">
        <w:t>428.</w:t>
      </w:r>
      <w:r w:rsidRPr="00E72ABD">
        <w:tab/>
        <w:t xml:space="preserve">Instead </w:t>
      </w:r>
      <w:r w:rsidR="00621952" w:rsidRPr="00E72ABD">
        <w:t xml:space="preserve">of </w:t>
      </w:r>
      <w:r w:rsidRPr="00E72ABD">
        <w:t xml:space="preserve">taking into consideration the concerns expressed by various actors of the international community in relation to the possible deterioration of the human rights situation in the country, as a prevention and early warning mechanism against atrocity crimes should </w:t>
      </w:r>
      <w:r w:rsidR="007F638E">
        <w:t xml:space="preserve">do </w:t>
      </w:r>
      <w:r w:rsidRPr="00E72ABD">
        <w:t xml:space="preserve">as per its mandate, the </w:t>
      </w:r>
      <w:r w:rsidR="00621952" w:rsidRPr="00E72ABD">
        <w:t xml:space="preserve">Observatory </w:t>
      </w:r>
      <w:r w:rsidRPr="00E72ABD">
        <w:t>denounced such concerns as infringement of national sovereignty</w:t>
      </w:r>
      <w:r w:rsidR="00621952" w:rsidRPr="00E72ABD">
        <w:t>.</w:t>
      </w:r>
      <w:r w:rsidRPr="00E72ABD">
        <w:rPr>
          <w:sz w:val="18"/>
          <w:vertAlign w:val="superscript"/>
        </w:rPr>
        <w:footnoteReference w:id="317"/>
      </w:r>
      <w:r w:rsidRPr="00E72ABD">
        <w:t xml:space="preserve"> It also issued a statement on 25 June 2019 protesting the declarations of Smaïl Chergui, the Peace and Security Commissioner of the African Union, during the Security Council session. According to the </w:t>
      </w:r>
      <w:r w:rsidR="00621952" w:rsidRPr="00E72ABD">
        <w:t xml:space="preserve">President </w:t>
      </w:r>
      <w:r w:rsidRPr="00E72ABD">
        <w:t xml:space="preserve">of this Observatory, the alarmist tone of Mr. Chergui describing Burundi as a country in a security and political crisis denotes “his deliberate desire to “harm” and to “tarnish the image of the country” and his declaration is in line with “the continuing destabilization efforts spearheaded by certain neo colonialists powers”. By his request to resume the </w:t>
      </w:r>
      <w:r w:rsidR="00F61030" w:rsidRPr="00E72ABD">
        <w:t>inter-</w:t>
      </w:r>
      <w:r w:rsidR="002E6630">
        <w:t>Burundian</w:t>
      </w:r>
      <w:r w:rsidRPr="00E72ABD">
        <w:t xml:space="preserve"> dialogue outside the country, the representative of the African Union was seeking to “torpedo democracy and the 2020 elections”.</w:t>
      </w:r>
      <w:r w:rsidRPr="00E72ABD">
        <w:rPr>
          <w:sz w:val="18"/>
          <w:vertAlign w:val="superscript"/>
        </w:rPr>
        <w:footnoteReference w:id="318"/>
      </w:r>
    </w:p>
    <w:p w14:paraId="4DD94812" w14:textId="77777777" w:rsidR="00EC58CC" w:rsidRPr="00E72ABD" w:rsidRDefault="00EC58CC" w:rsidP="00EC58CC">
      <w:pPr>
        <w:keepNext/>
        <w:keepLines/>
        <w:tabs>
          <w:tab w:val="right" w:pos="851"/>
        </w:tabs>
        <w:spacing w:before="240" w:after="120" w:line="240" w:lineRule="exact"/>
        <w:ind w:left="1134" w:right="1134" w:hanging="1134"/>
        <w:jc w:val="both"/>
      </w:pPr>
      <w:r w:rsidRPr="00E72ABD">
        <w:tab/>
      </w:r>
      <w:r w:rsidRPr="00E72ABD">
        <w:tab/>
        <w:t>(iii)</w:t>
      </w:r>
      <w:r w:rsidRPr="00E72ABD">
        <w:tab/>
        <w:t>Control of the civil society</w:t>
      </w:r>
    </w:p>
    <w:p w14:paraId="23AEBCFF" w14:textId="1D956032" w:rsidR="00EC58CC" w:rsidRPr="00E72ABD" w:rsidRDefault="00EC58CC" w:rsidP="00EC58CC">
      <w:pPr>
        <w:spacing w:after="120"/>
        <w:ind w:left="1134" w:right="1134"/>
        <w:jc w:val="both"/>
      </w:pPr>
      <w:r w:rsidRPr="00E72ABD">
        <w:t>429.</w:t>
      </w:r>
      <w:r w:rsidRPr="00E72ABD">
        <w:tab/>
        <w:t>The existence of a dynamic, diversified and independent civil society, capable of acting freely, with intelligence and competence in the area of human right</w:t>
      </w:r>
      <w:r w:rsidR="00621952" w:rsidRPr="00E72ABD">
        <w:t>s</w:t>
      </w:r>
      <w:r w:rsidRPr="00E72ABD">
        <w:t xml:space="preserve"> is largely recognized as a fundamental element to ensure the sustainable protection of human rights, and in so doing, guarantee a democratic space necessary for the holding of free, fair and credible elections</w:t>
      </w:r>
      <w:r w:rsidR="00456B99" w:rsidRPr="00E72ABD">
        <w:t>.</w:t>
      </w:r>
      <w:r w:rsidRPr="00E72ABD">
        <w:rPr>
          <w:sz w:val="18"/>
          <w:vertAlign w:val="superscript"/>
        </w:rPr>
        <w:footnoteReference w:id="319"/>
      </w:r>
      <w:r w:rsidRPr="00E72ABD">
        <w:t xml:space="preserve"> In fact, civil society has an important role to play “in the establishment and </w:t>
      </w:r>
      <w:r w:rsidR="00D1497B" w:rsidRPr="00E72ABD">
        <w:t>maintena</w:t>
      </w:r>
      <w:r w:rsidR="00D1497B">
        <w:t>nc</w:t>
      </w:r>
      <w:r w:rsidR="00D1497B" w:rsidRPr="00E72ABD">
        <w:t>e</w:t>
      </w:r>
      <w:r w:rsidRPr="00E72ABD">
        <w:t xml:space="preserve"> of a solid democracy”, including in the framework of elections</w:t>
      </w:r>
      <w:r w:rsidR="00456B99" w:rsidRPr="00E72ABD">
        <w:t>.</w:t>
      </w:r>
      <w:r w:rsidRPr="00E72ABD">
        <w:rPr>
          <w:sz w:val="18"/>
          <w:vertAlign w:val="superscript"/>
        </w:rPr>
        <w:footnoteReference w:id="320"/>
      </w:r>
      <w:r w:rsidRPr="00E72ABD">
        <w:t xml:space="preserve"> Certain organisations can “work directly on electoral matters such as voter education, polling observation, the reform of electoral institutions and the accountability of candidates and elected officials”</w:t>
      </w:r>
      <w:r w:rsidR="00456B99" w:rsidRPr="00E72ABD">
        <w:t>.</w:t>
      </w:r>
      <w:r w:rsidRPr="00E72ABD">
        <w:rPr>
          <w:sz w:val="18"/>
          <w:vertAlign w:val="superscript"/>
        </w:rPr>
        <w:footnoteReference w:id="321"/>
      </w:r>
      <w:r w:rsidRPr="00E72ABD">
        <w:t xml:space="preserve"> More generally, it is important in an electoral context, that all civil society organisations are able to dialogue with potential elected officials, to attract attention on their concerns and interests in order to ensure that measures are put in place. They must be free to evaluate issues of public interest and to contribute to the public debate, to hold the </w:t>
      </w:r>
      <w:r w:rsidR="007F5B89">
        <w:t>Government</w:t>
      </w:r>
      <w:r w:rsidRPr="00E72ABD">
        <w:t xml:space="preserve"> accountable, to criticize </w:t>
      </w:r>
      <w:r w:rsidR="007F5B89">
        <w:t>Government</w:t>
      </w:r>
      <w:r w:rsidRPr="00E72ABD">
        <w:t xml:space="preserve"> policies and practices, to carry out investigations and advocacy on matters pertaining to governance such as corruption, but also to report on human rights violations and electoral fraud and to interact with international and regional human rights bodies</w:t>
      </w:r>
      <w:r w:rsidR="00621952" w:rsidRPr="00E72ABD">
        <w:t>.</w:t>
      </w:r>
      <w:r w:rsidRPr="00E72ABD">
        <w:rPr>
          <w:sz w:val="18"/>
          <w:vertAlign w:val="superscript"/>
        </w:rPr>
        <w:footnoteReference w:id="322"/>
      </w:r>
    </w:p>
    <w:p w14:paraId="0195500B" w14:textId="3F6A1F8A" w:rsidR="00EC58CC" w:rsidRPr="00E72ABD" w:rsidRDefault="00EC58CC" w:rsidP="00EC58CC">
      <w:pPr>
        <w:spacing w:after="120"/>
        <w:ind w:left="1134" w:right="1134"/>
        <w:jc w:val="both"/>
      </w:pPr>
      <w:r w:rsidRPr="00E72ABD">
        <w:t>430.</w:t>
      </w:r>
      <w:r w:rsidRPr="00E72ABD">
        <w:tab/>
        <w:t xml:space="preserve">Since 2018, </w:t>
      </w:r>
      <w:r w:rsidR="002E6630">
        <w:t>Burundian</w:t>
      </w:r>
      <w:r w:rsidRPr="00E72ABD">
        <w:t xml:space="preserve"> authorities have increased their control of international and national NGOs, officially in order to ensure better coordination of the aid provided by NGOs. However, the authorities did not hesitate to suspend all international NGOs for three months from 1 October 2018 in order to compel them to seek accreditation again and to comply with the requirements of the </w:t>
      </w:r>
      <w:r w:rsidR="007F638E">
        <w:t xml:space="preserve">2017 </w:t>
      </w:r>
      <w:r w:rsidR="00A302EF">
        <w:t>l</w:t>
      </w:r>
      <w:r w:rsidR="007F638E">
        <w:t>aw on foreign NGOs</w:t>
      </w:r>
      <w:r w:rsidRPr="00E72ABD">
        <w:t>.</w:t>
      </w:r>
      <w:r w:rsidR="00EF2D2F" w:rsidRPr="00E72ABD">
        <w:t xml:space="preserve"> </w:t>
      </w:r>
      <w:r w:rsidRPr="00E72ABD">
        <w:t xml:space="preserve">The </w:t>
      </w:r>
      <w:r w:rsidR="007F5B89">
        <w:t>Government</w:t>
      </w:r>
      <w:r w:rsidRPr="00E72ABD">
        <w:t xml:space="preserve"> then decided to </w:t>
      </w:r>
      <w:r w:rsidR="007F638E">
        <w:t>become involved</w:t>
      </w:r>
      <w:r w:rsidRPr="00E72ABD">
        <w:t xml:space="preserve"> in the international NGOs recruitment processes of national staff, mainly to ultimately influence the recruitment of supporters of the CNDD-FDD party.</w:t>
      </w:r>
      <w:r w:rsidRPr="00E72ABD">
        <w:rPr>
          <w:sz w:val="18"/>
          <w:vertAlign w:val="superscript"/>
        </w:rPr>
        <w:footnoteReference w:id="323"/>
      </w:r>
    </w:p>
    <w:p w14:paraId="582C5B76" w14:textId="743E19F5" w:rsidR="00EC58CC" w:rsidRPr="00E72ABD" w:rsidRDefault="00EC58CC" w:rsidP="00EC58CC">
      <w:pPr>
        <w:spacing w:after="120"/>
        <w:ind w:left="1134" w:right="1134"/>
        <w:jc w:val="both"/>
      </w:pPr>
      <w:r w:rsidRPr="00E72ABD">
        <w:t>431.</w:t>
      </w:r>
      <w:r w:rsidRPr="00E72ABD">
        <w:tab/>
        <w:t xml:space="preserve">The </w:t>
      </w:r>
      <w:r w:rsidR="007F5B89">
        <w:t>Government</w:t>
      </w:r>
      <w:r w:rsidRPr="00E72ABD">
        <w:t xml:space="preserve"> also sanctioned national NGOs by banning some of their activities or by suspending them, such as the organisation PARCEM, one of the last remaining civil society organisations still active</w:t>
      </w:r>
      <w:r w:rsidR="00621952" w:rsidRPr="00E72ABD">
        <w:t>, which</w:t>
      </w:r>
      <w:r w:rsidRPr="00E72ABD">
        <w:t xml:space="preserve"> was suspended </w:t>
      </w:r>
      <w:r w:rsidR="00621952" w:rsidRPr="00E72ABD">
        <w:t xml:space="preserve">indefinitely </w:t>
      </w:r>
      <w:r w:rsidR="00456B99" w:rsidRPr="00E72ABD">
        <w:t xml:space="preserve">as of </w:t>
      </w:r>
      <w:r w:rsidRPr="00E72ABD">
        <w:t>July 2019</w:t>
      </w:r>
      <w:r w:rsidR="00456B99" w:rsidRPr="00E72ABD">
        <w:t>.</w:t>
      </w:r>
      <w:r w:rsidRPr="00E72ABD">
        <w:rPr>
          <w:sz w:val="18"/>
          <w:vertAlign w:val="superscript"/>
        </w:rPr>
        <w:footnoteReference w:id="324"/>
      </w:r>
      <w:r w:rsidRPr="00E72ABD">
        <w:t xml:space="preserve"> Before the crisis, national NGOs, </w:t>
      </w:r>
      <w:r w:rsidR="00C60E39" w:rsidRPr="00E72ABD">
        <w:t xml:space="preserve">several </w:t>
      </w:r>
      <w:r w:rsidRPr="00E72ABD">
        <w:t>of which were active in human rights matters, made up an active, solid, organized and representative national civil society. Since many of them opposed President Nkurunziza’s third term, they were</w:t>
      </w:r>
      <w:r w:rsidR="00C60E39" w:rsidRPr="00E72ABD">
        <w:t>,</w:t>
      </w:r>
      <w:r w:rsidRPr="00E72ABD">
        <w:t xml:space="preserve"> along with their members and representatives</w:t>
      </w:r>
      <w:r w:rsidR="00C60E39" w:rsidRPr="00E72ABD">
        <w:t>,</w:t>
      </w:r>
      <w:r w:rsidRPr="00E72ABD">
        <w:t xml:space="preserve"> amongst the main victims of the repression. Several of them have therefore been suspended or dissolved and several of their representatives and members were forced into exile in order to avoid arbitrary detention, perhaps even execution like some of their peers</w:t>
      </w:r>
      <w:r w:rsidR="00C60E39" w:rsidRPr="00E72ABD">
        <w:t>.</w:t>
      </w:r>
      <w:r w:rsidRPr="00E72ABD">
        <w:rPr>
          <w:sz w:val="18"/>
          <w:vertAlign w:val="superscript"/>
        </w:rPr>
        <w:footnoteReference w:id="325"/>
      </w:r>
      <w:r w:rsidRPr="00E72ABD">
        <w:t xml:space="preserve"> </w:t>
      </w:r>
    </w:p>
    <w:p w14:paraId="38BD90D1" w14:textId="20C7278A" w:rsidR="00EC58CC" w:rsidRPr="00E72ABD" w:rsidRDefault="00EC58CC" w:rsidP="00EC58CC">
      <w:pPr>
        <w:spacing w:after="120"/>
        <w:ind w:left="1134" w:right="1134"/>
        <w:jc w:val="both"/>
      </w:pPr>
      <w:r w:rsidRPr="00E72ABD">
        <w:t>432.</w:t>
      </w:r>
      <w:r w:rsidRPr="00E72ABD">
        <w:tab/>
        <w:t xml:space="preserve">International NGOs, that published critical reports on the human rights situation or prepared advocacy papers related to it and who are outside </w:t>
      </w:r>
      <w:r w:rsidR="007F5B89">
        <w:t>Government</w:t>
      </w:r>
      <w:r w:rsidRPr="00E72ABD">
        <w:t xml:space="preserve"> purview, have been accused of being pawns </w:t>
      </w:r>
      <w:r w:rsidRPr="00E72ABD">
        <w:rPr>
          <w:lang w:val="en-US"/>
        </w:rPr>
        <w:t>bankrolled</w:t>
      </w:r>
      <w:r w:rsidRPr="00E72ABD">
        <w:t xml:space="preserve"> by countries bent on attacking the national sovereignty and on “torpedoing the 2020 elections in Burundi”</w:t>
      </w:r>
      <w:r w:rsidR="00C60E39" w:rsidRPr="00E72ABD">
        <w:t>.</w:t>
      </w:r>
      <w:r w:rsidRPr="00E72ABD">
        <w:rPr>
          <w:sz w:val="18"/>
          <w:vertAlign w:val="superscript"/>
        </w:rPr>
        <w:footnoteReference w:id="326"/>
      </w:r>
      <w:r w:rsidRPr="00E72ABD">
        <w:t xml:space="preserve"> </w:t>
      </w:r>
    </w:p>
    <w:p w14:paraId="5B6963C9" w14:textId="58D219EE" w:rsidR="00EC58CC" w:rsidRPr="00E72ABD" w:rsidRDefault="00EC58CC" w:rsidP="00EC58CC">
      <w:pPr>
        <w:spacing w:after="120"/>
        <w:ind w:left="1134" w:right="1134"/>
        <w:jc w:val="both"/>
      </w:pPr>
      <w:r w:rsidRPr="00E72ABD">
        <w:t>433.</w:t>
      </w:r>
      <w:r w:rsidRPr="00E72ABD">
        <w:tab/>
        <w:t xml:space="preserve">The </w:t>
      </w:r>
      <w:r w:rsidR="002E6630">
        <w:t>Burundian</w:t>
      </w:r>
      <w:r w:rsidRPr="00E72ABD">
        <w:t xml:space="preserve"> </w:t>
      </w:r>
      <w:r w:rsidR="007F5B89">
        <w:t>Government</w:t>
      </w:r>
      <w:r w:rsidRPr="00E72ABD">
        <w:t xml:space="preserve"> clearly has a peculiar understanding of the role of civil society and the organisations therein, which must not be independent and free “to decide and carry out activities of their choosing”</w:t>
      </w:r>
      <w:r w:rsidR="00456B99" w:rsidRPr="00E72ABD">
        <w:t>.</w:t>
      </w:r>
      <w:r w:rsidRPr="00E72ABD">
        <w:rPr>
          <w:sz w:val="18"/>
          <w:vertAlign w:val="superscript"/>
        </w:rPr>
        <w:footnoteReference w:id="327"/>
      </w:r>
      <w:r w:rsidRPr="00E72ABD">
        <w:t xml:space="preserve"> They must only serve the interest of the </w:t>
      </w:r>
      <w:r w:rsidR="007F5B89">
        <w:t>Government</w:t>
      </w:r>
      <w:r w:rsidRPr="00E72ABD">
        <w:t xml:space="preserve"> and support its politics and decisions. Since 2011, the </w:t>
      </w:r>
      <w:r w:rsidR="007F5B89">
        <w:t>Government</w:t>
      </w:r>
      <w:r w:rsidRPr="00E72ABD">
        <w:t xml:space="preserve"> has thus supported the creation of an alternate civil society- labelled </w:t>
      </w:r>
      <w:r w:rsidR="00DC2D4C" w:rsidRPr="00E72ABD">
        <w:t xml:space="preserve">as “civic” </w:t>
      </w:r>
      <w:r w:rsidRPr="00E72ABD">
        <w:t xml:space="preserve">– composed of national NGOs </w:t>
      </w:r>
      <w:r w:rsidR="00855F4E">
        <w:t>that</w:t>
      </w:r>
      <w:r w:rsidRPr="00E72ABD">
        <w:t xml:space="preserve"> openly support the </w:t>
      </w:r>
      <w:r w:rsidR="007F5B89">
        <w:t>Government</w:t>
      </w:r>
      <w:r w:rsidRPr="00E72ABD">
        <w:t xml:space="preserve"> and serve as </w:t>
      </w:r>
      <w:r w:rsidR="001B73FF" w:rsidRPr="00E72ABD">
        <w:t xml:space="preserve">its </w:t>
      </w:r>
      <w:r w:rsidR="00DC2D4C" w:rsidRPr="00E72ABD">
        <w:t>sounding-board.</w:t>
      </w:r>
      <w:r w:rsidRPr="00E72ABD">
        <w:rPr>
          <w:sz w:val="18"/>
          <w:vertAlign w:val="superscript"/>
        </w:rPr>
        <w:footnoteReference w:id="328"/>
      </w:r>
      <w:r w:rsidRPr="00E72ABD">
        <w:t xml:space="preserve"> </w:t>
      </w:r>
    </w:p>
    <w:p w14:paraId="75260942" w14:textId="34AB8CA1" w:rsidR="00EC58CC" w:rsidRPr="00E72ABD" w:rsidRDefault="00EC58CC" w:rsidP="00EC58CC">
      <w:pPr>
        <w:spacing w:after="120"/>
        <w:ind w:left="1134" w:right="1134"/>
        <w:jc w:val="both"/>
      </w:pPr>
      <w:r w:rsidRPr="00E72ABD">
        <w:t>434.</w:t>
      </w:r>
      <w:r w:rsidRPr="00E72ABD">
        <w:tab/>
      </w:r>
      <w:r w:rsidR="00855F4E">
        <w:t>Threfore, c</w:t>
      </w:r>
      <w:r w:rsidRPr="00E72ABD">
        <w:t>ivil society in Burundi is currently unable to play its role as the “cornerstone of a democratic society”</w:t>
      </w:r>
      <w:r w:rsidR="00DC2D4C" w:rsidRPr="00E72ABD">
        <w:t>.</w:t>
      </w:r>
      <w:r w:rsidRPr="00E72ABD">
        <w:rPr>
          <w:sz w:val="18"/>
          <w:vertAlign w:val="superscript"/>
        </w:rPr>
        <w:footnoteReference w:id="329"/>
      </w:r>
      <w:r w:rsidRPr="00E72ABD">
        <w:t xml:space="preserve"> </w:t>
      </w:r>
    </w:p>
    <w:p w14:paraId="4F3E10C0" w14:textId="77777777" w:rsidR="00EC58CC" w:rsidRPr="00E72ABD" w:rsidRDefault="00EC58CC" w:rsidP="00EC58CC">
      <w:pPr>
        <w:keepNext/>
        <w:keepLines/>
        <w:tabs>
          <w:tab w:val="right" w:pos="851"/>
        </w:tabs>
        <w:spacing w:before="240" w:after="120" w:line="240" w:lineRule="exact"/>
        <w:ind w:left="1134" w:right="1134" w:hanging="1134"/>
        <w:jc w:val="both"/>
      </w:pPr>
      <w:r w:rsidRPr="00E72ABD">
        <w:tab/>
      </w:r>
      <w:r w:rsidRPr="00E72ABD">
        <w:tab/>
      </w:r>
      <w:proofErr w:type="gramStart"/>
      <w:r w:rsidRPr="00E72ABD">
        <w:t>(iv)</w:t>
      </w:r>
      <w:r w:rsidRPr="00E72ABD">
        <w:tab/>
        <w:t>Media</w:t>
      </w:r>
      <w:proofErr w:type="gramEnd"/>
      <w:r w:rsidRPr="00E72ABD">
        <w:t xml:space="preserve"> censorship</w:t>
      </w:r>
    </w:p>
    <w:p w14:paraId="1B15859F" w14:textId="2A7DEB7F" w:rsidR="00EC58CC" w:rsidRPr="00E72ABD" w:rsidRDefault="00EC58CC" w:rsidP="00EC58CC">
      <w:pPr>
        <w:spacing w:after="120"/>
        <w:ind w:left="1134" w:right="1134"/>
        <w:jc w:val="both"/>
      </w:pPr>
      <w:r w:rsidRPr="00E72ABD">
        <w:t>435.</w:t>
      </w:r>
      <w:r w:rsidRPr="00E72ABD">
        <w:tab/>
        <w:t>In order to guarantee the holding of free and credible elections, journalists and media must be able to work freely, without interference, intimidation or obstruction. Censorship must be prohibited, and media editorial independence must be respected. In fact, media have an important role to play in the context of elections, including relaying messages to political parties and candidates, monitoring and supervising the electoral process and providing voters with information on candidates and the electoral process</w:t>
      </w:r>
      <w:r w:rsidR="00DC2D4C" w:rsidRPr="00E72ABD">
        <w:t>.</w:t>
      </w:r>
      <w:r w:rsidRPr="00E72ABD">
        <w:rPr>
          <w:sz w:val="18"/>
          <w:vertAlign w:val="superscript"/>
        </w:rPr>
        <w:footnoteReference w:id="330"/>
      </w:r>
    </w:p>
    <w:p w14:paraId="23B3DF82" w14:textId="1D309193" w:rsidR="00EC58CC" w:rsidRPr="00E72ABD" w:rsidRDefault="00EC58CC" w:rsidP="00EC58CC">
      <w:pPr>
        <w:spacing w:after="120"/>
        <w:ind w:left="1134" w:right="1134"/>
        <w:jc w:val="both"/>
      </w:pPr>
      <w:r w:rsidRPr="00E72ABD">
        <w:t>436.</w:t>
      </w:r>
      <w:r w:rsidRPr="00E72ABD">
        <w:tab/>
        <w:t xml:space="preserve">The media currently present </w:t>
      </w:r>
      <w:r w:rsidR="00DC2D4C" w:rsidRPr="00E72ABD">
        <w:t xml:space="preserve">in </w:t>
      </w:r>
      <w:r w:rsidRPr="00E72ABD">
        <w:t>Burundi</w:t>
      </w:r>
      <w:r w:rsidR="00DC2D4C" w:rsidRPr="00E72ABD">
        <w:t xml:space="preserve"> </w:t>
      </w:r>
      <w:r w:rsidRPr="00E72ABD">
        <w:t>are closely monitored and subject to genuine censorship by the National Communication Council</w:t>
      </w:r>
      <w:r w:rsidR="00DC2D4C" w:rsidRPr="00E72ABD">
        <w:t xml:space="preserve"> (CNC)</w:t>
      </w:r>
      <w:r w:rsidRPr="00E72ABD">
        <w:t xml:space="preserve">. The profession of journalism is equally strictly regulated by the new legal framework governing media since September 2018, under the guise of professionalization, but </w:t>
      </w:r>
      <w:r w:rsidR="00DC2D4C" w:rsidRPr="00E72ABD">
        <w:t>breaking with</w:t>
      </w:r>
      <w:r w:rsidRPr="00E72ABD">
        <w:t xml:space="preserve"> recogni</w:t>
      </w:r>
      <w:r w:rsidRPr="00E72ABD">
        <w:rPr>
          <w:lang w:val="en-US"/>
        </w:rPr>
        <w:t>z</w:t>
      </w:r>
      <w:r w:rsidRPr="00E72ABD">
        <w:t>ed international standards of journalistic ethics and conduct. Many national radio stations and newspapers have been suspended or have had their licences revoked at the beginning of the 2015 crisis. Journalists who are still in Burundi, have continued to face serious challenges in the course of their work. They have been the target of pressure, threats and violence, which led several of them to seek refuge abroad; while others have been killed or disappeared</w:t>
      </w:r>
      <w:r w:rsidR="00DC2D4C" w:rsidRPr="00E72ABD">
        <w:t>.</w:t>
      </w:r>
      <w:r w:rsidRPr="00E72ABD">
        <w:rPr>
          <w:sz w:val="18"/>
          <w:vertAlign w:val="superscript"/>
        </w:rPr>
        <w:footnoteReference w:id="331"/>
      </w:r>
    </w:p>
    <w:p w14:paraId="4692414A" w14:textId="24258D0A" w:rsidR="00EC58CC" w:rsidRPr="00E72ABD" w:rsidRDefault="00EC58CC" w:rsidP="00EC58CC">
      <w:pPr>
        <w:spacing w:after="120"/>
        <w:ind w:left="1134" w:right="1134"/>
        <w:jc w:val="both"/>
      </w:pPr>
      <w:r w:rsidRPr="00E72ABD">
        <w:t>437.</w:t>
      </w:r>
      <w:r w:rsidRPr="00E72ABD">
        <w:tab/>
        <w:t xml:space="preserve">Since the end of 2018, international radio stations have also been on the receiving end of warnings, suspensions or licence revocations, namely BBC, VOA and RFI. In July 2019, Iwacu, one of the last remaining independent </w:t>
      </w:r>
      <w:r w:rsidR="00855F4E">
        <w:t>media</w:t>
      </w:r>
      <w:r w:rsidRPr="00E72ABD">
        <w:t xml:space="preserve"> that is still operational, was warned by CNC, </w:t>
      </w:r>
      <w:r w:rsidR="00DC2D4C" w:rsidRPr="00E72ABD">
        <w:t xml:space="preserve">which </w:t>
      </w:r>
      <w:r w:rsidRPr="00E72ABD">
        <w:t>accu</w:t>
      </w:r>
      <w:r w:rsidR="00DC2D4C" w:rsidRPr="00E72ABD">
        <w:t xml:space="preserve">sed </w:t>
      </w:r>
      <w:r w:rsidRPr="00E72ABD">
        <w:t xml:space="preserve">the </w:t>
      </w:r>
      <w:r w:rsidR="00855F4E">
        <w:t>press group Iwacu</w:t>
      </w:r>
      <w:r w:rsidRPr="00E72ABD">
        <w:t xml:space="preserve"> </w:t>
      </w:r>
      <w:r w:rsidR="00DC2D4C" w:rsidRPr="00E72ABD">
        <w:t xml:space="preserve">of </w:t>
      </w:r>
      <w:r w:rsidRPr="00E72ABD">
        <w:t>ha</w:t>
      </w:r>
      <w:r w:rsidR="00DC2D4C" w:rsidRPr="00E72ABD">
        <w:t>ving</w:t>
      </w:r>
      <w:r w:rsidRPr="00E72ABD">
        <w:t xml:space="preserve"> published unbalanced and unsubstantiated information</w:t>
      </w:r>
      <w:r w:rsidR="00DC2D4C" w:rsidRPr="00E72ABD">
        <w:t>,</w:t>
      </w:r>
      <w:r w:rsidRPr="00E72ABD">
        <w:t xml:space="preserve"> but with</w:t>
      </w:r>
      <w:r w:rsidR="00855F4E">
        <w:t>out providing</w:t>
      </w:r>
      <w:r w:rsidRPr="00E72ABD">
        <w:t xml:space="preserve"> additional information on these accusations. RTNB is now run by individuals who are close to </w:t>
      </w:r>
      <w:r w:rsidR="00DC2D4C" w:rsidRPr="00E72ABD">
        <w:t>the executive power.</w:t>
      </w:r>
      <w:r w:rsidRPr="00E72ABD">
        <w:rPr>
          <w:sz w:val="18"/>
          <w:vertAlign w:val="superscript"/>
        </w:rPr>
        <w:footnoteReference w:id="332"/>
      </w:r>
    </w:p>
    <w:p w14:paraId="73DF7D29" w14:textId="77777777" w:rsidR="00EC58CC" w:rsidRPr="00E72ABD" w:rsidRDefault="00EC58CC" w:rsidP="00EC58CC">
      <w:pPr>
        <w:spacing w:after="120"/>
        <w:ind w:left="1134" w:right="1134"/>
        <w:jc w:val="both"/>
      </w:pPr>
      <w:r w:rsidRPr="00E72ABD">
        <w:t>438.</w:t>
      </w:r>
      <w:r w:rsidRPr="00E72ABD">
        <w:tab/>
        <w:t>Currently, the media present in Burundi is neither free, diversified nor independent. They can barely perform the fundamental duties of the media during an electoral process: since they would have to comment and debate political questions of public interest without censorship or restrictions. They should also be able to promote, criticize or oppose political ideas while working in an environment in which their security is guaranteed.</w:t>
      </w:r>
      <w:r w:rsidRPr="00E72ABD">
        <w:rPr>
          <w:sz w:val="18"/>
          <w:vertAlign w:val="superscript"/>
        </w:rPr>
        <w:footnoteReference w:id="333"/>
      </w:r>
    </w:p>
    <w:p w14:paraId="5FD18075" w14:textId="2E6C0A70" w:rsidR="00EC58CC" w:rsidRPr="00E72ABD" w:rsidRDefault="00EC58CC" w:rsidP="00EC58CC">
      <w:pPr>
        <w:keepNext/>
        <w:keepLines/>
        <w:tabs>
          <w:tab w:val="right" w:pos="851"/>
        </w:tabs>
        <w:spacing w:before="240" w:after="120" w:line="240" w:lineRule="exact"/>
        <w:ind w:left="1134" w:right="1134"/>
        <w:jc w:val="both"/>
        <w:rPr>
          <w:i/>
        </w:rPr>
      </w:pPr>
      <w:r w:rsidRPr="00E72ABD">
        <w:rPr>
          <w:i/>
        </w:rPr>
        <w:tab/>
        <w:t>b)</w:t>
      </w:r>
      <w:r w:rsidRPr="00E72ABD">
        <w:rPr>
          <w:i/>
        </w:rPr>
        <w:tab/>
        <w:t>Clamping down the political space and political intolerance</w:t>
      </w:r>
    </w:p>
    <w:p w14:paraId="0339FE5F" w14:textId="2F249A2F" w:rsidR="00EC58CC" w:rsidRPr="00E72ABD" w:rsidRDefault="00EC58CC" w:rsidP="00EC58CC">
      <w:pPr>
        <w:spacing w:after="120"/>
        <w:ind w:left="1134" w:right="1134"/>
        <w:jc w:val="both"/>
      </w:pPr>
      <w:r w:rsidRPr="00E72ABD">
        <w:t>439.</w:t>
      </w:r>
      <w:r w:rsidRPr="00E72ABD">
        <w:tab/>
        <w:t xml:space="preserve">The African </w:t>
      </w:r>
      <w:r w:rsidR="00CE7888" w:rsidRPr="00E72ABD">
        <w:t>C</w:t>
      </w:r>
      <w:r w:rsidRPr="00E72ABD">
        <w:t xml:space="preserve">harter </w:t>
      </w:r>
      <w:r w:rsidR="00CE7888" w:rsidRPr="00E72ABD">
        <w:t>on D</w:t>
      </w:r>
      <w:r w:rsidRPr="00E72ABD">
        <w:t xml:space="preserve">emocracy, </w:t>
      </w:r>
      <w:r w:rsidR="00CE7888" w:rsidRPr="00E72ABD">
        <w:t xml:space="preserve">Elections </w:t>
      </w:r>
      <w:r w:rsidRPr="00E72ABD">
        <w:t xml:space="preserve">and </w:t>
      </w:r>
      <w:r w:rsidR="00CE7888" w:rsidRPr="00E72ABD">
        <w:t xml:space="preserve">Governance </w:t>
      </w:r>
      <w:r w:rsidRPr="00E72ABD">
        <w:t>reaffirms that State parties should put in place measures to reinforce “political pluralism specifically by recognizing the role, the rights and the obligations of legally registered political parties including opposition political parties that must be guaranteed a status under the national law</w:t>
      </w:r>
      <w:r w:rsidR="00CE7888" w:rsidRPr="00E72ABD">
        <w:t>”.</w:t>
      </w:r>
      <w:r w:rsidRPr="00E72ABD">
        <w:rPr>
          <w:sz w:val="18"/>
          <w:vertAlign w:val="superscript"/>
        </w:rPr>
        <w:footnoteReference w:id="334"/>
      </w:r>
      <w:r w:rsidRPr="00E72ABD">
        <w:t xml:space="preserve"> The Bamako </w:t>
      </w:r>
      <w:r w:rsidR="00CE7888" w:rsidRPr="00E72ABD">
        <w:t xml:space="preserve">Declaration </w:t>
      </w:r>
      <w:r w:rsidRPr="00E72ABD">
        <w:t xml:space="preserve">adopted by Member States of the International Organization of </w:t>
      </w:r>
      <w:r w:rsidR="00456B99" w:rsidRPr="00E72ABD">
        <w:t xml:space="preserve">La </w:t>
      </w:r>
      <w:r w:rsidRPr="00E72ABD">
        <w:t>Francophonie, of which Burundi is a member State since 1970, recalls that “democracy assumes the existence of political parties enjoying equal rights before the law, free to organize and to express their opinions […] democracy goes hand in hand with a multiparty system”</w:t>
      </w:r>
      <w:r w:rsidR="00456B99" w:rsidRPr="00E72ABD">
        <w:t>.</w:t>
      </w:r>
      <w:r w:rsidRPr="00E72ABD">
        <w:rPr>
          <w:sz w:val="18"/>
          <w:vertAlign w:val="superscript"/>
        </w:rPr>
        <w:footnoteReference w:id="335"/>
      </w:r>
      <w:r w:rsidRPr="00E72ABD">
        <w:t xml:space="preserve"> A multiparty system in a context of political tolerance is therefore a prerequisite for the existence of a democratic society and the holding of free, fair, transparent and credible elections.</w:t>
      </w:r>
    </w:p>
    <w:p w14:paraId="62E02B45" w14:textId="6DA79D9B" w:rsidR="00EC58CC" w:rsidRPr="00E72ABD" w:rsidRDefault="00EC58CC" w:rsidP="00EC58CC">
      <w:pPr>
        <w:spacing w:after="120"/>
        <w:ind w:left="1134" w:right="1134"/>
        <w:jc w:val="both"/>
      </w:pPr>
      <w:r w:rsidRPr="00E72ABD">
        <w:t>440.</w:t>
      </w:r>
      <w:r w:rsidRPr="00E72ABD">
        <w:tab/>
        <w:t xml:space="preserve">On 22 and 23 June 2017, a political retreat was organized by the Ombudsman and moderated by Mgr. Jean Louis Nahimana and </w:t>
      </w:r>
      <w:r w:rsidR="00855F4E">
        <w:t>Brother</w:t>
      </w:r>
      <w:r w:rsidRPr="00E72ABD">
        <w:t xml:space="preserve"> Emmanuel Ntakarutimana, in Kayanza, with the aim of drawing up conclusions, conduct guidelines as well as actions to be taken in the short, medium and long term, in order to allow the holding of peaceful elections in 2020, while working towards the establishment of a conducive socio-political climate and restoring trust amongst political leaders. The participants had already recognized the existence of “relative political intolerance” in Burundi, and that the political space was not equally guaranteed to political leaders and officials. The non-inclusive nature of CENI was noted, as well as the existence of the “youth movement affiliated to political parties who are manipulated by political leaders and officials”, as well as the fact that impunity continued to promote social crises in Burundi in a repetitive manner.</w:t>
      </w:r>
      <w:r w:rsidRPr="00E72ABD">
        <w:rPr>
          <w:sz w:val="18"/>
          <w:vertAlign w:val="superscript"/>
        </w:rPr>
        <w:footnoteReference w:id="336"/>
      </w:r>
    </w:p>
    <w:p w14:paraId="4CE8EF14" w14:textId="419D7918" w:rsidR="00EC58CC" w:rsidRPr="00E72ABD" w:rsidRDefault="00EC58CC" w:rsidP="00EC58CC">
      <w:pPr>
        <w:spacing w:after="120"/>
        <w:ind w:left="1134" w:right="1134"/>
        <w:jc w:val="both"/>
      </w:pPr>
      <w:r w:rsidRPr="00E72ABD">
        <w:t>441.</w:t>
      </w:r>
      <w:r w:rsidRPr="00E72ABD">
        <w:tab/>
        <w:t xml:space="preserve">The roadmap for the 2020 elections preparation was signed a year later, on 3 August 2018, by the ruling party CNDD-FDD and 24 political parties loyal to the </w:t>
      </w:r>
      <w:r w:rsidR="007F5B89">
        <w:t>Government</w:t>
      </w:r>
      <w:r w:rsidRPr="00E72ABD">
        <w:t xml:space="preserve">. The roadmap does not contain any commitment to solve the main issues identified during the June 2017 retreat. With regards to CENI, the commitment to improve its inclusiveness was limited to its local branches. Several conclusions in this roadmap echoed </w:t>
      </w:r>
      <w:r w:rsidR="007F5B89">
        <w:t>Government</w:t>
      </w:r>
      <w:r w:rsidRPr="00E72ABD">
        <w:t xml:space="preserve"> positions which refused to recognize the situation of humanitarian, economic, social and political crisis that resulted from 2015. For example, with regards to the refugees that fled in 2015 and who are encouraged to return, the roadmap explains that their exile was caused by “rumours spread during the 2015 elections”, that the human rights situation is “politicized for ulterior </w:t>
      </w:r>
      <w:proofErr w:type="gramStart"/>
      <w:r w:rsidRPr="00E72ABD">
        <w:t>motives ”</w:t>
      </w:r>
      <w:proofErr w:type="gramEnd"/>
      <w:r w:rsidRPr="00E72ABD">
        <w:t>, that “false reports” on Burundi “continued to be produced with the support of some countries in the European Union” and finally that no “politician” is under prosecution in Burundi except the “putschists”</w:t>
      </w:r>
      <w:r w:rsidR="00456B99" w:rsidRPr="00E72ABD">
        <w:t>.</w:t>
      </w:r>
      <w:r w:rsidRPr="00E72ABD">
        <w:rPr>
          <w:sz w:val="18"/>
          <w:vertAlign w:val="superscript"/>
        </w:rPr>
        <w:footnoteReference w:id="337"/>
      </w:r>
      <w:r w:rsidRPr="00E72ABD">
        <w:t xml:space="preserve"> This roadmap has therefore contributed more to closing off political space on the eve of elections than guaranteeing a favourable and peaceful atmosphere during these elections.</w:t>
      </w:r>
    </w:p>
    <w:p w14:paraId="1F28AA29" w14:textId="68DD040D" w:rsidR="00EC58CC" w:rsidRPr="00E72ABD" w:rsidRDefault="00EC58CC" w:rsidP="00EC58CC">
      <w:pPr>
        <w:keepNext/>
        <w:keepLines/>
        <w:tabs>
          <w:tab w:val="right" w:pos="851"/>
        </w:tabs>
        <w:spacing w:before="240" w:after="120" w:line="240" w:lineRule="exact"/>
        <w:ind w:left="1134" w:right="1134" w:hanging="1134"/>
        <w:jc w:val="both"/>
      </w:pPr>
      <w:r w:rsidRPr="00E72ABD">
        <w:tab/>
      </w:r>
      <w:r w:rsidRPr="00E72ABD">
        <w:tab/>
        <w:t>(i)</w:t>
      </w:r>
      <w:r w:rsidRPr="00E72ABD">
        <w:tab/>
        <w:t xml:space="preserve">A </w:t>
      </w:r>
      <w:r w:rsidR="00CE7888" w:rsidRPr="00E72ABD">
        <w:t xml:space="preserve">deceptive </w:t>
      </w:r>
      <w:r w:rsidRPr="00E72ABD">
        <w:t>multiparty system</w:t>
      </w:r>
    </w:p>
    <w:p w14:paraId="76149CD7" w14:textId="463D75B8" w:rsidR="00EC58CC" w:rsidRPr="00E72ABD" w:rsidRDefault="00EC58CC" w:rsidP="00EC58CC">
      <w:pPr>
        <w:spacing w:after="120"/>
        <w:ind w:left="1134" w:right="1134"/>
        <w:jc w:val="both"/>
      </w:pPr>
      <w:r w:rsidRPr="00E72ABD">
        <w:t>442.</w:t>
      </w:r>
      <w:r w:rsidRPr="00E72ABD">
        <w:tab/>
        <w:t xml:space="preserve">The freedom of </w:t>
      </w:r>
      <w:r w:rsidR="00D1497B" w:rsidRPr="00E72ABD">
        <w:t>establishment</w:t>
      </w:r>
      <w:r w:rsidR="00CE7888" w:rsidRPr="00E72ABD">
        <w:t xml:space="preserve"> </w:t>
      </w:r>
      <w:r w:rsidRPr="00E72ABD">
        <w:t xml:space="preserve">and </w:t>
      </w:r>
      <w:r w:rsidR="00CE7888" w:rsidRPr="00E72ABD">
        <w:t xml:space="preserve">activity </w:t>
      </w:r>
      <w:r w:rsidRPr="00E72ABD">
        <w:t>of political parties is intrinsic to the freedom of association because the “political parties are in fact; the first avenue for the population to participate in the conduct of public affairs” and they “ensure the pluralism and the proper functioning of democracy”</w:t>
      </w:r>
      <w:r w:rsidR="00456B99" w:rsidRPr="00E72ABD">
        <w:t>.</w:t>
      </w:r>
      <w:r w:rsidRPr="00E72ABD">
        <w:rPr>
          <w:sz w:val="18"/>
          <w:vertAlign w:val="superscript"/>
        </w:rPr>
        <w:footnoteReference w:id="338"/>
      </w:r>
      <w:r w:rsidRPr="00E72ABD">
        <w:t xml:space="preserve"> The only possible restrictions to the establishment of political parties are those “prescribed or determined by law and which are necessary in a democratic society, in the interest of national security or public safety, public order (</w:t>
      </w:r>
      <w:r w:rsidRPr="00E72ABD">
        <w:rPr>
          <w:i/>
        </w:rPr>
        <w:t>ordre public</w:t>
      </w:r>
      <w:r w:rsidRPr="00E72ABD">
        <w:t>), the protection of public health or morals or the protection of the rights and freedoms of others”</w:t>
      </w:r>
      <w:r w:rsidR="00456B99" w:rsidRPr="00E72ABD">
        <w:t>.</w:t>
      </w:r>
      <w:r w:rsidRPr="00E72ABD">
        <w:rPr>
          <w:sz w:val="18"/>
          <w:vertAlign w:val="superscript"/>
        </w:rPr>
        <w:footnoteReference w:id="339"/>
      </w:r>
      <w:r w:rsidRPr="00E72ABD">
        <w:t xml:space="preserve"> The presumption must however remain in favour of the establishment of political parties</w:t>
      </w:r>
      <w:r w:rsidR="00456B99" w:rsidRPr="00E72ABD">
        <w:t>.</w:t>
      </w:r>
      <w:r w:rsidRPr="00E72ABD">
        <w:rPr>
          <w:sz w:val="18"/>
          <w:vertAlign w:val="superscript"/>
        </w:rPr>
        <w:footnoteReference w:id="340"/>
      </w:r>
    </w:p>
    <w:p w14:paraId="0FD1DBEB" w14:textId="17C802E4" w:rsidR="00EC58CC" w:rsidRPr="00E72ABD" w:rsidRDefault="00EC58CC" w:rsidP="00EC58CC">
      <w:pPr>
        <w:spacing w:after="120"/>
        <w:ind w:left="1134" w:right="1134"/>
        <w:jc w:val="both"/>
      </w:pPr>
      <w:r w:rsidRPr="00E72ABD">
        <w:t>443.</w:t>
      </w:r>
      <w:r w:rsidRPr="00E72ABD">
        <w:tab/>
        <w:t>Admittedly, there are numerous political parties registered in Burundi</w:t>
      </w:r>
      <w:r w:rsidR="00456B99" w:rsidRPr="00E72ABD">
        <w:t>,</w:t>
      </w:r>
      <w:r w:rsidRPr="00E72ABD">
        <w:rPr>
          <w:sz w:val="18"/>
          <w:vertAlign w:val="superscript"/>
        </w:rPr>
        <w:footnoteReference w:id="341"/>
      </w:r>
      <w:r w:rsidRPr="00E72ABD">
        <w:t xml:space="preserve"> some of which are officially part of the parliamentarian and extra-parliamentarian opposition, since the country has the peculiarity of legally and officially recognizing the political opposition and giving a full-fledged status to the leader of the opposition</w:t>
      </w:r>
      <w:r w:rsidR="002C4705" w:rsidRPr="00E72ABD">
        <w:t>.</w:t>
      </w:r>
      <w:r w:rsidRPr="00E72ABD">
        <w:rPr>
          <w:sz w:val="18"/>
          <w:vertAlign w:val="superscript"/>
        </w:rPr>
        <w:footnoteReference w:id="342"/>
      </w:r>
      <w:r w:rsidRPr="00E72ABD">
        <w:t xml:space="preserve"> However, since CNDD-FDD came to power, the majority or the main opposition political parties have been infiltrated in order to sow dissent in their midst and break them up into several wings, one of which will be loyal to the ruling power and ends up being the only one that is officially recognized. This well-k</w:t>
      </w:r>
      <w:r w:rsidR="00117EF3">
        <w:t xml:space="preserve">nown phenomenon has been named </w:t>
      </w:r>
      <w:r w:rsidRPr="006461A6">
        <w:rPr>
          <w:i/>
        </w:rPr>
        <w:t>nyakurisation</w:t>
      </w:r>
      <w:r w:rsidRPr="00E72ABD">
        <w:rPr>
          <w:sz w:val="18"/>
          <w:vertAlign w:val="superscript"/>
        </w:rPr>
        <w:footnoteReference w:id="343"/>
      </w:r>
      <w:r w:rsidRPr="00E72ABD">
        <w:t xml:space="preserve"> of political parties, in large part as a result of the manoeuvring of the former </w:t>
      </w:r>
      <w:r w:rsidR="00EF2D2F" w:rsidRPr="00E72ABD">
        <w:t>Minister</w:t>
      </w:r>
      <w:r w:rsidRPr="00E72ABD">
        <w:t xml:space="preserve"> of Interior and Patriotic Education from 2010 to 2015, Édouard Nduwimana, who is the current Ombudsman.</w:t>
      </w:r>
    </w:p>
    <w:p w14:paraId="00EE8AEF" w14:textId="797AE751" w:rsidR="00EC58CC" w:rsidRPr="00E72ABD" w:rsidRDefault="00EC58CC" w:rsidP="00EC58CC">
      <w:pPr>
        <w:spacing w:after="120"/>
        <w:ind w:left="1134" w:right="1134"/>
        <w:jc w:val="both"/>
      </w:pPr>
      <w:r w:rsidRPr="00E72ABD">
        <w:t>444.</w:t>
      </w:r>
      <w:r w:rsidRPr="00E72ABD">
        <w:tab/>
        <w:t xml:space="preserve">For example, </w:t>
      </w:r>
      <w:r w:rsidRPr="00E72ABD">
        <w:rPr>
          <w:i/>
        </w:rPr>
        <w:t>Union pour le progr</w:t>
      </w:r>
      <w:r w:rsidRPr="00E72ABD">
        <w:rPr>
          <w:i/>
          <w:lang w:val="en-US"/>
        </w:rPr>
        <w:t>ès national</w:t>
      </w:r>
      <w:r w:rsidRPr="00E72ABD">
        <w:rPr>
          <w:lang w:val="en-US"/>
        </w:rPr>
        <w:t xml:space="preserve"> </w:t>
      </w:r>
      <w:r w:rsidRPr="00E72ABD">
        <w:t>(UPRONA</w:t>
      </w:r>
      <w:r w:rsidRPr="00E72ABD">
        <w:rPr>
          <w:lang w:val="en-US"/>
        </w:rPr>
        <w:t>)</w:t>
      </w:r>
      <w:r w:rsidRPr="00E72ABD">
        <w:t xml:space="preserve"> has an officially recognised wing under the leadership of Abel Gashatsi, who supported the constitutional revi</w:t>
      </w:r>
      <w:r w:rsidR="006461A6">
        <w:t>sion</w:t>
      </w:r>
      <w:r w:rsidRPr="00E72ABD">
        <w:t xml:space="preserve">, called for a yes vote during the referendum, supported the exclusion of the CNARED platform from the </w:t>
      </w:r>
      <w:r w:rsidR="00F61030" w:rsidRPr="00E72ABD">
        <w:t>inter-</w:t>
      </w:r>
      <w:r w:rsidR="002E6630">
        <w:t>Burundian</w:t>
      </w:r>
      <w:r w:rsidRPr="00E72ABD">
        <w:t xml:space="preserve"> dialogue, and shares </w:t>
      </w:r>
      <w:r w:rsidR="007F5B89">
        <w:t>Government</w:t>
      </w:r>
      <w:r w:rsidR="00EF2D2F" w:rsidRPr="00E72ABD">
        <w:t xml:space="preserve"> </w:t>
      </w:r>
      <w:r w:rsidRPr="00E72ABD">
        <w:t xml:space="preserve">views on the “abuses of NGOs and independent media”. There is a separate wing of UPRONA led by Charles Nditije which has opposing views on all these issues. Similarly, the </w:t>
      </w:r>
      <w:r w:rsidRPr="00E72ABD">
        <w:rPr>
          <w:i/>
        </w:rPr>
        <w:t>Front pour la démocratie au Burundi</w:t>
      </w:r>
      <w:r w:rsidRPr="00E72ABD">
        <w:t xml:space="preserve"> (FRODEBU) is divided into FRODEBU-</w:t>
      </w:r>
      <w:r w:rsidRPr="00E72ABD">
        <w:rPr>
          <w:i/>
        </w:rPr>
        <w:t>Sahwanya</w:t>
      </w:r>
      <w:r w:rsidRPr="00E72ABD">
        <w:t xml:space="preserve"> and FRODEBU-</w:t>
      </w:r>
      <w:r w:rsidRPr="00E72ABD">
        <w:rPr>
          <w:i/>
        </w:rPr>
        <w:t>Nyakuri Iragi rya Ndadaye</w:t>
      </w:r>
      <w:r w:rsidRPr="00E72ABD">
        <w:t xml:space="preserve"> which was further subdivided into Jean Minani’s wing with the external opposition and that of Kefa Nibizi close to CNDD-FDD. The party </w:t>
      </w:r>
      <w:r w:rsidRPr="00E72ABD">
        <w:rPr>
          <w:i/>
        </w:rPr>
        <w:t>Forces nationales de libération</w:t>
      </w:r>
      <w:r w:rsidRPr="00E72ABD">
        <w:t xml:space="preserve"> (FNL) was broken up into three </w:t>
      </w:r>
      <w:proofErr w:type="gramStart"/>
      <w:r w:rsidRPr="00E72ABD">
        <w:t>wings :</w:t>
      </w:r>
      <w:proofErr w:type="gramEnd"/>
      <w:r w:rsidRPr="00E72ABD">
        <w:t xml:space="preserve"> that of Jacques Bigirimana (close to CNDD-FDD), that of Jacques Kenese FNL-</w:t>
      </w:r>
      <w:r w:rsidRPr="00E72ABD">
        <w:rPr>
          <w:i/>
        </w:rPr>
        <w:t>Iragi rya gahutu</w:t>
      </w:r>
      <w:r w:rsidRPr="00E72ABD">
        <w:t xml:space="preserve"> and Agathon Rwasa’s movement, as he was elected at the </w:t>
      </w:r>
      <w:r w:rsidR="002C4705" w:rsidRPr="00E72ABD">
        <w:t xml:space="preserve">National Assembly </w:t>
      </w:r>
      <w:r w:rsidRPr="00E72ABD">
        <w:t xml:space="preserve">as an independent and then established a coalition and a parliamentarian group called </w:t>
      </w:r>
      <w:r w:rsidRPr="00E72ABD">
        <w:rPr>
          <w:i/>
        </w:rPr>
        <w:t>Amizero y’Abarundi</w:t>
      </w:r>
      <w:r w:rsidRPr="00E72ABD">
        <w:t xml:space="preserve"> – until he established the party CNL, registered on 14 February 2019.</w:t>
      </w:r>
    </w:p>
    <w:p w14:paraId="5A54AE04" w14:textId="32D57B52" w:rsidR="00EC58CC" w:rsidRPr="00E72ABD" w:rsidRDefault="00EC58CC" w:rsidP="00EC58CC">
      <w:pPr>
        <w:spacing w:after="120"/>
        <w:ind w:left="1134" w:right="1134"/>
        <w:jc w:val="both"/>
      </w:pPr>
      <w:r w:rsidRPr="00E72ABD">
        <w:t>445.</w:t>
      </w:r>
      <w:r w:rsidRPr="00E72ABD">
        <w:tab/>
        <w:t xml:space="preserve">The registration of political parties with the </w:t>
      </w:r>
      <w:r w:rsidR="002C4705" w:rsidRPr="00E72ABD">
        <w:t xml:space="preserve">Ministry </w:t>
      </w:r>
      <w:r w:rsidR="002909ED" w:rsidRPr="00E72ABD">
        <w:t xml:space="preserve">of Interior </w:t>
      </w:r>
      <w:r w:rsidRPr="00E72ABD">
        <w:t>is in fact compulsory and constitutes an actual authorization procedure by the authorities and numerous documents and information are required</w:t>
      </w:r>
      <w:r w:rsidR="00456B99" w:rsidRPr="00E72ABD">
        <w:t>,</w:t>
      </w:r>
      <w:r w:rsidRPr="00E72ABD">
        <w:rPr>
          <w:sz w:val="18"/>
          <w:vertAlign w:val="superscript"/>
        </w:rPr>
        <w:footnoteReference w:id="344"/>
      </w:r>
      <w:r w:rsidRPr="00E72ABD">
        <w:t xml:space="preserve"> whereas the international standards related to the right of freedom of association require simple procedures of declaration</w:t>
      </w:r>
      <w:r w:rsidR="002C4705" w:rsidRPr="00E72ABD">
        <w:t>.</w:t>
      </w:r>
      <w:r w:rsidRPr="00E72ABD">
        <w:rPr>
          <w:sz w:val="18"/>
          <w:vertAlign w:val="superscript"/>
        </w:rPr>
        <w:footnoteReference w:id="345"/>
      </w:r>
      <w:r w:rsidRPr="00E72ABD">
        <w:t xml:space="preserve"> The months long administrative procedures required for the registration of CNL</w:t>
      </w:r>
      <w:r w:rsidRPr="00E72ABD">
        <w:rPr>
          <w:sz w:val="18"/>
          <w:vertAlign w:val="superscript"/>
        </w:rPr>
        <w:footnoteReference w:id="346"/>
      </w:r>
      <w:r w:rsidRPr="00E72ABD">
        <w:t xml:space="preserve"> perfectly illustrate this situation. A new political party, the </w:t>
      </w:r>
      <w:r w:rsidRPr="00E72ABD">
        <w:rPr>
          <w:i/>
        </w:rPr>
        <w:t>Mouvement des patriotes humanistes</w:t>
      </w:r>
      <w:r w:rsidRPr="00E72ABD">
        <w:t xml:space="preserve"> (MPH), was also registered on 19 August 2019 by the </w:t>
      </w:r>
      <w:r w:rsidR="00EF2D2F" w:rsidRPr="00E72ABD">
        <w:t xml:space="preserve">Minister of Interior </w:t>
      </w:r>
      <w:r w:rsidRPr="00E72ABD">
        <w:t>after having filed its application on 19 April 2019</w:t>
      </w:r>
      <w:r w:rsidR="002C4705" w:rsidRPr="00E72ABD">
        <w:t>.</w:t>
      </w:r>
      <w:r w:rsidRPr="00E72ABD">
        <w:rPr>
          <w:sz w:val="18"/>
          <w:vertAlign w:val="superscript"/>
        </w:rPr>
        <w:footnoteReference w:id="347"/>
      </w:r>
    </w:p>
    <w:p w14:paraId="7DA4BC52" w14:textId="1800ED62" w:rsidR="00EC58CC" w:rsidRPr="00E72ABD" w:rsidRDefault="00EC58CC" w:rsidP="00EC58CC">
      <w:pPr>
        <w:spacing w:after="120"/>
        <w:ind w:left="1134" w:right="1134"/>
        <w:jc w:val="both"/>
      </w:pPr>
      <w:r w:rsidRPr="00E72ABD">
        <w:t>446.</w:t>
      </w:r>
      <w:r w:rsidRPr="00E72ABD">
        <w:tab/>
        <w:t xml:space="preserve">The </w:t>
      </w:r>
      <w:r w:rsidR="00EF2D2F" w:rsidRPr="00E72ABD">
        <w:t>Minister</w:t>
      </w:r>
      <w:r w:rsidRPr="00E72ABD">
        <w:t xml:space="preserve"> </w:t>
      </w:r>
      <w:r w:rsidR="00EF2D2F" w:rsidRPr="00E72ABD">
        <w:t xml:space="preserve">of Interior </w:t>
      </w:r>
      <w:r w:rsidRPr="00E72ABD">
        <w:t>not only has the authority to award or refuse legal recognition to a political party</w:t>
      </w:r>
      <w:r w:rsidR="006461A6">
        <w:t>,</w:t>
      </w:r>
      <w:r w:rsidRPr="00E72ABD">
        <w:t xml:space="preserve"> but he also has the authority to suspend or dissolve them. The opposition political parties (or one of their wings) that opposed the third term were thus suspended or dissolved and their leaders and some of their followers forced into exile because they were labelled criminals or insurgents bearing the responsibility of the 13 May 2015 </w:t>
      </w:r>
      <w:r w:rsidRPr="00E72ABD">
        <w:rPr>
          <w:i/>
        </w:rPr>
        <w:t>coup d’</w:t>
      </w:r>
      <w:r w:rsidR="00117EF3">
        <w:rPr>
          <w:i/>
        </w:rPr>
        <w:t>É</w:t>
      </w:r>
      <w:r w:rsidRPr="00E72ABD">
        <w:rPr>
          <w:i/>
        </w:rPr>
        <w:t>tat</w:t>
      </w:r>
      <w:r w:rsidR="00456B99" w:rsidRPr="00E72ABD">
        <w:rPr>
          <w:i/>
        </w:rPr>
        <w:t>.</w:t>
      </w:r>
      <w:r w:rsidRPr="00E72ABD">
        <w:rPr>
          <w:sz w:val="18"/>
          <w:vertAlign w:val="superscript"/>
        </w:rPr>
        <w:footnoteReference w:id="348"/>
      </w:r>
      <w:r w:rsidRPr="00E72ABD">
        <w:t xml:space="preserve"> For example, in October 2017, the </w:t>
      </w:r>
      <w:r w:rsidR="00EF2D2F" w:rsidRPr="00E72ABD">
        <w:t>Minister</w:t>
      </w:r>
      <w:r w:rsidR="00BF5441" w:rsidRPr="00E72ABD">
        <w:t xml:space="preserve"> of Interior</w:t>
      </w:r>
      <w:r w:rsidRPr="00E72ABD">
        <w:t xml:space="preserve">, Pascal Barandagiye, requested the dissolution of the MSD </w:t>
      </w:r>
      <w:proofErr w:type="gramStart"/>
      <w:r w:rsidRPr="00E72ABD">
        <w:t>party, that</w:t>
      </w:r>
      <w:proofErr w:type="gramEnd"/>
      <w:r w:rsidRPr="00E72ABD">
        <w:t xml:space="preserve"> he had previously suspended for 6 months in April 2017 due to its alleged support to the establishment of an armed group. The </w:t>
      </w:r>
      <w:r w:rsidR="00EF2D2F" w:rsidRPr="00E72ABD">
        <w:t>Minister</w:t>
      </w:r>
      <w:r w:rsidRPr="00E72ABD">
        <w:t xml:space="preserve"> also dissolved several other opposition parties even if they had limited popularity such as the PIT, </w:t>
      </w:r>
      <w:r w:rsidRPr="00E72ABD">
        <w:rPr>
          <w:i/>
        </w:rPr>
        <w:t>Vert</w:t>
      </w:r>
      <w:r w:rsidRPr="00E72ABD">
        <w:t>-</w:t>
      </w:r>
      <w:r w:rsidRPr="00E72ABD">
        <w:rPr>
          <w:i/>
        </w:rPr>
        <w:t>Intwari</w:t>
      </w:r>
      <w:r w:rsidRPr="00E72ABD">
        <w:t xml:space="preserve">, </w:t>
      </w:r>
      <w:r w:rsidRPr="00E72ABD">
        <w:rPr>
          <w:i/>
        </w:rPr>
        <w:t>Naddebu</w:t>
      </w:r>
      <w:r w:rsidRPr="00E72ABD">
        <w:t xml:space="preserve">, </w:t>
      </w:r>
      <w:r w:rsidRPr="00E72ABD">
        <w:rPr>
          <w:i/>
        </w:rPr>
        <w:t>Sonovi</w:t>
      </w:r>
      <w:r w:rsidRPr="00E72ABD">
        <w:t xml:space="preserve">, </w:t>
      </w:r>
      <w:r w:rsidRPr="00E72ABD">
        <w:rPr>
          <w:i/>
        </w:rPr>
        <w:t>Rusangi</w:t>
      </w:r>
      <w:r w:rsidRPr="00E72ABD">
        <w:t xml:space="preserve"> and </w:t>
      </w:r>
      <w:r w:rsidRPr="00E72ABD">
        <w:rPr>
          <w:i/>
        </w:rPr>
        <w:t>Abahuza</w:t>
      </w:r>
      <w:r w:rsidRPr="00E72ABD">
        <w:t xml:space="preserve"> alleging a variety of reasons</w:t>
      </w:r>
      <w:r w:rsidR="00456B99" w:rsidRPr="00E72ABD">
        <w:t>.</w:t>
      </w:r>
      <w:r w:rsidRPr="00E72ABD">
        <w:rPr>
          <w:sz w:val="18"/>
          <w:vertAlign w:val="superscript"/>
        </w:rPr>
        <w:footnoteReference w:id="349"/>
      </w:r>
      <w:r w:rsidRPr="00E72ABD">
        <w:t xml:space="preserve"> The </w:t>
      </w:r>
      <w:r w:rsidRPr="00E72ABD">
        <w:rPr>
          <w:i/>
        </w:rPr>
        <w:t xml:space="preserve">Conseil des patriotes </w:t>
      </w:r>
      <w:r w:rsidRPr="00E72ABD">
        <w:t>(CDP) was also suspended in July 2017 because it was accused of not being active enough and for having belatedly submitted their activity reports for the years 2015-2016 and 2016-2017. This suspension was finally withdrawn two years later</w:t>
      </w:r>
      <w:r w:rsidR="00DC215A" w:rsidRPr="00E72ABD">
        <w:t>,</w:t>
      </w:r>
      <w:r w:rsidRPr="00E72ABD">
        <w:t xml:space="preserve"> on 9 August 2019</w:t>
      </w:r>
      <w:r w:rsidR="00DC215A" w:rsidRPr="00E72ABD">
        <w:t>.</w:t>
      </w:r>
      <w:r w:rsidRPr="00E72ABD">
        <w:rPr>
          <w:sz w:val="18"/>
          <w:vertAlign w:val="superscript"/>
        </w:rPr>
        <w:footnoteReference w:id="350"/>
      </w:r>
    </w:p>
    <w:p w14:paraId="33D99E89" w14:textId="77777777" w:rsidR="00EC58CC" w:rsidRPr="00E72ABD" w:rsidRDefault="00EC58CC" w:rsidP="00EC58CC">
      <w:pPr>
        <w:keepNext/>
        <w:keepLines/>
        <w:tabs>
          <w:tab w:val="right" w:pos="851"/>
        </w:tabs>
        <w:spacing w:before="240" w:after="120" w:line="240" w:lineRule="exact"/>
        <w:ind w:left="1134" w:right="1134" w:hanging="1134"/>
        <w:jc w:val="both"/>
      </w:pPr>
      <w:r w:rsidRPr="00E72ABD">
        <w:tab/>
      </w:r>
      <w:r w:rsidRPr="00E72ABD">
        <w:tab/>
        <w:t>(ii)</w:t>
      </w:r>
      <w:r w:rsidRPr="00E72ABD">
        <w:tab/>
        <w:t>Political intolerance</w:t>
      </w:r>
    </w:p>
    <w:p w14:paraId="3EA3B447" w14:textId="0B05E693" w:rsidR="00EC58CC" w:rsidRPr="00E72ABD" w:rsidRDefault="00EC58CC" w:rsidP="00EC58CC">
      <w:pPr>
        <w:spacing w:after="120"/>
        <w:ind w:left="1134" w:right="1134"/>
        <w:jc w:val="both"/>
      </w:pPr>
      <w:r w:rsidRPr="00E72ABD">
        <w:t>447.</w:t>
      </w:r>
      <w:r w:rsidRPr="00E72ABD">
        <w:tab/>
        <w:t>While the right to peaceful assembly requires, at most, a simple advance notice for large public rallies</w:t>
      </w:r>
      <w:r w:rsidR="00DC215A" w:rsidRPr="00E72ABD">
        <w:t>,</w:t>
      </w:r>
      <w:r w:rsidRPr="00E72ABD">
        <w:rPr>
          <w:sz w:val="18"/>
          <w:vertAlign w:val="superscript"/>
        </w:rPr>
        <w:footnoteReference w:id="351"/>
      </w:r>
      <w:r w:rsidRPr="00E72ABD">
        <w:t xml:space="preserve"> and </w:t>
      </w:r>
      <w:r w:rsidR="002E6630">
        <w:t>Burundian</w:t>
      </w:r>
      <w:r w:rsidRPr="00E72ABD">
        <w:t xml:space="preserve"> legislation recognizes the right of political parties to hold meetings, organize demonstrations and campaign</w:t>
      </w:r>
      <w:r w:rsidR="00DC215A" w:rsidRPr="00E72ABD">
        <w:t>,</w:t>
      </w:r>
      <w:r w:rsidRPr="00E72ABD">
        <w:rPr>
          <w:sz w:val="18"/>
          <w:vertAlign w:val="superscript"/>
        </w:rPr>
        <w:footnoteReference w:id="352"/>
      </w:r>
      <w:r w:rsidRPr="00E72ABD">
        <w:t xml:space="preserve"> the climate of political intolerance is obvious and is increasingly denounced in Burundi by various actors.</w:t>
      </w:r>
      <w:r w:rsidR="00EF2D2F" w:rsidRPr="00E72ABD">
        <w:t xml:space="preserve"> </w:t>
      </w:r>
    </w:p>
    <w:p w14:paraId="2947DEB6" w14:textId="1C9ADF19" w:rsidR="00EC58CC" w:rsidRPr="00E72ABD" w:rsidRDefault="00EC58CC" w:rsidP="00EC58CC">
      <w:pPr>
        <w:spacing w:after="120"/>
        <w:ind w:left="1134" w:right="1134"/>
        <w:jc w:val="both"/>
      </w:pPr>
      <w:r w:rsidRPr="00E72ABD">
        <w:t>448.</w:t>
      </w:r>
      <w:r w:rsidRPr="00E72ABD">
        <w:tab/>
      </w:r>
      <w:r w:rsidR="00E92CE6">
        <w:t>O</w:t>
      </w:r>
      <w:r w:rsidR="00E92CE6" w:rsidRPr="00E72ABD">
        <w:t>n 21 August 2019</w:t>
      </w:r>
      <w:r w:rsidR="00E92CE6">
        <w:t>, f</w:t>
      </w:r>
      <w:r w:rsidRPr="00E72ABD">
        <w:t>aced with challenges in carrying out its activities, harassment and violence against its members since its creation</w:t>
      </w:r>
      <w:r w:rsidR="00117EF3">
        <w:t>,</w:t>
      </w:r>
      <w:r w:rsidRPr="00E72ABD">
        <w:rPr>
          <w:sz w:val="18"/>
          <w:vertAlign w:val="superscript"/>
        </w:rPr>
        <w:footnoteReference w:id="353"/>
      </w:r>
      <w:r w:rsidRPr="00E72ABD">
        <w:t xml:space="preserve"> CNL officially denounced the situation of political intolerance and the “abuses and excesses” perpetrated against its members and headquarters</w:t>
      </w:r>
      <w:r w:rsidR="00E92CE6">
        <w:t>,</w:t>
      </w:r>
      <w:r w:rsidRPr="00E72ABD">
        <w:t xml:space="preserve"> namely by the youth affiliated to the ruling party, some local officials affiliated to the ruling power</w:t>
      </w:r>
      <w:r w:rsidR="00DC215A" w:rsidRPr="00E72ABD">
        <w:t>,</w:t>
      </w:r>
      <w:r w:rsidRPr="00E72ABD">
        <w:t xml:space="preserve"> as well as administrative officials and security officials at the local level; specifically within the </w:t>
      </w:r>
      <w:r w:rsidR="00E92CE6">
        <w:t>mixed</w:t>
      </w:r>
      <w:r w:rsidRPr="00E72ABD">
        <w:t xml:space="preserve"> security committees</w:t>
      </w:r>
      <w:r w:rsidR="00DC215A" w:rsidRPr="00E72ABD">
        <w:t>.</w:t>
      </w:r>
      <w:r w:rsidRPr="00E72ABD">
        <w:rPr>
          <w:sz w:val="18"/>
          <w:vertAlign w:val="superscript"/>
        </w:rPr>
        <w:footnoteReference w:id="354"/>
      </w:r>
      <w:r w:rsidRPr="00E72ABD">
        <w:t xml:space="preserve"> On the contrary</w:t>
      </w:r>
      <w:r w:rsidR="00625EC1" w:rsidRPr="00E72ABD">
        <w:t>,</w:t>
      </w:r>
      <w:r w:rsidRPr="00E72ABD">
        <w:t xml:space="preserve"> the police spokes</w:t>
      </w:r>
      <w:r w:rsidR="00E92CE6">
        <w:t>person</w:t>
      </w:r>
      <w:r w:rsidRPr="00E72ABD">
        <w:t xml:space="preserve"> has denied the political nature of the violence and </w:t>
      </w:r>
      <w:r w:rsidR="00E92CE6">
        <w:t>incidents reported by the media,</w:t>
      </w:r>
      <w:r w:rsidRPr="00E72ABD">
        <w:t xml:space="preserve"> claiming that these were </w:t>
      </w:r>
      <w:r w:rsidR="00E92CE6">
        <w:t>ordinary</w:t>
      </w:r>
      <w:r w:rsidRPr="00E72ABD">
        <w:t xml:space="preserve"> crimes and </w:t>
      </w:r>
      <w:r w:rsidR="00E92CE6">
        <w:t>misdeameanours</w:t>
      </w:r>
      <w:r w:rsidRPr="00E72ABD">
        <w:t xml:space="preserve"> orchestrated by political authorities</w:t>
      </w:r>
      <w:r w:rsidR="00E92CE6">
        <w:t>,</w:t>
      </w:r>
      <w:r w:rsidRPr="00E72ABD">
        <w:t xml:space="preserve"> while adding that members of CNL were the perpetrators of most of the recorded </w:t>
      </w:r>
      <w:r w:rsidR="00E92CE6">
        <w:t>offences</w:t>
      </w:r>
      <w:r w:rsidRPr="00E72ABD">
        <w:t xml:space="preserve">. He specifically accused them of attacking homes belonging to Imbonerakure and local authorities affiliated to CNDD-FDD, attacking and beating local administrative authorities, members of the </w:t>
      </w:r>
      <w:r w:rsidR="00E92CE6">
        <w:t>mixed</w:t>
      </w:r>
      <w:r w:rsidRPr="00E72ABD">
        <w:t xml:space="preserve"> security committees and Imbonerakure and being responsible for the destruction of </w:t>
      </w:r>
      <w:r w:rsidR="00E92CE6">
        <w:t>some</w:t>
      </w:r>
      <w:r w:rsidRPr="00E72ABD">
        <w:t xml:space="preserve"> CNL headquarters</w:t>
      </w:r>
      <w:r w:rsidR="00456B99" w:rsidRPr="00E72ABD">
        <w:t>.</w:t>
      </w:r>
      <w:r w:rsidRPr="00E72ABD">
        <w:rPr>
          <w:sz w:val="18"/>
          <w:vertAlign w:val="superscript"/>
        </w:rPr>
        <w:footnoteReference w:id="355"/>
      </w:r>
    </w:p>
    <w:p w14:paraId="4537BA91" w14:textId="019C48C0" w:rsidR="00EC58CC" w:rsidRPr="00E72ABD" w:rsidRDefault="00EC58CC" w:rsidP="00EC58CC">
      <w:pPr>
        <w:spacing w:after="120"/>
        <w:ind w:left="1134" w:right="1134"/>
        <w:jc w:val="both"/>
      </w:pPr>
      <w:r w:rsidRPr="00E72ABD">
        <w:t>449.</w:t>
      </w:r>
      <w:r w:rsidRPr="00E72ABD">
        <w:tab/>
        <w:t xml:space="preserve">From April 2019, the party </w:t>
      </w:r>
      <w:r w:rsidRPr="00E72ABD">
        <w:rPr>
          <w:i/>
        </w:rPr>
        <w:t>Sahwanya</w:t>
      </w:r>
      <w:r w:rsidRPr="00E72ABD">
        <w:t>-FRODEBU has also denounced a serious and increasing climate of political intolerance in connection with election preparations</w:t>
      </w:r>
      <w:r w:rsidR="00625EC1" w:rsidRPr="00E72ABD">
        <w:t>,</w:t>
      </w:r>
      <w:r w:rsidRPr="00E72ABD">
        <w:t xml:space="preserve"> against its members and those of other political parties, specifically from local administrative authorities who want to create a climate of fear, and </w:t>
      </w:r>
      <w:r w:rsidR="00E92CE6">
        <w:t xml:space="preserve">it </w:t>
      </w:r>
      <w:r w:rsidRPr="00E72ABD">
        <w:t>has requested the international community to follow closely the political and security situation</w:t>
      </w:r>
      <w:r w:rsidR="00625EC1" w:rsidRPr="00E72ABD">
        <w:t>.</w:t>
      </w:r>
      <w:r w:rsidRPr="00E72ABD">
        <w:rPr>
          <w:sz w:val="18"/>
          <w:vertAlign w:val="superscript"/>
        </w:rPr>
        <w:footnoteReference w:id="356"/>
      </w:r>
    </w:p>
    <w:p w14:paraId="05FD2D56" w14:textId="7BBC0CD5" w:rsidR="00EC58CC" w:rsidRPr="00E72ABD" w:rsidRDefault="00EC58CC" w:rsidP="00EC58CC">
      <w:pPr>
        <w:spacing w:after="120"/>
        <w:ind w:left="1134" w:right="1134"/>
        <w:jc w:val="both"/>
      </w:pPr>
      <w:r w:rsidRPr="00E72ABD">
        <w:t>450.</w:t>
      </w:r>
      <w:r w:rsidRPr="00E72ABD">
        <w:tab/>
        <w:t xml:space="preserve">On 24 August 2019, during a meeting organized by the </w:t>
      </w:r>
      <w:r w:rsidR="00EF2D2F" w:rsidRPr="00E72ABD">
        <w:t>Minister</w:t>
      </w:r>
      <w:r w:rsidR="00BF5441" w:rsidRPr="00E72ABD">
        <w:t xml:space="preserve"> of</w:t>
      </w:r>
      <w:r w:rsidRPr="00E72ABD">
        <w:t xml:space="preserve"> </w:t>
      </w:r>
      <w:r w:rsidR="00BF5441" w:rsidRPr="00E72ABD">
        <w:t xml:space="preserve">Interior </w:t>
      </w:r>
      <w:r w:rsidRPr="00E72ABD">
        <w:t>and Patriotic Education with the representatives of officially registered political parties and provincial governors for the preparation of the 2020 election</w:t>
      </w:r>
      <w:r w:rsidR="00625EC1" w:rsidRPr="00E72ABD">
        <w:t>s</w:t>
      </w:r>
      <w:r w:rsidRPr="00E72ABD">
        <w:t>, “most of the participants stressed the fact that th</w:t>
      </w:r>
      <w:r w:rsidR="0078011D">
        <w:t>e threat to the 2020 elections wa</w:t>
      </w:r>
      <w:r w:rsidRPr="00E72ABD">
        <w:t xml:space="preserve">s closely linked to political intolerance and stigmatization as well as the implication of the </w:t>
      </w:r>
      <w:r w:rsidR="00625EC1" w:rsidRPr="00E72ABD">
        <w:t>a</w:t>
      </w:r>
      <w:r w:rsidRPr="00E72ABD">
        <w:t xml:space="preserve">dministration in sabotaging the activities of political parties”. A code of conduct was adopted and includes the sensitization of youth affiliated to the political parties so that they adopt a behaviour of political tolerance, the opening of headquarters in accordance with the law and the suspension of meetings </w:t>
      </w:r>
      <w:r w:rsidR="00625EC1" w:rsidRPr="00E72ABD">
        <w:t xml:space="preserve">at night </w:t>
      </w:r>
      <w:r w:rsidRPr="00E72ABD">
        <w:t>by political parties.</w:t>
      </w:r>
      <w:r w:rsidRPr="00E72ABD">
        <w:rPr>
          <w:sz w:val="18"/>
          <w:vertAlign w:val="superscript"/>
        </w:rPr>
        <w:footnoteReference w:id="357"/>
      </w:r>
      <w:r w:rsidRPr="00E72ABD">
        <w:t xml:space="preserve"> Similarly, the climate of intolerance which prevents genuine political pluralism, has been denounced several times by representatives of the </w:t>
      </w:r>
      <w:r w:rsidR="00761863" w:rsidRPr="00E72ABD">
        <w:t xml:space="preserve">Catholic Church </w:t>
      </w:r>
      <w:r w:rsidRPr="00E72ABD">
        <w:t xml:space="preserve">despite requests made by the official authorities to the </w:t>
      </w:r>
      <w:r w:rsidR="00761863" w:rsidRPr="00E72ABD">
        <w:t xml:space="preserve">Church </w:t>
      </w:r>
      <w:r w:rsidRPr="00E72ABD">
        <w:t>not to interfere in political matters</w:t>
      </w:r>
      <w:r w:rsidR="00761863" w:rsidRPr="00E72ABD">
        <w:t>.</w:t>
      </w:r>
      <w:r w:rsidRPr="00E72ABD">
        <w:rPr>
          <w:sz w:val="18"/>
          <w:vertAlign w:val="superscript"/>
        </w:rPr>
        <w:footnoteReference w:id="358"/>
      </w:r>
    </w:p>
    <w:p w14:paraId="5CC0FBDB" w14:textId="77777777" w:rsidR="00EC58CC" w:rsidRPr="00E72ABD" w:rsidRDefault="00EC58CC" w:rsidP="00EC58CC">
      <w:pPr>
        <w:spacing w:after="120"/>
        <w:ind w:left="1134" w:right="1134"/>
        <w:jc w:val="both"/>
      </w:pPr>
      <w:r w:rsidRPr="00E72ABD">
        <w:t>451.</w:t>
      </w:r>
      <w:r w:rsidRPr="00E72ABD">
        <w:tab/>
        <w:t>In conclusion, the political space is locked down by CNDD-FDD, which is the only party that is truly benefiting from freedom of assembly and the latitude to conduct its activities without any hindrance.</w:t>
      </w:r>
    </w:p>
    <w:p w14:paraId="728AE290" w14:textId="77777777" w:rsidR="00EC58CC" w:rsidRPr="00E72ABD" w:rsidRDefault="00EC58CC" w:rsidP="00EC58CC">
      <w:pPr>
        <w:keepNext/>
        <w:keepLines/>
        <w:tabs>
          <w:tab w:val="right" w:pos="851"/>
        </w:tabs>
        <w:spacing w:before="240" w:after="120" w:line="240" w:lineRule="exact"/>
        <w:ind w:left="1134" w:right="1134" w:hanging="1134"/>
        <w:jc w:val="both"/>
      </w:pPr>
      <w:r w:rsidRPr="00E72ABD">
        <w:tab/>
      </w:r>
      <w:r w:rsidRPr="00E72ABD">
        <w:tab/>
        <w:t>(iii)</w:t>
      </w:r>
      <w:r w:rsidRPr="00E72ABD">
        <w:tab/>
        <w:t>Confusion between CNDD-FDD and State institutions</w:t>
      </w:r>
    </w:p>
    <w:p w14:paraId="55229EA1" w14:textId="7E7521FA" w:rsidR="00EC58CC" w:rsidRPr="00E72ABD" w:rsidRDefault="00EC58CC" w:rsidP="00EC58CC">
      <w:pPr>
        <w:spacing w:after="120"/>
        <w:ind w:left="1134" w:right="1134"/>
        <w:jc w:val="both"/>
      </w:pPr>
      <w:r w:rsidRPr="00E72ABD">
        <w:t>452.</w:t>
      </w:r>
      <w:r w:rsidRPr="00E72ABD">
        <w:tab/>
        <w:t>For elections to be considered just</w:t>
      </w:r>
      <w:r w:rsidR="00761863" w:rsidRPr="00E72ABD">
        <w:t>,</w:t>
      </w:r>
      <w:r w:rsidRPr="00E72ABD">
        <w:t xml:space="preserve"> there must be a clear separation between the ruling party and the State institutions, and public resources should not be used unfairly in favour of the ruling party</w:t>
      </w:r>
      <w:r w:rsidR="00761863" w:rsidRPr="00E72ABD">
        <w:t>.</w:t>
      </w:r>
      <w:r w:rsidRPr="00E72ABD">
        <w:rPr>
          <w:sz w:val="18"/>
          <w:vertAlign w:val="superscript"/>
        </w:rPr>
        <w:footnoteReference w:id="359"/>
      </w:r>
      <w:r w:rsidRPr="00E72ABD">
        <w:t xml:space="preserve"> </w:t>
      </w:r>
    </w:p>
    <w:p w14:paraId="2C2C6B1E" w14:textId="3B0AB646" w:rsidR="00EC58CC" w:rsidRPr="00E72ABD" w:rsidRDefault="00EC58CC" w:rsidP="00EC58CC">
      <w:pPr>
        <w:spacing w:after="120"/>
        <w:ind w:left="1134" w:right="1134"/>
        <w:jc w:val="both"/>
      </w:pPr>
      <w:r w:rsidRPr="00E72ABD">
        <w:t>453. In Burundi, the CNDD-FDD party in power since 2005, as well as its youth league of Imbonerakure and its women</w:t>
      </w:r>
      <w:r w:rsidR="0078011D">
        <w:t>’</w:t>
      </w:r>
      <w:r w:rsidRPr="00E72ABD">
        <w:t xml:space="preserve">s league are </w:t>
      </w:r>
      <w:r w:rsidR="00761863" w:rsidRPr="00E72ABD">
        <w:t xml:space="preserve">ubiquitous </w:t>
      </w:r>
      <w:r w:rsidRPr="00E72ABD">
        <w:t xml:space="preserve">throughout the country, if </w:t>
      </w:r>
      <w:r w:rsidR="00761863" w:rsidRPr="00E72ABD">
        <w:t>only</w:t>
      </w:r>
      <w:r w:rsidR="00EF2D2F" w:rsidRPr="00E72ABD">
        <w:t xml:space="preserve"> </w:t>
      </w:r>
      <w:r w:rsidRPr="00E72ABD">
        <w:t xml:space="preserve">symbolically through the construction of multiple party branches at communal and </w:t>
      </w:r>
      <w:r w:rsidRPr="0078011D">
        <w:rPr>
          <w:i/>
        </w:rPr>
        <w:t>colline</w:t>
      </w:r>
      <w:r w:rsidRPr="00E72ABD">
        <w:t xml:space="preserve"> levels. In fact,</w:t>
      </w:r>
      <w:r w:rsidR="00EF2D2F" w:rsidRPr="00E72ABD">
        <w:t xml:space="preserve"> </w:t>
      </w:r>
      <w:r w:rsidRPr="00E72ABD">
        <w:t>according to data obtained from the party itself</w:t>
      </w:r>
      <w:r w:rsidR="00761863" w:rsidRPr="00E72ABD">
        <w:t>,</w:t>
      </w:r>
      <w:r w:rsidRPr="00E72ABD">
        <w:t xml:space="preserve"> there are 60 communal branches and 1,800 in collines</w:t>
      </w:r>
      <w:r w:rsidR="00761863" w:rsidRPr="00E72ABD">
        <w:t>,</w:t>
      </w:r>
      <w:r w:rsidRPr="00E72ABD">
        <w:rPr>
          <w:sz w:val="18"/>
          <w:vertAlign w:val="superscript"/>
        </w:rPr>
        <w:footnoteReference w:id="360"/>
      </w:r>
      <w:r w:rsidRPr="00E72ABD">
        <w:t xml:space="preserve"> several of which were recently built as part of the mandatory community work</w:t>
      </w:r>
      <w:r w:rsidR="00761863" w:rsidRPr="00E72ABD">
        <w:t xml:space="preserve"> </w:t>
      </w:r>
      <w:r w:rsidRPr="00E72ABD">
        <w:t>- which the Commission considers as a form of forced labour</w:t>
      </w:r>
      <w:r w:rsidR="00761863" w:rsidRPr="00E72ABD">
        <w:t xml:space="preserve"> </w:t>
      </w:r>
      <w:r w:rsidRPr="00E72ABD">
        <w:t>- or through contributions that are claimed forcefully and violently from the population.</w:t>
      </w:r>
    </w:p>
    <w:p w14:paraId="3F163591" w14:textId="1488CD71" w:rsidR="00EC58CC" w:rsidRPr="00E72ABD" w:rsidRDefault="00EC58CC" w:rsidP="00EC58CC">
      <w:pPr>
        <w:spacing w:after="120"/>
        <w:ind w:left="1134" w:right="1134"/>
        <w:jc w:val="both"/>
      </w:pPr>
      <w:r w:rsidRPr="00E72ABD">
        <w:t>454.</w:t>
      </w:r>
      <w:r w:rsidRPr="00E72ABD">
        <w:tab/>
        <w:t>This generalized and mandatory mobilization of the population in favour of the ruling political party perfectly illustrates the confusion that has evolved over time between CNDD-FDD and State institution</w:t>
      </w:r>
      <w:r w:rsidR="00761863" w:rsidRPr="00E72ABD">
        <w:t>s</w:t>
      </w:r>
      <w:r w:rsidRPr="00E72ABD">
        <w:t>, primarily at the local level.</w:t>
      </w:r>
    </w:p>
    <w:p w14:paraId="5211C315" w14:textId="0C91A9AA" w:rsidR="00EC58CC" w:rsidRPr="00E72ABD" w:rsidRDefault="00EC58CC" w:rsidP="00EC58CC">
      <w:pPr>
        <w:spacing w:after="120"/>
        <w:ind w:left="1134" w:right="1134"/>
        <w:jc w:val="both"/>
      </w:pPr>
      <w:r w:rsidRPr="00E72ABD">
        <w:t>455.</w:t>
      </w:r>
      <w:r w:rsidRPr="00E72ABD">
        <w:tab/>
        <w:t xml:space="preserve">The administrative division in Burundi is relatively complex. The territory is divided in provinces, communes, zones, </w:t>
      </w:r>
      <w:r w:rsidRPr="00952B65">
        <w:rPr>
          <w:i/>
        </w:rPr>
        <w:t>collines</w:t>
      </w:r>
      <w:r w:rsidRPr="00E72ABD">
        <w:t xml:space="preserve"> (</w:t>
      </w:r>
      <w:r w:rsidR="00761863" w:rsidRPr="00E72ABD">
        <w:t>called “</w:t>
      </w:r>
      <w:r w:rsidRPr="00E72ABD">
        <w:t>neighbourhoods</w:t>
      </w:r>
      <w:r w:rsidR="00761863" w:rsidRPr="00E72ABD">
        <w:t>”</w:t>
      </w:r>
      <w:r w:rsidRPr="00E72ABD">
        <w:t xml:space="preserve"> </w:t>
      </w:r>
      <w:r w:rsidR="00952B65">
        <w:t>in</w:t>
      </w:r>
      <w:r w:rsidRPr="00E72ABD">
        <w:t xml:space="preserve"> urban communes) and</w:t>
      </w:r>
      <w:r w:rsidR="00761863" w:rsidRPr="00E72ABD">
        <w:t>,</w:t>
      </w:r>
      <w:r w:rsidRPr="00E72ABD">
        <w:t xml:space="preserve"> at the lower echelon but informall</w:t>
      </w:r>
      <w:r w:rsidR="00761863" w:rsidRPr="00E72ABD">
        <w:t>y,</w:t>
      </w:r>
      <w:r w:rsidRPr="00E72ABD">
        <w:t xml:space="preserve"> in groups of 10 houses (</w:t>
      </w:r>
      <w:r w:rsidRPr="00E72ABD">
        <w:rPr>
          <w:i/>
        </w:rPr>
        <w:t>Nyumbakumi</w:t>
      </w:r>
      <w:r w:rsidRPr="00E72ABD">
        <w:t>)</w:t>
      </w:r>
      <w:r w:rsidR="00761863" w:rsidRPr="00E72ABD">
        <w:t>.</w:t>
      </w:r>
      <w:r w:rsidRPr="00E72ABD">
        <w:rPr>
          <w:sz w:val="18"/>
          <w:vertAlign w:val="superscript"/>
        </w:rPr>
        <w:footnoteReference w:id="361"/>
      </w:r>
      <w:r w:rsidRPr="00E72ABD">
        <w:t xml:space="preserve"> </w:t>
      </w:r>
    </w:p>
    <w:p w14:paraId="0E75DA71" w14:textId="257C5116" w:rsidR="00EC58CC" w:rsidRPr="00E72ABD" w:rsidRDefault="00EC58CC" w:rsidP="00EC58CC">
      <w:pPr>
        <w:spacing w:after="120"/>
        <w:ind w:left="1134" w:right="1134"/>
        <w:jc w:val="both"/>
      </w:pPr>
      <w:r w:rsidRPr="00E72ABD">
        <w:t>456. The commune is ad</w:t>
      </w:r>
      <w:r w:rsidR="00BF5441" w:rsidRPr="00E72ABD">
        <w:t>m</w:t>
      </w:r>
      <w:r w:rsidR="00EF2D2F" w:rsidRPr="00E72ABD">
        <w:t>inister</w:t>
      </w:r>
      <w:r w:rsidRPr="00E72ABD">
        <w:t>ed by the communal council and the communal administrator</w:t>
      </w:r>
      <w:r w:rsidR="00761863" w:rsidRPr="00E72ABD">
        <w:t>.</w:t>
      </w:r>
      <w:r w:rsidRPr="00E72ABD">
        <w:rPr>
          <w:sz w:val="18"/>
          <w:vertAlign w:val="superscript"/>
        </w:rPr>
        <w:footnoteReference w:id="362"/>
      </w:r>
      <w:r w:rsidRPr="00E72ABD">
        <w:t xml:space="preserve"> Members of the communal council are elected for five years and elect their board composed of a president, a vice-president and a secretary who is also the communal administrator</w:t>
      </w:r>
      <w:r w:rsidR="00761863" w:rsidRPr="00E72ABD">
        <w:t>.</w:t>
      </w:r>
      <w:r w:rsidRPr="00E72ABD">
        <w:rPr>
          <w:sz w:val="18"/>
          <w:vertAlign w:val="superscript"/>
        </w:rPr>
        <w:footnoteReference w:id="363"/>
      </w:r>
      <w:r w:rsidRPr="00E72ABD">
        <w:t xml:space="preserve"> The latter is the representative of the commune and its population</w:t>
      </w:r>
      <w:r w:rsidR="00952B65">
        <w:t xml:space="preserve">, </w:t>
      </w:r>
      <w:r w:rsidRPr="00E72ABD">
        <w:t>but also, of the State,</w:t>
      </w:r>
      <w:r w:rsidR="00EF2D2F" w:rsidRPr="00E72ABD">
        <w:t xml:space="preserve"> </w:t>
      </w:r>
      <w:r w:rsidRPr="00E72ABD">
        <w:t xml:space="preserve">and as such a civil </w:t>
      </w:r>
      <w:r w:rsidR="00952B65">
        <w:t>registrar</w:t>
      </w:r>
      <w:r w:rsidRPr="00E72ABD">
        <w:t>. He also exercises the general authority of police and can take any police measures that he deems necessary to maintain public order and security. He also has direct hierarchical authority over the police. He is remunerated by the State.</w:t>
      </w:r>
      <w:r w:rsidRPr="00E72ABD">
        <w:rPr>
          <w:sz w:val="18"/>
          <w:vertAlign w:val="superscript"/>
        </w:rPr>
        <w:footnoteReference w:id="364"/>
      </w:r>
    </w:p>
    <w:p w14:paraId="5A49E469" w14:textId="04705FB8" w:rsidR="00EC58CC" w:rsidRPr="00E72ABD" w:rsidRDefault="00EC58CC" w:rsidP="00EC58CC">
      <w:pPr>
        <w:spacing w:after="120"/>
        <w:ind w:left="1134" w:right="1134"/>
        <w:jc w:val="both"/>
      </w:pPr>
      <w:r w:rsidRPr="00E72ABD">
        <w:t xml:space="preserve">457. The </w:t>
      </w:r>
      <w:r w:rsidRPr="00E72ABD">
        <w:rPr>
          <w:i/>
        </w:rPr>
        <w:t>colline</w:t>
      </w:r>
      <w:r w:rsidRPr="00E72ABD">
        <w:t xml:space="preserve"> (</w:t>
      </w:r>
      <w:r w:rsidR="00761863" w:rsidRPr="00E72ABD">
        <w:t>“</w:t>
      </w:r>
      <w:r w:rsidR="00952B65">
        <w:t>neighbourhood</w:t>
      </w:r>
      <w:r w:rsidR="00761863" w:rsidRPr="00E72ABD">
        <w:t>”</w:t>
      </w:r>
      <w:r w:rsidRPr="00E72ABD">
        <w:t xml:space="preserve"> </w:t>
      </w:r>
      <w:r w:rsidR="00952B65">
        <w:t>in</w:t>
      </w:r>
      <w:r w:rsidRPr="00E72ABD">
        <w:t xml:space="preserve"> urban communes) is ad</w:t>
      </w:r>
      <w:r w:rsidR="00BF5441" w:rsidRPr="00E72ABD">
        <w:t>m</w:t>
      </w:r>
      <w:r w:rsidR="00EF2D2F" w:rsidRPr="00E72ABD">
        <w:t>inister</w:t>
      </w:r>
      <w:r w:rsidRPr="00E72ABD">
        <w:t xml:space="preserve">ed by the </w:t>
      </w:r>
      <w:r w:rsidRPr="00E72ABD">
        <w:rPr>
          <w:i/>
        </w:rPr>
        <w:t>colline</w:t>
      </w:r>
      <w:r w:rsidRPr="00E72ABD">
        <w:t xml:space="preserve"> (</w:t>
      </w:r>
      <w:r w:rsidR="00761863" w:rsidRPr="00E72ABD">
        <w:t xml:space="preserve">or </w:t>
      </w:r>
      <w:r w:rsidRPr="00E72ABD">
        <w:t xml:space="preserve">neighbourhood) </w:t>
      </w:r>
      <w:r w:rsidR="00761863" w:rsidRPr="00E72ABD">
        <w:t xml:space="preserve">council </w:t>
      </w:r>
      <w:r w:rsidRPr="00E72ABD">
        <w:t xml:space="preserve">and the </w:t>
      </w:r>
      <w:r w:rsidRPr="00E72ABD">
        <w:rPr>
          <w:i/>
        </w:rPr>
        <w:t xml:space="preserve">chef de colline </w:t>
      </w:r>
      <w:r w:rsidRPr="00E72ABD">
        <w:t>(</w:t>
      </w:r>
      <w:r w:rsidR="00761863" w:rsidRPr="00E72ABD">
        <w:t xml:space="preserve">or </w:t>
      </w:r>
      <w:r w:rsidRPr="00E72ABD">
        <w:t>neighbourhood)</w:t>
      </w:r>
      <w:r w:rsidRPr="00E72ABD">
        <w:rPr>
          <w:sz w:val="18"/>
          <w:vertAlign w:val="superscript"/>
        </w:rPr>
        <w:footnoteReference w:id="365"/>
      </w:r>
      <w:r w:rsidRPr="00E72ABD">
        <w:t xml:space="preserve">. The </w:t>
      </w:r>
      <w:r w:rsidRPr="00E72ABD">
        <w:rPr>
          <w:i/>
        </w:rPr>
        <w:t>colline</w:t>
      </w:r>
      <w:r w:rsidRPr="00E72ABD">
        <w:t xml:space="preserve"> (</w:t>
      </w:r>
      <w:r w:rsidR="00761863" w:rsidRPr="00E72ABD">
        <w:t xml:space="preserve">or </w:t>
      </w:r>
      <w:r w:rsidRPr="00E72ABD">
        <w:t xml:space="preserve">neighbourhood) counsellors are elected for 5 years and the counsellor who secured the most votes during the election becomes the </w:t>
      </w:r>
      <w:r w:rsidRPr="00E72ABD">
        <w:rPr>
          <w:i/>
        </w:rPr>
        <w:t xml:space="preserve">chef de colline </w:t>
      </w:r>
      <w:r w:rsidRPr="00E72ABD">
        <w:t>(</w:t>
      </w:r>
      <w:r w:rsidR="00761863" w:rsidRPr="00E72ABD">
        <w:t xml:space="preserve">or </w:t>
      </w:r>
      <w:r w:rsidRPr="00E72ABD">
        <w:t>neighbourhood), who is “the facilitator of social harmony and development in his constituency”. As such</w:t>
      </w:r>
      <w:r w:rsidR="00761863" w:rsidRPr="00E72ABD">
        <w:t>,</w:t>
      </w:r>
      <w:r w:rsidRPr="00E72ABD">
        <w:t xml:space="preserve"> he receives an allowance from the </w:t>
      </w:r>
      <w:r w:rsidRPr="00E72ABD">
        <w:rPr>
          <w:i/>
        </w:rPr>
        <w:t>colline’s</w:t>
      </w:r>
      <w:r w:rsidRPr="00E72ABD">
        <w:t xml:space="preserve"> budget.</w:t>
      </w:r>
      <w:r w:rsidRPr="00E72ABD">
        <w:rPr>
          <w:sz w:val="18"/>
          <w:vertAlign w:val="superscript"/>
        </w:rPr>
        <w:footnoteReference w:id="366"/>
      </w:r>
    </w:p>
    <w:p w14:paraId="5FCC754C" w14:textId="0C297AA3" w:rsidR="00EC58CC" w:rsidRPr="00E72ABD" w:rsidRDefault="00EC58CC" w:rsidP="00EC58CC">
      <w:pPr>
        <w:spacing w:after="120"/>
        <w:ind w:left="1134" w:right="1134"/>
        <w:jc w:val="both"/>
      </w:pPr>
      <w:r w:rsidRPr="00E72ABD">
        <w:t>458.</w:t>
      </w:r>
      <w:r w:rsidRPr="00E72ABD">
        <w:tab/>
        <w:t xml:space="preserve">By contrast, the </w:t>
      </w:r>
      <w:r w:rsidRPr="00E72ABD">
        <w:rPr>
          <w:i/>
        </w:rPr>
        <w:t xml:space="preserve">chef de zone </w:t>
      </w:r>
      <w:r w:rsidRPr="00E72ABD">
        <w:t xml:space="preserve">is appointed by the governor of the province (or mayor for urban communes), upon suggestion from the communal administrator after approval by the communal council. The </w:t>
      </w:r>
      <w:r w:rsidRPr="00E72ABD">
        <w:rPr>
          <w:i/>
        </w:rPr>
        <w:t>chef de zone</w:t>
      </w:r>
      <w:r w:rsidRPr="00E72ABD">
        <w:t xml:space="preserve"> is the representative of the communal administrator in his constituency. He is responsible, inter alia, of leading and coordinating the development activities initiated by the commune in his zone</w:t>
      </w:r>
      <w:r w:rsidR="00DF57C5" w:rsidRPr="00E72ABD">
        <w:t xml:space="preserve">; </w:t>
      </w:r>
      <w:r w:rsidRPr="00E72ABD">
        <w:t>of assisting in the management of civil status matters</w:t>
      </w:r>
      <w:r w:rsidR="00DF57C5" w:rsidRPr="00E72ABD">
        <w:t>;</w:t>
      </w:r>
      <w:r w:rsidRPr="00E72ABD">
        <w:t xml:space="preserve"> and ensuring the liaison between the population and the administrator.</w:t>
      </w:r>
      <w:r w:rsidRPr="00E72ABD">
        <w:rPr>
          <w:sz w:val="18"/>
          <w:vertAlign w:val="superscript"/>
        </w:rPr>
        <w:footnoteReference w:id="367"/>
      </w:r>
    </w:p>
    <w:p w14:paraId="41BCC6B1" w14:textId="68E5DE9D" w:rsidR="00EC58CC" w:rsidRPr="00E72ABD" w:rsidRDefault="00EC58CC" w:rsidP="00EC58CC">
      <w:pPr>
        <w:spacing w:after="120"/>
        <w:ind w:left="1134" w:right="1134"/>
        <w:jc w:val="both"/>
      </w:pPr>
      <w:r w:rsidRPr="00E72ABD">
        <w:t>459.</w:t>
      </w:r>
      <w:r w:rsidRPr="00E72ABD">
        <w:tab/>
        <w:t xml:space="preserve">The head of the ten houses groupings, </w:t>
      </w:r>
      <w:r w:rsidRPr="00E72ABD">
        <w:rPr>
          <w:i/>
        </w:rPr>
        <w:t>Nyumbakumi</w:t>
      </w:r>
      <w:r w:rsidRPr="00E72ABD">
        <w:t>, is elected amongst the residents of the area and is a traditional authority who is not officially recognized by the law regulating communal administration. He ensures the liaison between local administrati</w:t>
      </w:r>
      <w:r w:rsidR="00952B65">
        <w:t>ve</w:t>
      </w:r>
      <w:r w:rsidRPr="00E72ABD">
        <w:t xml:space="preserve"> authorities and particularly keeping </w:t>
      </w:r>
      <w:proofErr w:type="gramStart"/>
      <w:r w:rsidRPr="00E72ABD">
        <w:t>them</w:t>
      </w:r>
      <w:proofErr w:type="gramEnd"/>
      <w:r w:rsidRPr="00E72ABD">
        <w:t xml:space="preserve"> informed of population movements including births, deat</w:t>
      </w:r>
      <w:r w:rsidR="00952B65">
        <w:t>hs and the presence of visitors,</w:t>
      </w:r>
      <w:r w:rsidRPr="00E72ABD">
        <w:t xml:space="preserve"> which must also be recorded in the household notebooks.</w:t>
      </w:r>
      <w:r w:rsidRPr="00E72ABD">
        <w:rPr>
          <w:sz w:val="18"/>
          <w:vertAlign w:val="superscript"/>
        </w:rPr>
        <w:footnoteReference w:id="368"/>
      </w:r>
    </w:p>
    <w:p w14:paraId="021F453A" w14:textId="377BEE85" w:rsidR="00EC58CC" w:rsidRPr="00E72ABD" w:rsidRDefault="00EC58CC" w:rsidP="00EC58CC">
      <w:pPr>
        <w:spacing w:after="120"/>
        <w:ind w:left="1134" w:right="1134"/>
        <w:jc w:val="both"/>
      </w:pPr>
      <w:r w:rsidRPr="00E72ABD">
        <w:t xml:space="preserve">460. The CNDD-FDD party has a hierarchical structure which largely follows the above-mentioned administrative division, with party leaders at the provincial, communal and collines levels. The Imbonerakure also have a similar structure, parallel to that of the party and the administration. Presently, the majority of local authorities are members of the ruling party and many amongst them are also Imbonerakure. In addition, since the Imbonerakure are members of the </w:t>
      </w:r>
      <w:r w:rsidR="00952B65">
        <w:t>mixed</w:t>
      </w:r>
      <w:r w:rsidRPr="00E72ABD">
        <w:t xml:space="preserve"> security committees, they are entrusted, almost officially, with the mission of public security in rural areas</w:t>
      </w:r>
      <w:r w:rsidR="00952B65">
        <w:t>,</w:t>
      </w:r>
      <w:r w:rsidRPr="00E72ABD">
        <w:t xml:space="preserve"> which often takes the form of night patrols</w:t>
      </w:r>
      <w:r w:rsidR="00DF57C5" w:rsidRPr="00E72ABD">
        <w:t>.</w:t>
      </w:r>
      <w:r w:rsidRPr="00E72ABD">
        <w:rPr>
          <w:sz w:val="18"/>
          <w:vertAlign w:val="superscript"/>
        </w:rPr>
        <w:footnoteReference w:id="369"/>
      </w:r>
      <w:r w:rsidRPr="00E72ABD">
        <w:t xml:space="preserve"> On 23 August 2019, during a press conference, the spokesperson of the national police himself stated that “the youth” – implying the CNDD-FDD youth league - “must be the eyes and ears of the police and all the institutions”</w:t>
      </w:r>
      <w:r w:rsidR="00DF57C5" w:rsidRPr="00E72ABD">
        <w:t>.</w:t>
      </w:r>
      <w:r w:rsidRPr="00E72ABD">
        <w:rPr>
          <w:sz w:val="18"/>
          <w:vertAlign w:val="superscript"/>
        </w:rPr>
        <w:footnoteReference w:id="370"/>
      </w:r>
    </w:p>
    <w:p w14:paraId="04AF7C25" w14:textId="25D4BC57" w:rsidR="00EC58CC" w:rsidRPr="00E72ABD" w:rsidRDefault="00EC58CC" w:rsidP="00EC58CC">
      <w:pPr>
        <w:spacing w:after="120"/>
        <w:ind w:left="1134" w:right="1134"/>
        <w:jc w:val="both"/>
      </w:pPr>
      <w:r w:rsidRPr="00E72ABD">
        <w:t>461.</w:t>
      </w:r>
      <w:r w:rsidRPr="00E72ABD">
        <w:tab/>
        <w:t xml:space="preserve">This interlocking of roles and functions reinforce the absence of distinction between the ruling party, local administration and the </w:t>
      </w:r>
      <w:r w:rsidR="00456B99" w:rsidRPr="00E72ABD">
        <w:t xml:space="preserve">State </w:t>
      </w:r>
      <w:r w:rsidRPr="00E72ABD">
        <w:t xml:space="preserve">security apparatus. A witness explained the confusion of roles in his colline: </w:t>
      </w:r>
    </w:p>
    <w:p w14:paraId="5B3A4227" w14:textId="141A4AA0" w:rsidR="00EC58CC" w:rsidRPr="00E72ABD" w:rsidRDefault="00EC58CC" w:rsidP="00EC58CC">
      <w:pPr>
        <w:spacing w:after="120"/>
        <w:ind w:left="1701" w:right="1134"/>
        <w:jc w:val="both"/>
      </w:pPr>
      <w:r w:rsidRPr="00E72ABD">
        <w:t>“</w:t>
      </w:r>
      <w:r w:rsidRPr="00952B65">
        <w:rPr>
          <w:i/>
        </w:rPr>
        <w:t xml:space="preserve">A </w:t>
      </w:r>
      <w:r w:rsidR="00952B65">
        <w:rPr>
          <w:i/>
        </w:rPr>
        <w:t>police car arrived,</w:t>
      </w:r>
      <w:r w:rsidRPr="00E72ABD">
        <w:rPr>
          <w:i/>
        </w:rPr>
        <w:t xml:space="preserve"> inside was the administrator of the commune [X]. He was the head of CNDD-FDD at the provincial level and he was also an Imbonerakure. […][Y], the chef de colline had been an Imbonerakure for the past five years. […] [Z] </w:t>
      </w:r>
      <w:proofErr w:type="gramStart"/>
      <w:r w:rsidRPr="00E72ABD">
        <w:rPr>
          <w:i/>
        </w:rPr>
        <w:t>was</w:t>
      </w:r>
      <w:proofErr w:type="gramEnd"/>
      <w:r w:rsidRPr="00E72ABD">
        <w:rPr>
          <w:i/>
        </w:rPr>
        <w:t xml:space="preserve"> the leader of the Imbonerakure on the colline. We knew it because it</w:t>
      </w:r>
      <w:r w:rsidR="00EF2D2F" w:rsidRPr="00E72ABD">
        <w:rPr>
          <w:i/>
        </w:rPr>
        <w:t xml:space="preserve"> </w:t>
      </w:r>
      <w:r w:rsidRPr="00E72ABD">
        <w:rPr>
          <w:i/>
        </w:rPr>
        <w:t>was openly discussed but also because when somebody did something wrong</w:t>
      </w:r>
      <w:r w:rsidR="00952B65">
        <w:rPr>
          <w:i/>
        </w:rPr>
        <w:t>,</w:t>
      </w:r>
      <w:r w:rsidRPr="00E72ABD">
        <w:rPr>
          <w:i/>
        </w:rPr>
        <w:t xml:space="preserve"> he was the one who came to punish them. The chef de colline [Y] could give orders but the one who was feared and respected was [Z, the leader of the Imbonerakure]</w:t>
      </w:r>
      <w:r w:rsidR="00DF57C5" w:rsidRPr="00E72ABD">
        <w:t>”.</w:t>
      </w:r>
      <w:r w:rsidRPr="00E72ABD">
        <w:rPr>
          <w:sz w:val="18"/>
          <w:vertAlign w:val="superscript"/>
        </w:rPr>
        <w:footnoteReference w:id="371"/>
      </w:r>
      <w:r w:rsidRPr="00E72ABD">
        <w:t xml:space="preserve"> </w:t>
      </w:r>
    </w:p>
    <w:p w14:paraId="6508B12A" w14:textId="7FEE4B31" w:rsidR="00EC58CC" w:rsidRPr="00E72ABD" w:rsidRDefault="00EC58CC" w:rsidP="00EC58CC">
      <w:pPr>
        <w:spacing w:after="120"/>
        <w:ind w:left="1134" w:right="1134"/>
        <w:jc w:val="both"/>
      </w:pPr>
      <w:r w:rsidRPr="00E72ABD">
        <w:t>462.</w:t>
      </w:r>
      <w:r w:rsidRPr="00E72ABD">
        <w:tab/>
        <w:t>It is therefore difficult to know in what capacity a person</w:t>
      </w:r>
      <w:r w:rsidR="00DF57C5" w:rsidRPr="00E72ABD">
        <w:t>,</w:t>
      </w:r>
      <w:r w:rsidRPr="00E72ABD">
        <w:t xml:space="preserve"> who is at the same time an administrative authority, a party official and an Imbonerakure as well as a member of the </w:t>
      </w:r>
      <w:r w:rsidR="00952B65">
        <w:t>mixed</w:t>
      </w:r>
      <w:r w:rsidRPr="00E72ABD">
        <w:t xml:space="preserve"> security committee</w:t>
      </w:r>
      <w:r w:rsidR="00DF57C5" w:rsidRPr="00E72ABD">
        <w:t>,</w:t>
      </w:r>
      <w:r w:rsidRPr="00E72ABD">
        <w:t xml:space="preserve"> is acting. A former </w:t>
      </w:r>
      <w:r w:rsidRPr="00E72ABD">
        <w:rPr>
          <w:i/>
        </w:rPr>
        <w:t>Nyumbakumi</w:t>
      </w:r>
      <w:r w:rsidRPr="00E72ABD">
        <w:t xml:space="preserve"> highlighted the total confusion between the party and the administration as illustrated in meetings which are simultaneously party and administrative meetings: </w:t>
      </w:r>
    </w:p>
    <w:p w14:paraId="19819577" w14:textId="183A0212" w:rsidR="00EC58CC" w:rsidRPr="00E72ABD" w:rsidRDefault="00EC58CC" w:rsidP="00EC58CC">
      <w:pPr>
        <w:spacing w:after="120"/>
        <w:ind w:left="1701" w:right="1134"/>
        <w:jc w:val="both"/>
      </w:pPr>
      <w:r w:rsidRPr="00E72ABD">
        <w:t>“</w:t>
      </w:r>
      <w:r w:rsidRPr="00E72ABD">
        <w:rPr>
          <w:i/>
        </w:rPr>
        <w:t>The meetings took place every Saturday and I took part as Nyumbakumi. They would teach us about CNDD-FDD. […] During the Saturday meetings</w:t>
      </w:r>
      <w:r w:rsidR="00DF57C5" w:rsidRPr="00E72ABD">
        <w:rPr>
          <w:i/>
        </w:rPr>
        <w:t xml:space="preserve">, </w:t>
      </w:r>
      <w:r w:rsidRPr="00E72ABD">
        <w:rPr>
          <w:i/>
        </w:rPr>
        <w:t xml:space="preserve">births and deaths would not be discussed. Arrivals and departures were discussed by the chef de colline who had received the information from Nyumbakumi […]. These meetings […] took place at the colline, but they could also take place in the zone or the </w:t>
      </w:r>
      <w:r w:rsidR="00117EF3">
        <w:rPr>
          <w:i/>
        </w:rPr>
        <w:t>commune in the shape of larger ‘</w:t>
      </w:r>
      <w:r w:rsidRPr="00E72ABD">
        <w:rPr>
          <w:i/>
        </w:rPr>
        <w:t>gatherings</w:t>
      </w:r>
      <w:r w:rsidR="00117EF3">
        <w:rPr>
          <w:i/>
        </w:rPr>
        <w:t>’</w:t>
      </w:r>
      <w:r w:rsidRPr="00E72ABD">
        <w:rPr>
          <w:i/>
        </w:rPr>
        <w:t>. Some meetings at the colline were opened to all, others were strictly for the Nyumbakumi. They took place in the offices of CNDD-FDD branches. Until 2018, the Nyumbakumi not affiliated to CNDD-FDD could take part in the meetings for all Nyumbakumi of the colline. They made it clear to them tha</w:t>
      </w:r>
      <w:r w:rsidR="00117EF3">
        <w:rPr>
          <w:i/>
        </w:rPr>
        <w:t>t they were not ‘integrated’</w:t>
      </w:r>
      <w:r w:rsidRPr="00E72ABD">
        <w:rPr>
          <w:i/>
        </w:rPr>
        <w:t xml:space="preserve"> in the meeting’s discussions […]. Today, it is not possible to be a local leader without being a member of CNDD-FDD. All this took another dimension because the meetings were held in the party headquarters at the colline or the commune level. When the meetings were exclusively for Nyumbakumi, they would give us civic lessons to disseminate. The meeting was always chaired by a senior authority, either the chef de colline or the communal administrator.[…] The subjects covered included civic education in favour of CNDD-FDD, distrust of other parties, all other topics of interest for the commune or the colline such as the contributions, the management of grazing spaces for the cattle and community works</w:t>
      </w:r>
      <w:r w:rsidRPr="00E72ABD">
        <w:t>”.</w:t>
      </w:r>
      <w:r w:rsidRPr="00E72ABD">
        <w:rPr>
          <w:sz w:val="18"/>
          <w:vertAlign w:val="superscript"/>
        </w:rPr>
        <w:footnoteReference w:id="372"/>
      </w:r>
    </w:p>
    <w:p w14:paraId="1B4FBDB7" w14:textId="77777777" w:rsidR="00EC58CC" w:rsidRPr="00E72ABD" w:rsidRDefault="00EC58CC" w:rsidP="00EC58CC">
      <w:pPr>
        <w:keepNext/>
        <w:keepLines/>
        <w:tabs>
          <w:tab w:val="right" w:pos="851"/>
        </w:tabs>
        <w:spacing w:before="240" w:after="120" w:line="240" w:lineRule="exact"/>
        <w:ind w:left="1134" w:right="1134" w:hanging="1134"/>
        <w:jc w:val="both"/>
      </w:pPr>
      <w:r w:rsidRPr="00E72ABD">
        <w:tab/>
      </w:r>
      <w:r w:rsidRPr="00E72ABD">
        <w:tab/>
      </w:r>
      <w:proofErr w:type="gramStart"/>
      <w:r w:rsidRPr="00E72ABD">
        <w:t>(iv)</w:t>
      </w:r>
      <w:r w:rsidRPr="00E72ABD">
        <w:tab/>
        <w:t>Indoctrination</w:t>
      </w:r>
      <w:proofErr w:type="gramEnd"/>
      <w:r w:rsidRPr="00E72ABD">
        <w:t xml:space="preserve"> of the population and show of force by CNDD-FDD</w:t>
      </w:r>
    </w:p>
    <w:p w14:paraId="5D2DD3E5" w14:textId="3366045D" w:rsidR="00EC58CC" w:rsidRPr="00E72ABD" w:rsidRDefault="00EC58CC" w:rsidP="00EC58CC">
      <w:pPr>
        <w:spacing w:after="120"/>
        <w:ind w:left="1134" w:right="1134"/>
        <w:jc w:val="both"/>
      </w:pPr>
      <w:r w:rsidRPr="00E72ABD">
        <w:t>463.</w:t>
      </w:r>
      <w:r w:rsidRPr="00E72ABD">
        <w:tab/>
        <w:t>Such an interlocking of political, administrative and security structures facilitates the control of the population in its entirety. Specifically, this has taken shape with the controls exercised by Imbonerakure on the population to verify that people have registered on electoral lists, voted during the referendum, effectively paid up the forced and the “voluntary” contributions for the preparation of the 2020 elections</w:t>
      </w:r>
      <w:r w:rsidR="00F62C5A" w:rsidRPr="00E72ABD">
        <w:t>.</w:t>
      </w:r>
      <w:r w:rsidRPr="00E72ABD">
        <w:rPr>
          <w:sz w:val="18"/>
          <w:vertAlign w:val="superscript"/>
        </w:rPr>
        <w:footnoteReference w:id="373"/>
      </w:r>
      <w:r w:rsidRPr="00E72ABD">
        <w:t xml:space="preserve"> However, CNDD-FDD seeks to further increase its dominant position in the </w:t>
      </w:r>
      <w:r w:rsidR="002E6630">
        <w:t>Burundian</w:t>
      </w:r>
      <w:r w:rsidRPr="00E72ABD">
        <w:t xml:space="preserve"> political space, including by recruiting new members, by force if necessary</w:t>
      </w:r>
      <w:r w:rsidR="00F62C5A" w:rsidRPr="00E72ABD">
        <w:t>;</w:t>
      </w:r>
      <w:r w:rsidRPr="00E72ABD">
        <w:rPr>
          <w:sz w:val="18"/>
          <w:vertAlign w:val="superscript"/>
        </w:rPr>
        <w:footnoteReference w:id="374"/>
      </w:r>
      <w:r w:rsidRPr="00E72ABD">
        <w:t xml:space="preserve"> and in multiplying “shows of force” on the whole territory since 2019</w:t>
      </w:r>
      <w:r w:rsidR="00456B99" w:rsidRPr="00E72ABD">
        <w:t>.</w:t>
      </w:r>
      <w:r w:rsidRPr="00E72ABD">
        <w:rPr>
          <w:sz w:val="18"/>
          <w:vertAlign w:val="superscript"/>
        </w:rPr>
        <w:footnoteReference w:id="375"/>
      </w:r>
      <w:r w:rsidRPr="00E72ABD">
        <w:t xml:space="preserve"> For example, on 27 April 2019, the Imbonerakure from Kinama zone, commune of Ntahangwa in the city of Bujumbura</w:t>
      </w:r>
      <w:r w:rsidRPr="00E72ABD">
        <w:rPr>
          <w:i/>
        </w:rPr>
        <w:t xml:space="preserve">, </w:t>
      </w:r>
      <w:r w:rsidRPr="00E72ABD">
        <w:t>organised a “show of force”</w:t>
      </w:r>
      <w:r w:rsidR="00456B99" w:rsidRPr="00E72ABD">
        <w:t>.</w:t>
      </w:r>
      <w:r w:rsidRPr="00E72ABD">
        <w:rPr>
          <w:sz w:val="18"/>
          <w:vertAlign w:val="superscript"/>
        </w:rPr>
        <w:footnoteReference w:id="376"/>
      </w:r>
      <w:r w:rsidRPr="00E72ABD">
        <w:t xml:space="preserve"> On 11 May 2019, it was the members of the CNDD-FDD women's League, the </w:t>
      </w:r>
      <w:r w:rsidRPr="00E72ABD">
        <w:rPr>
          <w:i/>
        </w:rPr>
        <w:t>Bakenyerarugamba</w:t>
      </w:r>
      <w:r w:rsidRPr="00E72ABD">
        <w:t>, who organized demonstrations in the city of Bujumbura as a “show of force”</w:t>
      </w:r>
      <w:r w:rsidR="00A96239">
        <w:t xml:space="preserve"> while chanting slogans such as</w:t>
      </w:r>
      <w:r w:rsidRPr="00E72ABD">
        <w:t xml:space="preserve"> “you cannot push a mountain”, the mountain symbolizing CNDD-FDD</w:t>
      </w:r>
      <w:r w:rsidR="00456B99" w:rsidRPr="00E72ABD">
        <w:t>.</w:t>
      </w:r>
      <w:r w:rsidRPr="00E72ABD">
        <w:rPr>
          <w:sz w:val="18"/>
          <w:vertAlign w:val="superscript"/>
        </w:rPr>
        <w:footnoteReference w:id="377"/>
      </w:r>
    </w:p>
    <w:p w14:paraId="4226DDCB" w14:textId="087B3776" w:rsidR="00EC58CC" w:rsidRPr="00E72ABD" w:rsidRDefault="00EC58CC" w:rsidP="00EC58CC">
      <w:pPr>
        <w:spacing w:after="120"/>
        <w:ind w:left="1134" w:right="1134"/>
        <w:jc w:val="both"/>
      </w:pPr>
      <w:r w:rsidRPr="00E72ABD">
        <w:t>464.</w:t>
      </w:r>
      <w:r w:rsidRPr="00E72ABD">
        <w:tab/>
        <w:t>On 17 August 2019, for the third consecutive year, a day dedicated to Imbonerakure, named “Imbonerakure Day”, was organized throughout the country. It was largely presented as a “show of force” by the party</w:t>
      </w:r>
      <w:r w:rsidR="00456B99" w:rsidRPr="00E72ABD">
        <w:t>.</w:t>
      </w:r>
      <w:r w:rsidRPr="00E72ABD">
        <w:rPr>
          <w:sz w:val="18"/>
          <w:vertAlign w:val="superscript"/>
        </w:rPr>
        <w:footnoteReference w:id="378"/>
      </w:r>
      <w:r w:rsidRPr="00E72ABD">
        <w:t xml:space="preserve"> For the first time, groups of children aged 7 to 17 years, presented as </w:t>
      </w:r>
      <w:r w:rsidRPr="00E72ABD">
        <w:rPr>
          <w:i/>
        </w:rPr>
        <w:t>ibiswi vy’inkona</w:t>
      </w:r>
      <w:r w:rsidRPr="00E72ABD">
        <w:t xml:space="preserve"> (children of the eagle) took part in the parade of various leagues of CNDD-FDD</w:t>
      </w:r>
      <w:r w:rsidR="00456B99" w:rsidRPr="00E72ABD">
        <w:t>.</w:t>
      </w:r>
      <w:r w:rsidRPr="00E72ABD">
        <w:rPr>
          <w:sz w:val="18"/>
          <w:vertAlign w:val="superscript"/>
        </w:rPr>
        <w:footnoteReference w:id="379"/>
      </w:r>
      <w:r w:rsidRPr="00E72ABD">
        <w:t xml:space="preserve"> This indoctrination of young people is new and demonstrates that the entire population is impacted.</w:t>
      </w:r>
    </w:p>
    <w:p w14:paraId="68179A46" w14:textId="2067D1E3" w:rsidR="00EC58CC" w:rsidRPr="00E72ABD" w:rsidRDefault="00EC58CC" w:rsidP="00EC58CC">
      <w:pPr>
        <w:spacing w:after="120"/>
        <w:ind w:left="1134" w:right="1134"/>
        <w:jc w:val="both"/>
      </w:pPr>
      <w:r w:rsidRPr="00E72ABD">
        <w:t>465. CNDD-FDD feels the need to display a show of force because the new CNL party, which benefits from a certain popularity within the population, represents its main opponent within its traditional electoral base, composed mainly of Hutus. In fact, in Burundi, political violence has been a tool used in the past by political parties to mobilize members of a given community, because the show of force would prove the capacity and the will of the concerned party to protect its group members</w:t>
      </w:r>
      <w:r w:rsidR="00F62C5A" w:rsidRPr="00E72ABD">
        <w:t>.</w:t>
      </w:r>
      <w:r w:rsidRPr="00E72ABD">
        <w:rPr>
          <w:sz w:val="18"/>
          <w:vertAlign w:val="superscript"/>
        </w:rPr>
        <w:footnoteReference w:id="380"/>
      </w:r>
    </w:p>
    <w:p w14:paraId="6C864DFD" w14:textId="043EA060" w:rsidR="00EC58CC" w:rsidRPr="00E72ABD" w:rsidRDefault="00EC58CC" w:rsidP="00EC58CC">
      <w:pPr>
        <w:spacing w:after="120"/>
        <w:ind w:left="1134" w:right="1134"/>
        <w:jc w:val="both"/>
      </w:pPr>
      <w:r w:rsidRPr="00E72ABD">
        <w:t>466.</w:t>
      </w:r>
      <w:r w:rsidRPr="00E72ABD">
        <w:tab/>
        <w:t xml:space="preserve">The history of elections in Burundi has also shown a certain tendency of CNDD-FDD to resort to strategies of violence as </w:t>
      </w:r>
      <w:r w:rsidR="00F62C5A" w:rsidRPr="00E72ABD">
        <w:t>a mean</w:t>
      </w:r>
      <w:r w:rsidR="005D76CB" w:rsidRPr="00E72ABD">
        <w:t>s</w:t>
      </w:r>
      <w:r w:rsidR="00F62C5A" w:rsidRPr="00E72ABD">
        <w:t xml:space="preserve"> of </w:t>
      </w:r>
      <w:r w:rsidRPr="00E72ABD">
        <w:t>political mobilization, particularly when there is a solid political opposition which leaned on the same community and/or the same ethnic group. Violence also has the objective of punishing the defectors, who are labelled as traitors</w:t>
      </w:r>
      <w:r w:rsidR="005A2D35">
        <w:t>,</w:t>
      </w:r>
      <w:r w:rsidRPr="00E72ABD">
        <w:t xml:space="preserve"> and to prevent possible future desertions</w:t>
      </w:r>
      <w:r w:rsidR="00F62C5A" w:rsidRPr="00E72ABD">
        <w:t>.</w:t>
      </w:r>
      <w:r w:rsidRPr="00E72ABD">
        <w:rPr>
          <w:sz w:val="18"/>
          <w:vertAlign w:val="superscript"/>
        </w:rPr>
        <w:footnoteReference w:id="381"/>
      </w:r>
    </w:p>
    <w:p w14:paraId="776AC596" w14:textId="5687A2A8" w:rsidR="00EC58CC" w:rsidRPr="00E72ABD" w:rsidRDefault="00EC58CC" w:rsidP="00EC58CC">
      <w:pPr>
        <w:spacing w:after="120"/>
        <w:ind w:left="1134" w:right="1134"/>
        <w:jc w:val="both"/>
      </w:pPr>
      <w:r w:rsidRPr="00E72ABD">
        <w:t>467.</w:t>
      </w:r>
      <w:r w:rsidRPr="00E72ABD">
        <w:tab/>
        <w:t xml:space="preserve">It is therefore clear that CNDD-FDD party is already in full-fledged pre-electoral campaign and is in the process of mobilizing troops. However, while the elections are rapidly approaching, and specifically because the applications for the Presidential election must be submitted to CENI between 25 February and 5 March 2020, the party is yet to announce its candidate. Since CNDD-FDD is traditionally secretive, it is impossible to know how far the </w:t>
      </w:r>
      <w:r w:rsidRPr="00E72ABD">
        <w:rPr>
          <w:lang w:val="en-US"/>
        </w:rPr>
        <w:t xml:space="preserve">appointment </w:t>
      </w:r>
      <w:r w:rsidRPr="00E72ABD">
        <w:t>procedure has gone or when it will take place. There has been uncertainty surrounding this nomination since the President’s announcement that he will not seek reelection. This situation is reminiscent of that of 2015 since it is only on 25 April 2015 that CNDD-FDD appointed President Nkurunziza as its candidate during the party’s Congress, when the candidates’ applications needed to be presented to CENI between 30 April and 9 May 2015 for the election initially scheduled on 26 June 2015</w:t>
      </w:r>
      <w:r w:rsidR="00F62C5A" w:rsidRPr="00E72ABD">
        <w:t>.</w:t>
      </w:r>
      <w:r w:rsidRPr="00E72ABD">
        <w:rPr>
          <w:sz w:val="18"/>
          <w:vertAlign w:val="superscript"/>
        </w:rPr>
        <w:footnoteReference w:id="382"/>
      </w:r>
      <w:r w:rsidRPr="00E72ABD">
        <w:t xml:space="preserve"> CNDD-FDD waited until the very last minute because they were unable to agree on an alternative candidate to Nkurunziza</w:t>
      </w:r>
      <w:r w:rsidR="00F62C5A" w:rsidRPr="00E72ABD">
        <w:t>.</w:t>
      </w:r>
      <w:r w:rsidRPr="00E72ABD">
        <w:rPr>
          <w:sz w:val="18"/>
          <w:vertAlign w:val="superscript"/>
        </w:rPr>
        <w:footnoteReference w:id="383"/>
      </w:r>
    </w:p>
    <w:p w14:paraId="562B143C" w14:textId="0D9B4CF0" w:rsidR="00EC58CC" w:rsidRPr="00E72ABD" w:rsidRDefault="00EC58CC" w:rsidP="00EC58CC">
      <w:pPr>
        <w:spacing w:after="120"/>
        <w:ind w:left="1134" w:right="1134"/>
        <w:jc w:val="both"/>
      </w:pPr>
      <w:r w:rsidRPr="00E72ABD">
        <w:t>468.</w:t>
      </w:r>
      <w:r w:rsidRPr="00E72ABD">
        <w:tab/>
        <w:t xml:space="preserve">The lack of a declared candidate of the ruling party contributes to maintaining doubt in the minds of certain analysts and several </w:t>
      </w:r>
      <w:r w:rsidR="002E6630">
        <w:t>Burundian</w:t>
      </w:r>
      <w:r w:rsidRPr="00E72ABD">
        <w:t>s with regards to the possibility of a fourth term of President Nkurunziza, despite his announcement that he would not seek re-election, reiterated several times by himself and his spokesperson. In fact, some of the President’s statements, initiatives and positions are sufficiently ambiguous to prompt speculations.</w:t>
      </w:r>
    </w:p>
    <w:p w14:paraId="4DB42EAB" w14:textId="77777777" w:rsidR="00EC58CC" w:rsidRPr="00E72ABD" w:rsidRDefault="00EC58CC" w:rsidP="00EC58CC">
      <w:pPr>
        <w:keepNext/>
        <w:keepLines/>
        <w:tabs>
          <w:tab w:val="right" w:pos="851"/>
        </w:tabs>
        <w:spacing w:before="240" w:after="120" w:line="240" w:lineRule="exact"/>
        <w:ind w:left="1134" w:right="1134" w:hanging="1134"/>
        <w:jc w:val="both"/>
      </w:pPr>
      <w:r w:rsidRPr="00E72ABD">
        <w:tab/>
      </w:r>
      <w:r w:rsidRPr="00E72ABD">
        <w:tab/>
        <w:t>(v)</w:t>
      </w:r>
      <w:r w:rsidRPr="00E72ABD">
        <w:tab/>
        <w:t>Abuses of power by the Head of State</w:t>
      </w:r>
    </w:p>
    <w:p w14:paraId="146F2D0A" w14:textId="7E3D7274" w:rsidR="00EC58CC" w:rsidRPr="00E72ABD" w:rsidRDefault="00EC58CC" w:rsidP="00EC58CC">
      <w:pPr>
        <w:spacing w:after="120"/>
        <w:ind w:left="1134" w:right="1134"/>
        <w:jc w:val="both"/>
      </w:pPr>
      <w:r w:rsidRPr="00E72ABD">
        <w:t>469.</w:t>
      </w:r>
      <w:r w:rsidRPr="00E72ABD">
        <w:tab/>
        <w:t xml:space="preserve">By virtue of the new 2018 </w:t>
      </w:r>
      <w:r w:rsidR="00F62C5A" w:rsidRPr="00E72ABD">
        <w:t>Constitution</w:t>
      </w:r>
      <w:r w:rsidRPr="00E72ABD">
        <w:t>, the President of the Republic has broad powers at his disposal. Specifically, he exercises regulatory authority and ensure</w:t>
      </w:r>
      <w:r w:rsidR="00F62C5A" w:rsidRPr="00E72ABD">
        <w:t>s</w:t>
      </w:r>
      <w:r w:rsidRPr="00E72ABD">
        <w:t xml:space="preserve"> the enforcement of laws ; he appoints </w:t>
      </w:r>
      <w:r w:rsidR="007F5B89">
        <w:t>Government</w:t>
      </w:r>
      <w:r w:rsidRPr="00E72ABD">
        <w:t xml:space="preserve"> members and terminates their services ; he presides over the Council of </w:t>
      </w:r>
      <w:r w:rsidR="00EF2D2F" w:rsidRPr="00E72ABD">
        <w:t>Minister</w:t>
      </w:r>
      <w:r w:rsidRPr="00E72ABD">
        <w:t>s; he is the Commander</w:t>
      </w:r>
      <w:r w:rsidRPr="00E72ABD">
        <w:rPr>
          <w:lang w:val="en-US"/>
        </w:rPr>
        <w:t>-</w:t>
      </w:r>
      <w:r w:rsidRPr="00E72ABD">
        <w:t>in-chief of the defence and security force</w:t>
      </w:r>
      <w:r w:rsidR="005A2D35">
        <w:t>s; he appoints senior officials;</w:t>
      </w:r>
      <w:r w:rsidRPr="00E72ABD">
        <w:t xml:space="preserve"> accredits and recalls ambassadors as well as special envoys to foreign </w:t>
      </w:r>
      <w:r w:rsidR="00F62C5A" w:rsidRPr="00E72ABD">
        <w:t>States</w:t>
      </w:r>
      <w:r w:rsidRPr="00E72ABD">
        <w:t>; he has the prerogative of clemency; he can declare a state of emergency by decree-law and take measures required by these circumstances</w:t>
      </w:r>
      <w:r w:rsidR="00F62C5A" w:rsidRPr="00E72ABD">
        <w:t>.</w:t>
      </w:r>
      <w:r w:rsidRPr="00E72ABD">
        <w:rPr>
          <w:sz w:val="18"/>
          <w:vertAlign w:val="superscript"/>
        </w:rPr>
        <w:footnoteReference w:id="384"/>
      </w:r>
    </w:p>
    <w:p w14:paraId="081FA716" w14:textId="668A9F3C" w:rsidR="00EC58CC" w:rsidRPr="00E72ABD" w:rsidRDefault="00EC58CC" w:rsidP="00EC58CC">
      <w:pPr>
        <w:spacing w:after="120"/>
        <w:ind w:left="1134" w:right="1134"/>
        <w:jc w:val="both"/>
      </w:pPr>
      <w:r w:rsidRPr="00E72ABD">
        <w:t xml:space="preserve">470. However, he does not hesitate to make decisions that go beyond these prerogatives, for instance when he appointed by decree the composition of the new Office of the National Communication Council – while these should be elected internally by members of this </w:t>
      </w:r>
      <w:r w:rsidR="00F62C5A" w:rsidRPr="00E72ABD">
        <w:t>Council</w:t>
      </w:r>
      <w:r w:rsidRPr="00E72ABD">
        <w:t>. In addition, he regularly circumvents state institutions by using opaque parallel structures such as the “committee of generals”</w:t>
      </w:r>
      <w:r w:rsidR="00F62C5A" w:rsidRPr="00E72ABD">
        <w:t>.</w:t>
      </w:r>
      <w:r w:rsidRPr="00E72ABD">
        <w:rPr>
          <w:sz w:val="18"/>
          <w:vertAlign w:val="superscript"/>
        </w:rPr>
        <w:footnoteReference w:id="385"/>
      </w:r>
    </w:p>
    <w:p w14:paraId="6604874C" w14:textId="05493EBC" w:rsidR="003D5320" w:rsidRPr="00E72ABD" w:rsidRDefault="003D5320" w:rsidP="003D5320">
      <w:pPr>
        <w:pStyle w:val="SingleTxtG"/>
      </w:pPr>
      <w:r w:rsidRPr="00E72ABD">
        <w:t>471.</w:t>
      </w:r>
      <w:r w:rsidRPr="00E72ABD">
        <w:tab/>
        <w:t xml:space="preserve">He increasingly relies on the National Security Council (CNS), one of the </w:t>
      </w:r>
      <w:r w:rsidRPr="00E72ABD">
        <w:rPr>
          <w:cs/>
        </w:rPr>
        <w:t>“</w:t>
      </w:r>
      <w:r w:rsidRPr="00E72ABD">
        <w:t xml:space="preserve">national </w:t>
      </w:r>
      <w:r w:rsidR="00F62C5A" w:rsidRPr="00E72ABD">
        <w:t>c</w:t>
      </w:r>
      <w:r w:rsidRPr="00E72ABD">
        <w:t>ouncils</w:t>
      </w:r>
      <w:r w:rsidRPr="00E72ABD">
        <w:rPr>
          <w:cs/>
        </w:rPr>
        <w:t xml:space="preserve">” </w:t>
      </w:r>
      <w:r w:rsidRPr="00E72ABD">
        <w:t xml:space="preserve">established under the Constitution to enable a </w:t>
      </w:r>
      <w:r w:rsidRPr="00E72ABD">
        <w:rPr>
          <w:cs/>
        </w:rPr>
        <w:t>“</w:t>
      </w:r>
      <w:r w:rsidRPr="00E72ABD">
        <w:t>broad participation of citizens in the management of public affairs</w:t>
      </w:r>
      <w:r w:rsidRPr="00E72ABD">
        <w:rPr>
          <w:cs/>
        </w:rPr>
        <w:t>”</w:t>
      </w:r>
      <w:r w:rsidR="00F62C5A" w:rsidRPr="00E72ABD">
        <w:rPr>
          <w:rFonts w:hint="cs"/>
          <w:cs/>
        </w:rPr>
        <w:t>.</w:t>
      </w:r>
      <w:r w:rsidRPr="00E72ABD">
        <w:rPr>
          <w:rStyle w:val="FootnoteReference"/>
        </w:rPr>
        <w:footnoteReference w:id="386"/>
      </w:r>
      <w:r w:rsidRPr="00E72ABD">
        <w:t xml:space="preserve"> The Constitution clearly states that the CNS is </w:t>
      </w:r>
      <w:r w:rsidRPr="00E72ABD">
        <w:rPr>
          <w:cs/>
        </w:rPr>
        <w:t>“</w:t>
      </w:r>
      <w:r w:rsidRPr="00E72ABD">
        <w:t xml:space="preserve">a consultative body which assists the President of the Republic and the </w:t>
      </w:r>
      <w:r w:rsidR="007F5B89">
        <w:t>Government</w:t>
      </w:r>
      <w:r w:rsidRPr="00E72ABD">
        <w:t xml:space="preserve"> in formulating</w:t>
      </w:r>
      <w:r w:rsidR="00EF2D2F" w:rsidRPr="00E72ABD">
        <w:t xml:space="preserve"> </w:t>
      </w:r>
      <w:r w:rsidRPr="00E72ABD">
        <w:t>a security policy, monitoring the state of national security, and devise defence, security and policing strategies in times of unrest. This Council carefully scrutinises the state of unity and national cohesion among the components of defence and security forces. It can also be consulted on any other national security issue</w:t>
      </w:r>
      <w:r w:rsidRPr="00E72ABD">
        <w:rPr>
          <w:cs/>
        </w:rPr>
        <w:t>”</w:t>
      </w:r>
      <w:r w:rsidR="00F62C5A" w:rsidRPr="00E72ABD">
        <w:rPr>
          <w:rFonts w:hint="cs"/>
          <w:cs/>
        </w:rPr>
        <w:t>.</w:t>
      </w:r>
      <w:r w:rsidRPr="00E72ABD">
        <w:rPr>
          <w:rStyle w:val="FootnoteReference"/>
        </w:rPr>
        <w:footnoteReference w:id="387"/>
      </w:r>
      <w:r w:rsidRPr="00E72ABD">
        <w:t xml:space="preserve"> The CNS is made up of 17 members, </w:t>
      </w:r>
      <w:r w:rsidR="005A2D35">
        <w:t>eight</w:t>
      </w:r>
      <w:r w:rsidRPr="00E72ABD">
        <w:t xml:space="preserve"> of whom are</w:t>
      </w:r>
      <w:r w:rsidR="00EF2D2F" w:rsidRPr="00E72ABD">
        <w:t xml:space="preserve"> </w:t>
      </w:r>
      <w:r w:rsidRPr="00E72ABD">
        <w:t xml:space="preserve">full members, namely: the President of the Republic, the two Vice-Presidents, </w:t>
      </w:r>
      <w:proofErr w:type="gramStart"/>
      <w:r w:rsidRPr="00E72ABD">
        <w:t>the</w:t>
      </w:r>
      <w:proofErr w:type="gramEnd"/>
      <w:r w:rsidRPr="00E72ABD">
        <w:t xml:space="preserve"> </w:t>
      </w:r>
      <w:r w:rsidR="00EF2D2F" w:rsidRPr="00E72ABD">
        <w:t>Minister</w:t>
      </w:r>
      <w:r w:rsidRPr="00E72ABD">
        <w:t xml:space="preserve"> in charge of Public Security, the </w:t>
      </w:r>
      <w:r w:rsidR="00EF2D2F" w:rsidRPr="00E72ABD">
        <w:t>Minister</w:t>
      </w:r>
      <w:r w:rsidR="00BF5441" w:rsidRPr="00E72ABD">
        <w:t xml:space="preserve"> of Interior</w:t>
      </w:r>
      <w:r w:rsidRPr="00E72ABD">
        <w:t xml:space="preserve">, the </w:t>
      </w:r>
      <w:r w:rsidR="00EF2D2F" w:rsidRPr="00E72ABD">
        <w:t>Minister</w:t>
      </w:r>
      <w:r w:rsidRPr="00E72ABD">
        <w:t xml:space="preserve"> of External Relations, the </w:t>
      </w:r>
      <w:r w:rsidR="00EF2D2F" w:rsidRPr="00E72ABD">
        <w:t>Minister</w:t>
      </w:r>
      <w:r w:rsidRPr="00E72ABD">
        <w:t xml:space="preserve"> of National Defence, and the </w:t>
      </w:r>
      <w:r w:rsidR="00EF2D2F" w:rsidRPr="00E72ABD">
        <w:t>Minister</w:t>
      </w:r>
      <w:r w:rsidRPr="00E72ABD">
        <w:t xml:space="preserve"> of Justice. The CNS Permanent Secretary is Major-General Silas Ntigurirwa, former AMISOM Commander from December 2013 through December 2014. He is also </w:t>
      </w:r>
      <w:r w:rsidR="00C5232B" w:rsidRPr="00E72ABD">
        <w:t xml:space="preserve">the </w:t>
      </w:r>
      <w:r w:rsidRPr="00E72ABD">
        <w:t xml:space="preserve">former Executive Secretary of the National Commission for </w:t>
      </w:r>
      <w:r w:rsidR="00C5232B" w:rsidRPr="00E72ABD">
        <w:t>Demobilisation</w:t>
      </w:r>
      <w:r w:rsidRPr="00E72ABD">
        <w:t xml:space="preserve">, </w:t>
      </w:r>
      <w:r w:rsidR="00C5232B" w:rsidRPr="00E72ABD">
        <w:t>Reinsertion</w:t>
      </w:r>
      <w:r w:rsidRPr="00E72ABD">
        <w:t xml:space="preserve">, and </w:t>
      </w:r>
      <w:r w:rsidR="00C5232B" w:rsidRPr="00E72ABD">
        <w:t xml:space="preserve">Reintegration </w:t>
      </w:r>
      <w:r w:rsidRPr="00E72ABD">
        <w:t>of</w:t>
      </w:r>
      <w:r w:rsidR="00EF2D2F" w:rsidRPr="00E72ABD">
        <w:t xml:space="preserve"> </w:t>
      </w:r>
      <w:r w:rsidR="00C5232B" w:rsidRPr="00E72ABD">
        <w:t xml:space="preserve">Former Combatants </w:t>
      </w:r>
      <w:r w:rsidRPr="00E72ABD">
        <w:t>from 2004 through 2008. The other nine members are appointed by the President. It is the CNS that banned the activities of all international NGOs for three months starting from 1 October 2018</w:t>
      </w:r>
      <w:r w:rsidR="005A2D35">
        <w:t>,</w:t>
      </w:r>
      <w:r w:rsidRPr="00E72ABD">
        <w:rPr>
          <w:rStyle w:val="FootnoteReference"/>
        </w:rPr>
        <w:footnoteReference w:id="388"/>
      </w:r>
      <w:r w:rsidRPr="00E72ABD">
        <w:t xml:space="preserve"> although </w:t>
      </w:r>
      <w:r w:rsidR="005A2D35">
        <w:t xml:space="preserve">this Coucncil does not have </w:t>
      </w:r>
      <w:r w:rsidRPr="00E72ABD">
        <w:t>decision-making power</w:t>
      </w:r>
      <w:r w:rsidR="00C5232B" w:rsidRPr="00E72ABD">
        <w:t>.</w:t>
      </w:r>
      <w:r w:rsidRPr="00E72ABD">
        <w:t xml:space="preserve"> </w:t>
      </w:r>
      <w:r w:rsidR="00C5232B" w:rsidRPr="00E72ABD">
        <w:t>Yet</w:t>
      </w:r>
      <w:r w:rsidRPr="00E72ABD">
        <w:t xml:space="preserve">, this decision was endorsed and immediately enforced by </w:t>
      </w:r>
      <w:r w:rsidR="007F5B89">
        <w:t>Government</w:t>
      </w:r>
      <w:r w:rsidRPr="00E72ABD">
        <w:t xml:space="preserve"> without further questioning.</w:t>
      </w:r>
    </w:p>
    <w:p w14:paraId="56C76359" w14:textId="403FEC3D" w:rsidR="003D5320" w:rsidRPr="00E72ABD" w:rsidRDefault="003D5320" w:rsidP="003D5320">
      <w:pPr>
        <w:pStyle w:val="SingleTxtG"/>
      </w:pPr>
      <w:r w:rsidRPr="00E72ABD">
        <w:t>472.</w:t>
      </w:r>
      <w:r w:rsidRPr="00E72ABD">
        <w:tab/>
        <w:t xml:space="preserve">The new Constitution, promulgated on 7 June 2018 by the President of the Republic, was presented as </w:t>
      </w:r>
      <w:r w:rsidRPr="00E72ABD">
        <w:rPr>
          <w:cs/>
        </w:rPr>
        <w:t>“</w:t>
      </w:r>
      <w:r w:rsidRPr="00E72ABD">
        <w:t xml:space="preserve">emanating from the will of the people [...] </w:t>
      </w:r>
      <w:r w:rsidR="002E6630">
        <w:t>Burundian</w:t>
      </w:r>
      <w:r w:rsidRPr="00E72ABD">
        <w:t>s have just adopted a new Constitution which lives up to their expectations after some anachronistic articles of the former 2005 Constitution were amended and others revised. Moreover, new articles have been added to ensure that the Constitution conforms to our time and the laws in force in our sub-region, the East African Community. [...] In fact, this Constitution has been amended for the good, the honour and dignity of Burundi, and mostly to prepare a brighter future for generations to come</w:t>
      </w:r>
      <w:r w:rsidRPr="00E72ABD">
        <w:rPr>
          <w:cs/>
        </w:rPr>
        <w:t>”</w:t>
      </w:r>
      <w:r w:rsidRPr="00E72ABD">
        <w:t>.</w:t>
      </w:r>
      <w:r w:rsidRPr="00E72ABD">
        <w:rPr>
          <w:rStyle w:val="FootnoteReference"/>
        </w:rPr>
        <w:footnoteReference w:id="389"/>
      </w:r>
    </w:p>
    <w:p w14:paraId="3A3B2706" w14:textId="232D8C91" w:rsidR="003D5320" w:rsidRPr="00E72ABD" w:rsidRDefault="003D5320" w:rsidP="003D5320">
      <w:pPr>
        <w:pStyle w:val="SingleTxtG"/>
      </w:pPr>
      <w:r w:rsidRPr="00E72ABD">
        <w:t>473.</w:t>
      </w:r>
      <w:r w:rsidRPr="00E72ABD">
        <w:tab/>
        <w:t xml:space="preserve">However, its implementation is marked by some level of inconsistency and uncertainty as it is not done following a clearly predefined schedule. For instance, the office of Prime </w:t>
      </w:r>
      <w:r w:rsidR="00EF2D2F" w:rsidRPr="00E72ABD">
        <w:t>Minister</w:t>
      </w:r>
      <w:r w:rsidRPr="00E72ABD">
        <w:t xml:space="preserve"> </w:t>
      </w:r>
      <w:r w:rsidR="00C5232B" w:rsidRPr="00E72ABD">
        <w:t xml:space="preserve">that is supposed to </w:t>
      </w:r>
      <w:r w:rsidRPr="00E72ABD">
        <w:t>replace one of the Vice-Presidents has not been established</w:t>
      </w:r>
      <w:r w:rsidRPr="00E72ABD">
        <w:rPr>
          <w:rStyle w:val="FootnoteReference"/>
        </w:rPr>
        <w:footnoteReference w:id="390"/>
      </w:r>
      <w:r w:rsidRPr="00E72ABD">
        <w:t xml:space="preserve"> </w:t>
      </w:r>
      <w:r w:rsidR="00C5232B" w:rsidRPr="00E72ABD">
        <w:t xml:space="preserve">while </w:t>
      </w:r>
      <w:r w:rsidR="005D76CB" w:rsidRPr="00E72ABD">
        <w:t xml:space="preserve">at the same time </w:t>
      </w:r>
      <w:r w:rsidRPr="00E72ABD">
        <w:t>the right of former Presidents to become Senators was immediately repealed pursuant to the new Constitution. This is despite the fact that it was one of the provisions of the Arusha Agreement</w:t>
      </w:r>
      <w:r w:rsidR="00076B75" w:rsidRPr="00E72ABD">
        <w:t>.</w:t>
      </w:r>
      <w:r w:rsidRPr="00E72ABD">
        <w:rPr>
          <w:rStyle w:val="FootnoteReference"/>
        </w:rPr>
        <w:footnoteReference w:id="391"/>
      </w:r>
      <w:r w:rsidRPr="00E72ABD">
        <w:t xml:space="preserve"> Furthermore, some provisions are already obsolete, such as the one naming Bujumbura as the country</w:t>
      </w:r>
      <w:r w:rsidRPr="00E72ABD">
        <w:rPr>
          <w:cs/>
        </w:rPr>
        <w:t>’</w:t>
      </w:r>
      <w:r w:rsidRPr="00E72ABD">
        <w:t>s capital</w:t>
      </w:r>
      <w:r w:rsidR="005A2D35">
        <w:t>,</w:t>
      </w:r>
      <w:r w:rsidRPr="00E72ABD">
        <w:t xml:space="preserve"> since the </w:t>
      </w:r>
      <w:r w:rsidR="007F5B89">
        <w:t>Government</w:t>
      </w:r>
      <w:r w:rsidRPr="00E72ABD">
        <w:t xml:space="preserve"> announced on 21 December 2018 that Gitega was the new capital of Burundi</w:t>
      </w:r>
      <w:r w:rsidRPr="00E72ABD">
        <w:rPr>
          <w:rStyle w:val="FootnoteReference"/>
        </w:rPr>
        <w:footnoteReference w:id="392"/>
      </w:r>
      <w:r w:rsidRPr="00E72ABD">
        <w:t>. The provision on the country</w:t>
      </w:r>
      <w:r w:rsidRPr="00E72ABD">
        <w:rPr>
          <w:cs/>
        </w:rPr>
        <w:t>’</w:t>
      </w:r>
      <w:r w:rsidRPr="00E72ABD">
        <w:t xml:space="preserve">s motto </w:t>
      </w:r>
      <w:r w:rsidRPr="00E72ABD">
        <w:rPr>
          <w:cs/>
        </w:rPr>
        <w:t>“</w:t>
      </w:r>
      <w:r w:rsidRPr="00E72ABD">
        <w:t>Work, Unity, Fatherland</w:t>
      </w:r>
      <w:r w:rsidRPr="00E72ABD">
        <w:rPr>
          <w:cs/>
        </w:rPr>
        <w:t>”</w:t>
      </w:r>
      <w:r w:rsidRPr="00E72ABD">
        <w:rPr>
          <w:rStyle w:val="FootnoteReference"/>
        </w:rPr>
        <w:footnoteReference w:id="393"/>
      </w:r>
      <w:r w:rsidRPr="00E72ABD">
        <w:t xml:space="preserve"> is </w:t>
      </w:r>
      <w:r w:rsidRPr="00E72ABD">
        <w:rPr>
          <w:i/>
        </w:rPr>
        <w:t>de facto</w:t>
      </w:r>
      <w:r w:rsidRPr="00E72ABD">
        <w:t xml:space="preserve"> questioned following the President’s</w:t>
      </w:r>
      <w:r w:rsidR="00C5232B" w:rsidRPr="00E72ABD">
        <w:t xml:space="preserve"> </w:t>
      </w:r>
      <w:r w:rsidRPr="00E72ABD">
        <w:t xml:space="preserve">demands that the former monarchic motto </w:t>
      </w:r>
      <w:r w:rsidRPr="00E72ABD">
        <w:rPr>
          <w:cs/>
        </w:rPr>
        <w:t>“</w:t>
      </w:r>
      <w:r w:rsidRPr="00E72ABD">
        <w:rPr>
          <w:i/>
        </w:rPr>
        <w:t>Imana</w:t>
      </w:r>
      <w:r w:rsidRPr="00E72ABD">
        <w:t xml:space="preserve">, </w:t>
      </w:r>
      <w:r w:rsidRPr="00E72ABD">
        <w:rPr>
          <w:i/>
        </w:rPr>
        <w:t>Umwami</w:t>
      </w:r>
      <w:r w:rsidRPr="00E72ABD">
        <w:t xml:space="preserve">, </w:t>
      </w:r>
      <w:r w:rsidRPr="00E72ABD">
        <w:rPr>
          <w:i/>
        </w:rPr>
        <w:t>Uburundi</w:t>
      </w:r>
      <w:r w:rsidRPr="00E72ABD">
        <w:rPr>
          <w:cs/>
        </w:rPr>
        <w:t xml:space="preserve">” </w:t>
      </w:r>
      <w:r w:rsidRPr="00E72ABD">
        <w:t>(God, King, Burundi) be inscribed on every public building in replacement of the official motto</w:t>
      </w:r>
      <w:r w:rsidR="00C5232B" w:rsidRPr="00E72ABD">
        <w:t>,</w:t>
      </w:r>
      <w:r w:rsidRPr="00E72ABD">
        <w:t xml:space="preserve"> without any legal basis. Such personal abuses of presidential powers bring to light the weakness of State institutions, which are clearly not able to counteract or denounce them.</w:t>
      </w:r>
    </w:p>
    <w:p w14:paraId="0A54D4EB" w14:textId="69A830E0" w:rsidR="003D5320" w:rsidRPr="00E72ABD" w:rsidRDefault="003D5320" w:rsidP="003D5320">
      <w:pPr>
        <w:pStyle w:val="SingleTxtG"/>
      </w:pPr>
      <w:r w:rsidRPr="00E72ABD">
        <w:t>474.</w:t>
      </w:r>
      <w:r w:rsidRPr="00E72ABD">
        <w:tab/>
        <w:t>President Nkurunziza’s constant references to the monarchic</w:t>
      </w:r>
      <w:r w:rsidR="00EF2D2F" w:rsidRPr="00E72ABD">
        <w:t xml:space="preserve"> </w:t>
      </w:r>
      <w:r w:rsidRPr="00E72ABD">
        <w:t>period as a blessed</w:t>
      </w:r>
      <w:r w:rsidR="00EF2D2F" w:rsidRPr="00E72ABD">
        <w:t xml:space="preserve"> </w:t>
      </w:r>
      <w:r w:rsidRPr="00E72ABD">
        <w:t>era for the country, the imposition of the monarchic</w:t>
      </w:r>
      <w:r w:rsidR="00EF2D2F" w:rsidRPr="00E72ABD">
        <w:t xml:space="preserve"> </w:t>
      </w:r>
      <w:r w:rsidR="005A2D35">
        <w:t>motto, including o</w:t>
      </w:r>
      <w:r w:rsidRPr="00E72ABD">
        <w:t>n CNDD-FDD offices, alongside a sufficiently ambiguous formulation of the new constitutional provision on the possibility of a return to monarchy</w:t>
      </w:r>
      <w:r w:rsidR="00076B75" w:rsidRPr="00E72ABD">
        <w:t>,</w:t>
      </w:r>
      <w:r w:rsidRPr="00E72ABD">
        <w:rPr>
          <w:rStyle w:val="FootnoteReference"/>
        </w:rPr>
        <w:footnoteReference w:id="394"/>
      </w:r>
      <w:r w:rsidRPr="00E72ABD">
        <w:t xml:space="preserve"> allow for speculation among analysts and </w:t>
      </w:r>
      <w:r w:rsidR="002E6630">
        <w:t>Burundian</w:t>
      </w:r>
      <w:r w:rsidRPr="00E72ABD">
        <w:t xml:space="preserve">s as to the possibility of a </w:t>
      </w:r>
      <w:r w:rsidR="005A2D35">
        <w:t>restoration</w:t>
      </w:r>
      <w:r w:rsidRPr="00E72ABD">
        <w:t xml:space="preserve"> </w:t>
      </w:r>
      <w:r w:rsidR="005A2D35">
        <w:t xml:space="preserve">of the monarchy </w:t>
      </w:r>
      <w:r w:rsidRPr="00E72ABD">
        <w:t>to the benefit of the Head of State, especially as he announced he will not take part in the next presidential elections</w:t>
      </w:r>
      <w:r w:rsidR="00C5232B" w:rsidRPr="00E72ABD">
        <w:t>.</w:t>
      </w:r>
      <w:r w:rsidRPr="00E72ABD">
        <w:rPr>
          <w:rStyle w:val="FootnoteReference"/>
        </w:rPr>
        <w:footnoteReference w:id="395"/>
      </w:r>
    </w:p>
    <w:p w14:paraId="7378F6A3" w14:textId="08843FAE" w:rsidR="003D5320" w:rsidRPr="00E72ABD" w:rsidRDefault="003D5320" w:rsidP="003D5320">
      <w:pPr>
        <w:pStyle w:val="SingleTxtG"/>
      </w:pPr>
      <w:r w:rsidRPr="00E72ABD">
        <w:t>475.</w:t>
      </w:r>
      <w:r w:rsidRPr="00E72ABD">
        <w:tab/>
        <w:t>President Nkurunziza</w:t>
      </w:r>
      <w:r w:rsidRPr="00E72ABD">
        <w:rPr>
          <w:cs/>
        </w:rPr>
        <w:t>’</w:t>
      </w:r>
      <w:r w:rsidRPr="00E72ABD">
        <w:t xml:space="preserve">s grip spans beyond the political spectrum. He also wants to impose himself as the moral leader of the </w:t>
      </w:r>
      <w:r w:rsidR="002E6630">
        <w:t>Burundian</w:t>
      </w:r>
      <w:r w:rsidRPr="00E72ABD">
        <w:t xml:space="preserve"> population whom he has decided to </w:t>
      </w:r>
      <w:r w:rsidRPr="00E72ABD">
        <w:rPr>
          <w:cs/>
        </w:rPr>
        <w:t>“</w:t>
      </w:r>
      <w:r w:rsidRPr="00E72ABD">
        <w:t>moralize</w:t>
      </w:r>
      <w:r w:rsidRPr="00E72ABD">
        <w:rPr>
          <w:cs/>
        </w:rPr>
        <w:t xml:space="preserve">” </w:t>
      </w:r>
      <w:r w:rsidRPr="00E72ABD">
        <w:t>through teachings strongly inspired by religion and near mysticism. In 2017, he</w:t>
      </w:r>
      <w:r w:rsidR="00EF2D2F" w:rsidRPr="00E72ABD">
        <w:t xml:space="preserve"> </w:t>
      </w:r>
      <w:r w:rsidRPr="00E72ABD">
        <w:t xml:space="preserve">launched a moralization campaign of the society, a national </w:t>
      </w:r>
      <w:r w:rsidRPr="00E72ABD">
        <w:rPr>
          <w:cs/>
        </w:rPr>
        <w:t>“</w:t>
      </w:r>
      <w:r w:rsidRPr="00E72ABD">
        <w:t>advanced civil and psychosocial education</w:t>
      </w:r>
      <w:r w:rsidRPr="00E72ABD">
        <w:rPr>
          <w:cs/>
        </w:rPr>
        <w:t xml:space="preserve">” </w:t>
      </w:r>
      <w:r w:rsidRPr="00E72ABD">
        <w:t xml:space="preserve">programme whose ultimate objective is to </w:t>
      </w:r>
      <w:r w:rsidRPr="00E72ABD">
        <w:rPr>
          <w:cs/>
        </w:rPr>
        <w:t>“</w:t>
      </w:r>
      <w:r w:rsidRPr="00E72ABD">
        <w:t xml:space="preserve">cleanse the </w:t>
      </w:r>
      <w:r w:rsidR="002E6630">
        <w:t>Burundian</w:t>
      </w:r>
      <w:r w:rsidRPr="00E72ABD">
        <w:t xml:space="preserve"> society from a disease inoculated by colonialism in its assimilated forms, particularly neo-colonialism, recolonisation and imperialism</w:t>
      </w:r>
      <w:r w:rsidRPr="00E72ABD">
        <w:rPr>
          <w:cs/>
        </w:rPr>
        <w:t>”</w:t>
      </w:r>
      <w:r w:rsidRPr="00E72ABD">
        <w:t xml:space="preserve">. Given that the city of Bujumbura </w:t>
      </w:r>
      <w:r w:rsidRPr="00E72ABD">
        <w:rPr>
          <w:cs/>
        </w:rPr>
        <w:t>“</w:t>
      </w:r>
      <w:r w:rsidRPr="00E72ABD">
        <w:t>has been more exposed to these colonial teachings</w:t>
      </w:r>
      <w:r w:rsidRPr="00E72ABD">
        <w:rPr>
          <w:cs/>
        </w:rPr>
        <w:t xml:space="preserve">” </w:t>
      </w:r>
      <w:r w:rsidRPr="00E72ABD">
        <w:t xml:space="preserve">than the other parts of Burundi, the Head of State </w:t>
      </w:r>
      <w:r w:rsidRPr="00E72ABD">
        <w:rPr>
          <w:cs/>
        </w:rPr>
        <w:t>“</w:t>
      </w:r>
      <w:r w:rsidRPr="00E72ABD">
        <w:t>has scheduled to pay five to six visits to each of the three urban communes that make up Bujumbura, and three visits to the other provinces</w:t>
      </w:r>
      <w:r w:rsidRPr="00E72ABD">
        <w:rPr>
          <w:cs/>
        </w:rPr>
        <w:t>”</w:t>
      </w:r>
      <w:r w:rsidR="00C5232B" w:rsidRPr="00E72ABD">
        <w:rPr>
          <w:rFonts w:hint="cs"/>
          <w:cs/>
        </w:rPr>
        <w:t>.</w:t>
      </w:r>
      <w:r w:rsidRPr="00E72ABD">
        <w:rPr>
          <w:rStyle w:val="FootnoteReference"/>
        </w:rPr>
        <w:footnoteReference w:id="396"/>
      </w:r>
      <w:r w:rsidRPr="00E72ABD">
        <w:t xml:space="preserve"> Since then, he has</w:t>
      </w:r>
      <w:r w:rsidR="00EF2D2F" w:rsidRPr="00E72ABD">
        <w:t xml:space="preserve"> </w:t>
      </w:r>
      <w:r w:rsidRPr="00E72ABD">
        <w:t>multiplied moralization sessions during which participants are convened either based on their regional origin (</w:t>
      </w:r>
      <w:r w:rsidRPr="00E72ABD">
        <w:rPr>
          <w:cs/>
        </w:rPr>
        <w:t>“</w:t>
      </w:r>
      <w:r w:rsidRPr="00E72ABD">
        <w:t>natives</w:t>
      </w:r>
      <w:r w:rsidRPr="00E72ABD">
        <w:rPr>
          <w:cs/>
        </w:rPr>
        <w:t xml:space="preserve">”, </w:t>
      </w:r>
      <w:r w:rsidRPr="00E72ABD">
        <w:t xml:space="preserve">inhabitants from a particular commune), or based on their socio-professional </w:t>
      </w:r>
      <w:r w:rsidR="00CF1AC4" w:rsidRPr="00E72ABD">
        <w:t xml:space="preserve">category </w:t>
      </w:r>
      <w:r w:rsidRPr="00E72ABD">
        <w:t xml:space="preserve">(elected and appointed authorities from a particular commune, civil servants of a ministry, or employees of a public corporation). Members of officially recognized political parties have also been called to </w:t>
      </w:r>
      <w:r w:rsidR="00CF1AC4" w:rsidRPr="00E72ABD">
        <w:t>participate.</w:t>
      </w:r>
      <w:r w:rsidRPr="00E72ABD">
        <w:rPr>
          <w:rStyle w:val="FootnoteReference"/>
        </w:rPr>
        <w:footnoteReference w:id="397"/>
      </w:r>
      <w:r w:rsidRPr="00E72ABD">
        <w:t xml:space="preserve"> The </w:t>
      </w:r>
      <w:r w:rsidRPr="00E72ABD">
        <w:rPr>
          <w:i/>
        </w:rPr>
        <w:t>Sahwanya</w:t>
      </w:r>
      <w:r w:rsidRPr="00E72ABD">
        <w:t xml:space="preserve">-FRODEBU Party Representative, Léonce Ngendakumana, who refused to take part in </w:t>
      </w:r>
      <w:r w:rsidR="00CF1AC4" w:rsidRPr="00E72ABD">
        <w:t xml:space="preserve">such </w:t>
      </w:r>
      <w:r w:rsidRPr="00E72ABD">
        <w:t>session was accused by State media of trying to destabilise the country</w:t>
      </w:r>
      <w:r w:rsidR="00CF1AC4" w:rsidRPr="00E72ABD">
        <w:t>.</w:t>
      </w:r>
      <w:r w:rsidRPr="00E72ABD">
        <w:rPr>
          <w:rStyle w:val="FootnoteReference"/>
        </w:rPr>
        <w:footnoteReference w:id="398"/>
      </w:r>
    </w:p>
    <w:p w14:paraId="029ABF0F" w14:textId="37E56088" w:rsidR="003D5320" w:rsidRPr="00E72ABD" w:rsidRDefault="003D5320" w:rsidP="003D5320">
      <w:pPr>
        <w:pStyle w:val="SingleTxtG"/>
      </w:pPr>
      <w:r w:rsidRPr="00E72ABD">
        <w:t>476.</w:t>
      </w:r>
      <w:r w:rsidRPr="00E72ABD">
        <w:tab/>
        <w:t xml:space="preserve">These sessions are </w:t>
      </w:r>
      <w:r w:rsidR="00CF1AC4" w:rsidRPr="00E72ABD">
        <w:t>characterized by opacity</w:t>
      </w:r>
      <w:r w:rsidRPr="00E72ABD">
        <w:t xml:space="preserve"> as participants are neither allowed to bring along their phones, nor have any writing material, or any other device to record what has been said. In addition, questions are not allowed. However, </w:t>
      </w:r>
      <w:r w:rsidR="00CF1AC4" w:rsidRPr="00E72ABD">
        <w:t xml:space="preserve">over </w:t>
      </w:r>
      <w:r w:rsidRPr="00E72ABD">
        <w:t xml:space="preserve">time, some aspects of these meetings were made public. These are sessions where the President teaches </w:t>
      </w:r>
      <w:r w:rsidRPr="00E72ABD">
        <w:rPr>
          <w:cs/>
        </w:rPr>
        <w:t>“</w:t>
      </w:r>
      <w:r w:rsidRPr="00E72ABD">
        <w:t>the real history</w:t>
      </w:r>
      <w:r w:rsidRPr="00E72ABD">
        <w:rPr>
          <w:cs/>
        </w:rPr>
        <w:t xml:space="preserve">” </w:t>
      </w:r>
      <w:r w:rsidRPr="00E72ABD">
        <w:t>of Burundi</w:t>
      </w:r>
      <w:r w:rsidR="00CF1AC4" w:rsidRPr="00E72ABD">
        <w:t>,</w:t>
      </w:r>
      <w:r w:rsidRPr="00E72ABD">
        <w:t xml:space="preserve"> according to which as a monarchy</w:t>
      </w:r>
      <w:r w:rsidR="00BC323C">
        <w:t>,</w:t>
      </w:r>
      <w:r w:rsidRPr="00E72ABD">
        <w:t xml:space="preserve"> Burundi was </w:t>
      </w:r>
      <w:r w:rsidRPr="00E72ABD">
        <w:rPr>
          <w:cs/>
        </w:rPr>
        <w:t>“</w:t>
      </w:r>
      <w:r w:rsidRPr="00E72ABD">
        <w:t>a wonderful country, where milk and honey overflowed. Our country was politically, economically and socially stable and well organized</w:t>
      </w:r>
      <w:r w:rsidRPr="00E72ABD">
        <w:rPr>
          <w:cs/>
        </w:rPr>
        <w:t>”</w:t>
      </w:r>
      <w:r w:rsidRPr="00E72ABD">
        <w:t xml:space="preserve">. All the problems </w:t>
      </w:r>
      <w:r w:rsidR="00BC323C">
        <w:t>the</w:t>
      </w:r>
      <w:r w:rsidRPr="00E72ABD">
        <w:t xml:space="preserve"> country currently faces </w:t>
      </w:r>
      <w:r w:rsidR="00BC323C">
        <w:t>have been</w:t>
      </w:r>
      <w:r w:rsidRPr="00E72ABD">
        <w:t xml:space="preserve"> caused exclusively by the colonisers and only the CNDD-FDD party brought democracy when it accessed power in 2005</w:t>
      </w:r>
      <w:r w:rsidR="00076B75" w:rsidRPr="00E72ABD">
        <w:t>.</w:t>
      </w:r>
      <w:r w:rsidRPr="00E72ABD">
        <w:rPr>
          <w:rStyle w:val="FootnoteReference"/>
        </w:rPr>
        <w:footnoteReference w:id="399"/>
      </w:r>
      <w:r w:rsidRPr="00E72ABD">
        <w:t xml:space="preserve"> In addition to the </w:t>
      </w:r>
      <w:r w:rsidRPr="00E72ABD">
        <w:rPr>
          <w:cs/>
        </w:rPr>
        <w:t>“</w:t>
      </w:r>
      <w:r w:rsidRPr="00E72ABD">
        <w:t>historical</w:t>
      </w:r>
      <w:r w:rsidRPr="00E72ABD">
        <w:rPr>
          <w:cs/>
        </w:rPr>
        <w:t xml:space="preserve">” </w:t>
      </w:r>
      <w:r w:rsidRPr="00E72ABD">
        <w:t xml:space="preserve">aspect, moralization sessions try to bring about a </w:t>
      </w:r>
      <w:r w:rsidRPr="00E72ABD">
        <w:rPr>
          <w:cs/>
        </w:rPr>
        <w:t>“</w:t>
      </w:r>
      <w:r w:rsidRPr="00E72ABD">
        <w:t>change of mindset</w:t>
      </w:r>
      <w:r w:rsidRPr="00E72ABD">
        <w:rPr>
          <w:cs/>
        </w:rPr>
        <w:t xml:space="preserve">” </w:t>
      </w:r>
      <w:r w:rsidRPr="00E72ABD">
        <w:t xml:space="preserve">which </w:t>
      </w:r>
      <w:r w:rsidR="00CF1AC4" w:rsidRPr="00E72ABD">
        <w:t xml:space="preserve">is </w:t>
      </w:r>
      <w:r w:rsidRPr="00E72ABD">
        <w:t xml:space="preserve">consistent with the religious, traditional, and patriarchal ideas of society promoted by the President and his wife, who are evangelical </w:t>
      </w:r>
      <w:r w:rsidRPr="00E72ABD">
        <w:rPr>
          <w:cs/>
        </w:rPr>
        <w:t>“</w:t>
      </w:r>
      <w:r w:rsidRPr="00E72ABD">
        <w:t>born again</w:t>
      </w:r>
      <w:r w:rsidRPr="00E72ABD">
        <w:rPr>
          <w:cs/>
        </w:rPr>
        <w:t>”</w:t>
      </w:r>
      <w:r w:rsidRPr="00E72ABD">
        <w:rPr>
          <w:rFonts w:hint="cs"/>
          <w:cs/>
        </w:rPr>
        <w:t xml:space="preserve"> </w:t>
      </w:r>
      <w:r w:rsidRPr="00E72ABD">
        <w:t xml:space="preserve">Christians. In fact, the First Lady is a pastor with her own church named, </w:t>
      </w:r>
      <w:r w:rsidRPr="00E72ABD">
        <w:rPr>
          <w:i/>
        </w:rPr>
        <w:t>Eglise du Rocher</w:t>
      </w:r>
      <w:r w:rsidRPr="00E72ABD">
        <w:t xml:space="preserve"> (Church of the Rock).</w:t>
      </w:r>
      <w:r w:rsidRPr="00E72ABD">
        <w:rPr>
          <w:rStyle w:val="FootnoteReference"/>
        </w:rPr>
        <w:footnoteReference w:id="400"/>
      </w:r>
    </w:p>
    <w:p w14:paraId="05A04F09" w14:textId="45CBC8A9" w:rsidR="003D5320" w:rsidRPr="00E72ABD" w:rsidRDefault="003D5320" w:rsidP="003D5320">
      <w:pPr>
        <w:pStyle w:val="SingleTxtG"/>
      </w:pPr>
      <w:r w:rsidRPr="00E72ABD">
        <w:t>477.</w:t>
      </w:r>
      <w:r w:rsidRPr="00E72ABD">
        <w:tab/>
        <w:t>Some of the latest decisions taken by the President</w:t>
      </w:r>
      <w:r w:rsidR="00EF2D2F" w:rsidRPr="00E72ABD">
        <w:t xml:space="preserve"> </w:t>
      </w:r>
      <w:r w:rsidR="00CF1AC4" w:rsidRPr="00E72ABD">
        <w:t>s</w:t>
      </w:r>
      <w:r w:rsidRPr="00E72ABD">
        <w:t xml:space="preserve">how signs of this religious and </w:t>
      </w:r>
      <w:r w:rsidRPr="00E72ABD">
        <w:rPr>
          <w:cs/>
        </w:rPr>
        <w:t>“</w:t>
      </w:r>
      <w:r w:rsidRPr="00E72ABD">
        <w:t>moralistic</w:t>
      </w:r>
      <w:r w:rsidRPr="00E72ABD">
        <w:rPr>
          <w:cs/>
        </w:rPr>
        <w:t xml:space="preserve">” </w:t>
      </w:r>
      <w:r w:rsidRPr="00E72ABD">
        <w:t>influence, such as the banning of free union and common-law marriages</w:t>
      </w:r>
      <w:r w:rsidR="00CF1AC4" w:rsidRPr="00E72ABD">
        <w:t>,</w:t>
      </w:r>
      <w:r w:rsidRPr="00E72ABD">
        <w:rPr>
          <w:rStyle w:val="FootnoteReference"/>
        </w:rPr>
        <w:footnoteReference w:id="401"/>
      </w:r>
      <w:r w:rsidRPr="00E72ABD">
        <w:t xml:space="preserve"> compelling CNDD-FDD militants to devote themselves to fasting and prayer</w:t>
      </w:r>
      <w:r w:rsidR="00CF1AC4" w:rsidRPr="00E72ABD">
        <w:t>s</w:t>
      </w:r>
      <w:r w:rsidRPr="00E72ABD">
        <w:t xml:space="preserve"> </w:t>
      </w:r>
      <w:r w:rsidR="00CF1AC4" w:rsidRPr="00E72ABD">
        <w:t xml:space="preserve">every </w:t>
      </w:r>
      <w:r w:rsidRPr="00E72ABD">
        <w:t>Thursdays</w:t>
      </w:r>
      <w:r w:rsidR="00CF1AC4" w:rsidRPr="00E72ABD">
        <w:t xml:space="preserve"> and to take part regularly </w:t>
      </w:r>
      <w:r w:rsidR="005D76CB" w:rsidRPr="00E72ABD">
        <w:t>in</w:t>
      </w:r>
      <w:r w:rsidRPr="00E72ABD">
        <w:t xml:space="preserve"> “prayer crusades</w:t>
      </w:r>
      <w:r w:rsidRPr="00E72ABD">
        <w:rPr>
          <w:cs/>
        </w:rPr>
        <w:t xml:space="preserve">” </w:t>
      </w:r>
      <w:r w:rsidRPr="00E72ABD">
        <w:t xml:space="preserve">or </w:t>
      </w:r>
      <w:r w:rsidRPr="00E72ABD">
        <w:rPr>
          <w:cs/>
        </w:rPr>
        <w:t>“</w:t>
      </w:r>
      <w:r w:rsidRPr="00E72ABD">
        <w:t>thanksgiving prayers</w:t>
      </w:r>
      <w:r w:rsidRPr="00E72ABD">
        <w:rPr>
          <w:cs/>
        </w:rPr>
        <w:t>”</w:t>
      </w:r>
      <w:r w:rsidR="00CF1AC4" w:rsidRPr="00E72ABD">
        <w:rPr>
          <w:rFonts w:hint="cs"/>
          <w:cs/>
        </w:rPr>
        <w:t>,</w:t>
      </w:r>
      <w:r w:rsidRPr="00E72ABD">
        <w:rPr>
          <w:cs/>
        </w:rPr>
        <w:t xml:space="preserve"> </w:t>
      </w:r>
      <w:r w:rsidRPr="00E72ABD">
        <w:t xml:space="preserve">irrespective of their religious background, including </w:t>
      </w:r>
      <w:r w:rsidR="00CF1AC4" w:rsidRPr="00E72ABD">
        <w:t xml:space="preserve">if they are </w:t>
      </w:r>
      <w:r w:rsidRPr="00E72ABD">
        <w:t>atheists. He therefore imposes his personal religious practises on all his party members</w:t>
      </w:r>
      <w:r w:rsidR="00CF1AC4" w:rsidRPr="00E72ABD">
        <w:t>.</w:t>
      </w:r>
      <w:r w:rsidRPr="00E72ABD">
        <w:rPr>
          <w:rStyle w:val="FootnoteReference"/>
        </w:rPr>
        <w:footnoteReference w:id="402"/>
      </w:r>
    </w:p>
    <w:p w14:paraId="7204C2AB" w14:textId="2F10A721" w:rsidR="003D5320" w:rsidRPr="00E72ABD" w:rsidRDefault="003D5320" w:rsidP="003D5320">
      <w:pPr>
        <w:pStyle w:val="SingleTxtG"/>
      </w:pPr>
      <w:r w:rsidRPr="00E72ABD">
        <w:t>478.</w:t>
      </w:r>
      <w:r w:rsidRPr="00E72ABD">
        <w:tab/>
        <w:t>Religious and</w:t>
      </w:r>
      <w:r w:rsidR="00EF2D2F" w:rsidRPr="00E72ABD">
        <w:t xml:space="preserve"> </w:t>
      </w:r>
      <w:r w:rsidRPr="00E72ABD">
        <w:t>quasi-mystical references are innumerable in the Head of State</w:t>
      </w:r>
      <w:r w:rsidRPr="00E72ABD">
        <w:rPr>
          <w:cs/>
        </w:rPr>
        <w:t>’</w:t>
      </w:r>
      <w:r w:rsidRPr="00E72ABD">
        <w:t>s speeches. For instance, during the thanksgiving prayer organized from 20 to 25 August 2019 by the presidential family in</w:t>
      </w:r>
      <w:r w:rsidR="00EF2D2F" w:rsidRPr="00E72ABD">
        <w:t xml:space="preserve"> </w:t>
      </w:r>
      <w:r w:rsidRPr="00E72ABD">
        <w:t xml:space="preserve">Bubanza </w:t>
      </w:r>
      <w:r w:rsidR="00BC323C">
        <w:t>p</w:t>
      </w:r>
      <w:r w:rsidRPr="00E72ABD">
        <w:t>rovince</w:t>
      </w:r>
      <w:r w:rsidR="004157C0" w:rsidRPr="00E72ABD">
        <w:t>,</w:t>
      </w:r>
      <w:r w:rsidRPr="00E72ABD">
        <w:rPr>
          <w:rStyle w:val="FootnoteReference"/>
        </w:rPr>
        <w:footnoteReference w:id="403"/>
      </w:r>
      <w:r w:rsidRPr="00E72ABD">
        <w:t xml:space="preserve"> he recounted how God protected him while he was a rebel fighter</w:t>
      </w:r>
      <w:r w:rsidR="004157C0" w:rsidRPr="00E72ABD">
        <w:t>,</w:t>
      </w:r>
      <w:r w:rsidRPr="00E72ABD">
        <w:rPr>
          <w:rStyle w:val="FootnoteReference"/>
        </w:rPr>
        <w:footnoteReference w:id="404"/>
      </w:r>
      <w:r w:rsidRPr="00E72ABD">
        <w:t xml:space="preserve"> he hosted seminars on topics such as the </w:t>
      </w:r>
      <w:r w:rsidRPr="00E72ABD">
        <w:rPr>
          <w:cs/>
        </w:rPr>
        <w:t>“</w:t>
      </w:r>
      <w:r w:rsidRPr="00E72ABD">
        <w:t>characteristics of a youth who respects God</w:t>
      </w:r>
      <w:r w:rsidRPr="00E72ABD">
        <w:rPr>
          <w:cs/>
        </w:rPr>
        <w:t>”</w:t>
      </w:r>
      <w:r w:rsidR="004157C0" w:rsidRPr="00E72ABD">
        <w:rPr>
          <w:rFonts w:hint="cs"/>
          <w:cs/>
        </w:rPr>
        <w:t>,</w:t>
      </w:r>
      <w:r w:rsidRPr="00E72ABD">
        <w:rPr>
          <w:rStyle w:val="FootnoteReference"/>
        </w:rPr>
        <w:footnoteReference w:id="405"/>
      </w:r>
      <w:r w:rsidRPr="00E72ABD">
        <w:t xml:space="preserve"> </w:t>
      </w:r>
      <w:r w:rsidRPr="00E72ABD">
        <w:rPr>
          <w:cs/>
        </w:rPr>
        <w:t>“</w:t>
      </w:r>
      <w:r w:rsidRPr="00E72ABD">
        <w:t>the value of God in the national life and the life of the youth</w:t>
      </w:r>
      <w:r w:rsidRPr="00E72ABD">
        <w:rPr>
          <w:cs/>
        </w:rPr>
        <w:t>”</w:t>
      </w:r>
      <w:r w:rsidR="004157C0" w:rsidRPr="00E72ABD">
        <w:rPr>
          <w:rFonts w:hint="cs"/>
          <w:cs/>
        </w:rPr>
        <w:t>,</w:t>
      </w:r>
      <w:r w:rsidRPr="00E72ABD">
        <w:rPr>
          <w:rStyle w:val="FootnoteReference"/>
        </w:rPr>
        <w:footnoteReference w:id="406"/>
      </w:r>
      <w:r w:rsidR="00076B75" w:rsidRPr="00E72ABD">
        <w:rPr>
          <w:rFonts w:hint="cs"/>
          <w:cs/>
        </w:rPr>
        <w:t xml:space="preserve"> </w:t>
      </w:r>
      <w:r w:rsidRPr="00E72ABD">
        <w:t xml:space="preserve">as well as a </w:t>
      </w:r>
      <w:r w:rsidRPr="00E72ABD">
        <w:rPr>
          <w:cs/>
        </w:rPr>
        <w:t>“</w:t>
      </w:r>
      <w:r w:rsidRPr="00E72ABD">
        <w:t>leadership</w:t>
      </w:r>
      <w:r w:rsidRPr="00E72ABD">
        <w:rPr>
          <w:cs/>
        </w:rPr>
        <w:t xml:space="preserve">” </w:t>
      </w:r>
      <w:r w:rsidRPr="00E72ABD">
        <w:t xml:space="preserve">seminar entitled </w:t>
      </w:r>
      <w:r w:rsidRPr="00E72ABD">
        <w:rPr>
          <w:cs/>
        </w:rPr>
        <w:t>“</w:t>
      </w:r>
      <w:r w:rsidRPr="00E72ABD">
        <w:t>obeying God and abiding to his will</w:t>
      </w:r>
      <w:r w:rsidRPr="00E72ABD">
        <w:rPr>
          <w:cs/>
        </w:rPr>
        <w:t xml:space="preserve">” </w:t>
      </w:r>
      <w:r w:rsidRPr="00E72ABD">
        <w:t>where he develops 20 points on the importance of obedience.</w:t>
      </w:r>
      <w:r w:rsidRPr="00E72ABD">
        <w:rPr>
          <w:rStyle w:val="FootnoteReference"/>
        </w:rPr>
        <w:footnoteReference w:id="407"/>
      </w:r>
    </w:p>
    <w:p w14:paraId="3BAD0602" w14:textId="0B2DAB4E" w:rsidR="003D5320" w:rsidRPr="00E72ABD" w:rsidRDefault="003D5320" w:rsidP="003D5320">
      <w:pPr>
        <w:pStyle w:val="SingleTxtG"/>
      </w:pPr>
      <w:r w:rsidRPr="00E72ABD">
        <w:t>479.</w:t>
      </w:r>
      <w:r w:rsidRPr="00E72ABD">
        <w:tab/>
        <w:t>Regular statements of a mystical and prophetic nature on the country’s destiny are regular features in his speeches and in his wife</w:t>
      </w:r>
      <w:r w:rsidRPr="00E72ABD">
        <w:rPr>
          <w:cs/>
        </w:rPr>
        <w:t>’</w:t>
      </w:r>
      <w:r w:rsidRPr="00E72ABD">
        <w:t xml:space="preserve">s preaching and prayers. He thus proclaimed: </w:t>
      </w:r>
      <w:r w:rsidRPr="00E72ABD">
        <w:rPr>
          <w:cs/>
        </w:rPr>
        <w:t>“</w:t>
      </w:r>
      <w:r w:rsidRPr="00E72ABD">
        <w:t>Burundi is under divine protection, nothing can shake it</w:t>
      </w:r>
      <w:r w:rsidRPr="00E72ABD">
        <w:rPr>
          <w:cs/>
        </w:rPr>
        <w:t>”</w:t>
      </w:r>
      <w:r w:rsidRPr="00E72ABD">
        <w:t xml:space="preserve">, or “We would like to inform </w:t>
      </w:r>
      <w:r w:rsidR="002E6630">
        <w:t>Burundian</w:t>
      </w:r>
      <w:r w:rsidRPr="00E72ABD">
        <w:t>s that in the year 2019, God will reveal many things so far unseen in Burundi. In the year 2019, we expect a new turn in our history, Burundi shall be endowed with special gifts from God. We will multiply these heavenly gifts, make the most of them, and they shall be a source of blessings and of prosperity from God Almighty, and we will accept to work with God</w:t>
      </w:r>
      <w:r w:rsidRPr="00E72ABD">
        <w:rPr>
          <w:cs/>
        </w:rPr>
        <w:t>”</w:t>
      </w:r>
      <w:r w:rsidR="009471B1" w:rsidRPr="00E72ABD">
        <w:rPr>
          <w:rFonts w:hint="cs"/>
          <w:cs/>
        </w:rPr>
        <w:t>.</w:t>
      </w:r>
      <w:r w:rsidRPr="00E72ABD">
        <w:rPr>
          <w:rStyle w:val="FootnoteReference"/>
        </w:rPr>
        <w:footnoteReference w:id="408"/>
      </w:r>
    </w:p>
    <w:p w14:paraId="77CC5B02" w14:textId="2FB1293D" w:rsidR="003D5320" w:rsidRPr="00E72ABD" w:rsidRDefault="003D5320" w:rsidP="003D5320">
      <w:pPr>
        <w:pStyle w:val="SingleTxtG"/>
      </w:pPr>
      <w:r w:rsidRPr="00E72ABD">
        <w:t>480.</w:t>
      </w:r>
      <w:r w:rsidRPr="00E72ABD">
        <w:tab/>
        <w:t xml:space="preserve">The idea that President Nkurunziza was appointed by God to lead Burundi is often implicit but also, explicitly mentioned by persons close to the </w:t>
      </w:r>
      <w:r w:rsidR="007F5B89">
        <w:t>Government</w:t>
      </w:r>
      <w:r w:rsidR="009471B1" w:rsidRPr="00E72ABD">
        <w:t>.</w:t>
      </w:r>
      <w:r w:rsidRPr="00E72ABD">
        <w:rPr>
          <w:rStyle w:val="FootnoteReference"/>
        </w:rPr>
        <w:footnoteReference w:id="409"/>
      </w:r>
      <w:r w:rsidRPr="00E72ABD">
        <w:t xml:space="preserve"> For instance, on 10 February 2019, according to Burundi</w:t>
      </w:r>
      <w:r w:rsidRPr="00E72ABD">
        <w:rPr>
          <w:cs/>
        </w:rPr>
        <w:t>’</w:t>
      </w:r>
      <w:r w:rsidRPr="00E72ABD">
        <w:t>s Ombudsman, all inhabitants of the Rukago Holy Mary Parish should contribute to and participate in</w:t>
      </w:r>
      <w:r w:rsidR="009471B1" w:rsidRPr="00E72ABD">
        <w:t xml:space="preserve"> </w:t>
      </w:r>
      <w:r w:rsidRPr="00E72ABD">
        <w:t>the 2020 elections, since every leader is elected according to the will of God</w:t>
      </w:r>
      <w:r w:rsidR="009471B1" w:rsidRPr="00E72ABD">
        <w:t>.</w:t>
      </w:r>
      <w:r w:rsidRPr="00E72ABD">
        <w:rPr>
          <w:rStyle w:val="FootnoteReference"/>
        </w:rPr>
        <w:footnoteReference w:id="410"/>
      </w:r>
    </w:p>
    <w:p w14:paraId="75CC4539" w14:textId="0ADB3B4B" w:rsidR="003D5320" w:rsidRPr="00E72ABD" w:rsidRDefault="003D5320" w:rsidP="003D5320">
      <w:pPr>
        <w:pStyle w:val="SingleTxtG"/>
      </w:pPr>
      <w:r w:rsidRPr="00E72ABD">
        <w:t>481.</w:t>
      </w:r>
      <w:r w:rsidRPr="00E72ABD">
        <w:tab/>
        <w:t xml:space="preserve">Naturally, the logical conclusion is that opposing the President is equivalent to going against the will of God. This rhetoric has turned out to be the </w:t>
      </w:r>
      <w:r w:rsidRPr="00E72ABD">
        <w:rPr>
          <w:cs/>
        </w:rPr>
        <w:t>“</w:t>
      </w:r>
      <w:r w:rsidRPr="00E72ABD">
        <w:t xml:space="preserve">gospel </w:t>
      </w:r>
      <w:r w:rsidR="00BC323C">
        <w:t xml:space="preserve">of </w:t>
      </w:r>
      <w:r w:rsidRPr="00E72ABD">
        <w:t>truth</w:t>
      </w:r>
      <w:r w:rsidRPr="00E72ABD">
        <w:rPr>
          <w:cs/>
        </w:rPr>
        <w:t xml:space="preserve">” </w:t>
      </w:r>
      <w:r w:rsidRPr="00E72ABD">
        <w:t>within the CNDD-FDD, where dissenting voices are not tolerated. This was illustrated by the fact that those who left the party in opposition to President Nkurunziza</w:t>
      </w:r>
      <w:r w:rsidRPr="00E72ABD">
        <w:rPr>
          <w:cs/>
        </w:rPr>
        <w:t>’</w:t>
      </w:r>
      <w:r w:rsidRPr="00E72ABD">
        <w:t>s third term in office were considered as traitors and had to flee the country. Thus, it is difficult for some CNDD-FDD members to openly express any opinion contrary to the one voiced</w:t>
      </w:r>
      <w:r w:rsidR="00EF2D2F" w:rsidRPr="00E72ABD">
        <w:t xml:space="preserve"> </w:t>
      </w:r>
      <w:r w:rsidRPr="00E72ABD">
        <w:t xml:space="preserve">by the President. </w:t>
      </w:r>
    </w:p>
    <w:p w14:paraId="38889252" w14:textId="77777777" w:rsidR="003D5320" w:rsidRPr="00E72ABD" w:rsidRDefault="003D5320" w:rsidP="003D5320">
      <w:pPr>
        <w:pStyle w:val="H4G"/>
      </w:pPr>
      <w:r w:rsidRPr="00E72ABD">
        <w:tab/>
        <w:t>c)</w:t>
      </w:r>
      <w:r w:rsidRPr="00E72ABD">
        <w:tab/>
        <w:t>Legal framework for the elections</w:t>
      </w:r>
    </w:p>
    <w:p w14:paraId="6A621BF1" w14:textId="5E83A90C" w:rsidR="003D5320" w:rsidRPr="00E72ABD" w:rsidRDefault="003D5320" w:rsidP="003D5320">
      <w:pPr>
        <w:pStyle w:val="SingleTxtG"/>
      </w:pPr>
      <w:r w:rsidRPr="00E72ABD">
        <w:t>482.</w:t>
      </w:r>
      <w:r w:rsidRPr="00E72ABD">
        <w:tab/>
        <w:t xml:space="preserve">The legal electoral framework comprises laws, including the Constitution, and other statutory texts regulating or influencing an electoral process, namely laws on the establishment and functioning of political parties, </w:t>
      </w:r>
      <w:r w:rsidR="00D1497B" w:rsidRPr="00E72ABD">
        <w:t>voters’</w:t>
      </w:r>
      <w:r w:rsidRPr="00E72ABD">
        <w:t xml:space="preserve"> registration laws, those on citizenship, statutory texts governing every aspects of the organiz</w:t>
      </w:r>
      <w:r w:rsidR="00834336">
        <w:t xml:space="preserve">ation and holding of elections, </w:t>
      </w:r>
      <w:r w:rsidRPr="00E72ABD">
        <w:t xml:space="preserve">from electoral campaign to post-electoral dispute settlement. In a more general sense, laws on the freedom to exercise </w:t>
      </w:r>
      <w:r w:rsidR="00834336">
        <w:t>civic</w:t>
      </w:r>
      <w:r w:rsidRPr="00E72ABD">
        <w:t xml:space="preserve"> liberties, which are fundamental for</w:t>
      </w:r>
      <w:r w:rsidR="00834336">
        <w:t xml:space="preserve"> the organisation of free, fair</w:t>
      </w:r>
      <w:r w:rsidRPr="00E72ABD">
        <w:t xml:space="preserve"> and credible elections, as well as those ensuring the free participation of citizens in public affairs without fear of discrimination, can also be considered as part of this legal framework.</w:t>
      </w:r>
      <w:r w:rsidRPr="00E72ABD">
        <w:rPr>
          <w:rStyle w:val="FootnoteReference"/>
        </w:rPr>
        <w:footnoteReference w:id="411"/>
      </w:r>
      <w:r w:rsidRPr="00E72ABD">
        <w:t xml:space="preserve"> </w:t>
      </w:r>
    </w:p>
    <w:p w14:paraId="50D6E9AE" w14:textId="26E6E254" w:rsidR="003D5320" w:rsidRPr="00E72ABD" w:rsidRDefault="003D5320" w:rsidP="003D5320">
      <w:pPr>
        <w:pStyle w:val="SingleTxtG"/>
      </w:pPr>
      <w:r w:rsidRPr="00E72ABD">
        <w:t>483.</w:t>
      </w:r>
      <w:r w:rsidRPr="00E72ABD">
        <w:tab/>
        <w:t xml:space="preserve">In order to comply with international standards, the electoral legal framework should reflect the following principles: voting should be universal, </w:t>
      </w:r>
      <w:r w:rsidR="00834336">
        <w:t>and therefore</w:t>
      </w:r>
      <w:r w:rsidRPr="00E72ABD">
        <w:t xml:space="preserve"> any restriction should be minimal and justified; </w:t>
      </w:r>
      <w:r w:rsidR="00834336">
        <w:t xml:space="preserve">the vote should be </w:t>
      </w:r>
      <w:r w:rsidRPr="00E72ABD">
        <w:t xml:space="preserve">secret; the right to stand for election should be standardized and any form of restriction should be minimal and justified; the elections </w:t>
      </w:r>
      <w:r w:rsidR="00CE4AD5">
        <w:t xml:space="preserve">should be frequent; </w:t>
      </w:r>
      <w:r w:rsidR="00834336" w:rsidRPr="00E72ABD">
        <w:t xml:space="preserve">electoral authorities </w:t>
      </w:r>
      <w:r w:rsidR="00834336">
        <w:t xml:space="preserve">should be </w:t>
      </w:r>
      <w:r w:rsidRPr="00E72ABD">
        <w:t>neutral and impartial</w:t>
      </w:r>
      <w:r w:rsidR="00CE4AD5">
        <w:t>;</w:t>
      </w:r>
      <w:r w:rsidRPr="00E72ABD">
        <w:t xml:space="preserve"> and </w:t>
      </w:r>
      <w:r w:rsidR="00CE4AD5" w:rsidRPr="00E72ABD">
        <w:t xml:space="preserve">candidates and political parties </w:t>
      </w:r>
      <w:r w:rsidR="00CE4AD5">
        <w:t xml:space="preserve">should be treated in a </w:t>
      </w:r>
      <w:r w:rsidRPr="00E72ABD">
        <w:t xml:space="preserve">fair and equal </w:t>
      </w:r>
      <w:r w:rsidR="00CE4AD5">
        <w:t>manner</w:t>
      </w:r>
      <w:r w:rsidRPr="00E72ABD">
        <w:t xml:space="preserve">. </w:t>
      </w:r>
    </w:p>
    <w:p w14:paraId="5FCF9F16" w14:textId="174014C9" w:rsidR="003D5320" w:rsidRPr="00E72ABD" w:rsidRDefault="003D5320" w:rsidP="003D5320">
      <w:pPr>
        <w:pStyle w:val="SingleTxtG"/>
      </w:pPr>
      <w:r w:rsidRPr="00E72ABD">
        <w:t>484.</w:t>
      </w:r>
      <w:r w:rsidRPr="00E72ABD">
        <w:tab/>
        <w:t xml:space="preserve">To guarantee candidates, political parties, and voters’ trust and support of the electoral process, </w:t>
      </w:r>
      <w:r w:rsidR="00CE4AD5">
        <w:t>a good</w:t>
      </w:r>
      <w:r w:rsidRPr="00E72ABD">
        <w:t xml:space="preserve"> practice </w:t>
      </w:r>
      <w:r w:rsidR="00CE4AD5">
        <w:t xml:space="preserve">is </w:t>
      </w:r>
      <w:r w:rsidRPr="00E72ABD">
        <w:t>to avoid introducing important changes to the electoral legal framework during the period preceding such elections in order to prevent confusion. Electoral rules should be established and disseminated well in advance to allow all the stakeholders to understand and master them</w:t>
      </w:r>
      <w:r w:rsidR="009471B1" w:rsidRPr="00E72ABD">
        <w:t>.</w:t>
      </w:r>
      <w:r w:rsidRPr="00E72ABD">
        <w:rPr>
          <w:rStyle w:val="FootnoteReference"/>
        </w:rPr>
        <w:footnoteReference w:id="412"/>
      </w:r>
      <w:r w:rsidRPr="00E72ABD">
        <w:t xml:space="preserve"> In addition, these fundamental instruments which govern the democratic life should be the result of a national consensus while complying with international standards</w:t>
      </w:r>
      <w:r w:rsidR="001833CD" w:rsidRPr="00E72ABD">
        <w:t>.</w:t>
      </w:r>
      <w:r w:rsidRPr="00E72ABD">
        <w:rPr>
          <w:rStyle w:val="FootnoteReference"/>
        </w:rPr>
        <w:footnoteReference w:id="413"/>
      </w:r>
      <w:r w:rsidRPr="00E72ABD">
        <w:t xml:space="preserve"> </w:t>
      </w:r>
    </w:p>
    <w:p w14:paraId="3B16F7E4" w14:textId="50A858AA" w:rsidR="003D5320" w:rsidRPr="00E72ABD" w:rsidRDefault="00CE4AD5" w:rsidP="003D5320">
      <w:pPr>
        <w:pStyle w:val="SingleTxtG"/>
      </w:pPr>
      <w:r>
        <w:t>485.</w:t>
      </w:r>
      <w:r>
        <w:tab/>
        <w:t>In Burundi, the Electoral C</w:t>
      </w:r>
      <w:r w:rsidR="003D5320" w:rsidRPr="00E72ABD">
        <w:t>ode</w:t>
      </w:r>
      <w:r>
        <w:t xml:space="preserve">, which is </w:t>
      </w:r>
      <w:r w:rsidR="003D5320" w:rsidRPr="00E72ABD">
        <w:t xml:space="preserve">the </w:t>
      </w:r>
      <w:r>
        <w:t>key</w:t>
      </w:r>
      <w:r w:rsidR="003D5320" w:rsidRPr="00E72ABD">
        <w:t xml:space="preserve"> element o</w:t>
      </w:r>
      <w:r>
        <w:t>f the electoral legal framework,</w:t>
      </w:r>
      <w:r w:rsidR="003D5320" w:rsidRPr="00E72ABD">
        <w:t xml:space="preserve"> was revised in 2019</w:t>
      </w:r>
      <w:r w:rsidR="003D5320" w:rsidRPr="00E72ABD">
        <w:rPr>
          <w:rStyle w:val="FootnoteReference"/>
        </w:rPr>
        <w:footnoteReference w:id="414"/>
      </w:r>
      <w:r w:rsidR="003D5320" w:rsidRPr="00E72ABD">
        <w:t xml:space="preserve"> through a non transparent process. Offi</w:t>
      </w:r>
      <w:r>
        <w:t>cially, the necessity of a new Electoral C</w:t>
      </w:r>
      <w:r w:rsidR="003D5320" w:rsidRPr="00E72ABD">
        <w:t>ode was justified by the need to align it with the Consti</w:t>
      </w:r>
      <w:r>
        <w:t>tution of 7 June 2018. The new Electoral C</w:t>
      </w:r>
      <w:r w:rsidR="003D5320" w:rsidRPr="00E72ABD">
        <w:t>ode amending the one of 3 June 2014 was promulgated on 20 May 2019</w:t>
      </w:r>
      <w:r w:rsidR="003D5320" w:rsidRPr="00E72ABD">
        <w:rPr>
          <w:rStyle w:val="FootnoteReference"/>
        </w:rPr>
        <w:footnoteReference w:id="415"/>
      </w:r>
      <w:r w:rsidR="003D5320" w:rsidRPr="00E72ABD">
        <w:t xml:space="preserve"> after its adoption by the Nat</w:t>
      </w:r>
      <w:r>
        <w:t>ional Assembly on 17 April 2019</w:t>
      </w:r>
      <w:r w:rsidR="003D5320" w:rsidRPr="00E72ABD">
        <w:t xml:space="preserve"> </w:t>
      </w:r>
      <w:r>
        <w:t>and</w:t>
      </w:r>
      <w:r w:rsidR="003D5320" w:rsidRPr="00E72ABD">
        <w:t xml:space="preserve"> by Senate on 24 April 2019. However, only </w:t>
      </w:r>
      <w:r>
        <w:t xml:space="preserve">the draft </w:t>
      </w:r>
      <w:r w:rsidR="003D5320" w:rsidRPr="00E72ABD">
        <w:t xml:space="preserve">bills adopted in January 2019 by the Council of </w:t>
      </w:r>
      <w:r w:rsidR="00EF2D2F" w:rsidRPr="00E72ABD">
        <w:t>Minister</w:t>
      </w:r>
      <w:r w:rsidR="003D5320" w:rsidRPr="00E72ABD">
        <w:t xml:space="preserve">s circulated publicly until </w:t>
      </w:r>
      <w:r>
        <w:t>the Code</w:t>
      </w:r>
      <w:r w:rsidR="003D5320" w:rsidRPr="00E72ABD">
        <w:t xml:space="preserve"> promulgation. The </w:t>
      </w:r>
      <w:r w:rsidR="003D5320" w:rsidRPr="00CE4AD5">
        <w:rPr>
          <w:i/>
        </w:rPr>
        <w:t>Sahwanya</w:t>
      </w:r>
      <w:r w:rsidR="003D5320" w:rsidRPr="00E72ABD">
        <w:t xml:space="preserve">-FRODEBU political party criticised the </w:t>
      </w:r>
      <w:r w:rsidR="007F5B89">
        <w:t>Government</w:t>
      </w:r>
      <w:r w:rsidR="003D5320" w:rsidRPr="00E72ABD">
        <w:t xml:space="preserve"> for its lack of transparency during consultations to amend the Electoral Code. According to </w:t>
      </w:r>
      <w:r>
        <w:t>its</w:t>
      </w:r>
      <w:r w:rsidR="003D5320" w:rsidRPr="00E72ABD">
        <w:t xml:space="preserve"> press release, the party representatives were invited to a consultation organized by </w:t>
      </w:r>
      <w:r w:rsidR="007F5B89">
        <w:t>Government</w:t>
      </w:r>
      <w:r w:rsidR="003D5320" w:rsidRPr="00E72ABD">
        <w:t xml:space="preserve"> on 3 January 2019, but no </w:t>
      </w:r>
      <w:r w:rsidR="007F5B89">
        <w:t>Government</w:t>
      </w:r>
      <w:r w:rsidR="003D5320" w:rsidRPr="00E72ABD">
        <w:t xml:space="preserve"> official honoured the appointment. It was through the press that </w:t>
      </w:r>
      <w:r w:rsidR="003D5320" w:rsidRPr="00CE4AD5">
        <w:rPr>
          <w:i/>
        </w:rPr>
        <w:t>Sahwanya</w:t>
      </w:r>
      <w:r w:rsidR="003D5320" w:rsidRPr="00E72ABD">
        <w:t xml:space="preserve">-FRODEBU </w:t>
      </w:r>
      <w:r w:rsidR="001833CD" w:rsidRPr="00E72ABD">
        <w:t xml:space="preserve">representatives </w:t>
      </w:r>
      <w:r w:rsidR="003D5320" w:rsidRPr="00E72ABD">
        <w:t xml:space="preserve">learned about another consultative meeting that was organized on 4 January to which </w:t>
      </w:r>
      <w:r w:rsidR="001833CD" w:rsidRPr="00E72ABD">
        <w:t xml:space="preserve">they </w:t>
      </w:r>
      <w:r w:rsidR="003D5320" w:rsidRPr="00E72ABD">
        <w:t>were not convened. They also underscore</w:t>
      </w:r>
      <w:r>
        <w:t>d</w:t>
      </w:r>
      <w:r w:rsidR="003D5320" w:rsidRPr="00E72ABD">
        <w:t xml:space="preserve"> that by this time the </w:t>
      </w:r>
      <w:r>
        <w:t>draft bills</w:t>
      </w:r>
      <w:r w:rsidR="003D5320" w:rsidRPr="00E72ABD">
        <w:t xml:space="preserve"> had already been sent to the Council of </w:t>
      </w:r>
      <w:r w:rsidR="00EF2D2F" w:rsidRPr="00E72ABD">
        <w:t>Minister</w:t>
      </w:r>
      <w:r w:rsidR="003D5320" w:rsidRPr="00E72ABD">
        <w:t xml:space="preserve">s and that those consultations were just </w:t>
      </w:r>
      <w:r w:rsidR="003D5320" w:rsidRPr="00E72ABD">
        <w:rPr>
          <w:cs/>
        </w:rPr>
        <w:t>“</w:t>
      </w:r>
      <w:r w:rsidR="003D5320" w:rsidRPr="00E72ABD">
        <w:t>pretence</w:t>
      </w:r>
      <w:r w:rsidR="003D5320" w:rsidRPr="00E72ABD">
        <w:rPr>
          <w:cs/>
        </w:rPr>
        <w:t>”</w:t>
      </w:r>
      <w:r w:rsidR="001833CD" w:rsidRPr="00E72ABD">
        <w:rPr>
          <w:rFonts w:hint="cs"/>
          <w:cs/>
        </w:rPr>
        <w:t>.</w:t>
      </w:r>
      <w:r w:rsidR="003D5320" w:rsidRPr="00E72ABD">
        <w:rPr>
          <w:rStyle w:val="FootnoteReference"/>
        </w:rPr>
        <w:footnoteReference w:id="416"/>
      </w:r>
    </w:p>
    <w:p w14:paraId="7B30CB0E" w14:textId="3C6DBF87" w:rsidR="003D5320" w:rsidRPr="00E72ABD" w:rsidRDefault="003D5320" w:rsidP="003D5320">
      <w:pPr>
        <w:pStyle w:val="SingleTxtG"/>
      </w:pPr>
      <w:r w:rsidRPr="00E72ABD">
        <w:t>486.</w:t>
      </w:r>
      <w:r w:rsidRPr="00E72ABD">
        <w:tab/>
        <w:t xml:space="preserve">As mentioned above, one of the most notable consequences of this new </w:t>
      </w:r>
      <w:r w:rsidR="001833CD" w:rsidRPr="00E72ABD">
        <w:t xml:space="preserve">Electoral Code </w:t>
      </w:r>
      <w:r w:rsidRPr="00E72ABD">
        <w:t xml:space="preserve">is the introduction of </w:t>
      </w:r>
      <w:r w:rsidR="005D76CB" w:rsidRPr="00E72ABD">
        <w:t xml:space="preserve">stringent requirements in order </w:t>
      </w:r>
      <w:r w:rsidRPr="00E72ABD">
        <w:t xml:space="preserve">to </w:t>
      </w:r>
      <w:r w:rsidR="001833CD" w:rsidRPr="00E72ABD">
        <w:t xml:space="preserve">be recognized as an </w:t>
      </w:r>
      <w:r w:rsidRPr="00E72ABD">
        <w:t xml:space="preserve">independent candidate, </w:t>
      </w:r>
      <w:r w:rsidR="00CE4AD5">
        <w:t xml:space="preserve">to be allowed to </w:t>
      </w:r>
      <w:r w:rsidRPr="00E72ABD">
        <w:t>run for elections in that capacity, and be elected</w:t>
      </w:r>
      <w:r w:rsidRPr="00E72ABD">
        <w:rPr>
          <w:rStyle w:val="FootnoteReference"/>
        </w:rPr>
        <w:footnoteReference w:id="417"/>
      </w:r>
      <w:r w:rsidRPr="00E72ABD">
        <w:t xml:space="preserve">. However, it is important for this type of candidacy to be allowed to participate in any election considering the relatively complex procedure of </w:t>
      </w:r>
      <w:r w:rsidR="00CE4AD5">
        <w:t xml:space="preserve">registration of a political party </w:t>
      </w:r>
      <w:r w:rsidR="00CE4AD5" w:rsidRPr="00E72ABD">
        <w:t xml:space="preserve">by </w:t>
      </w:r>
      <w:r w:rsidR="00CE4AD5">
        <w:t>the Government</w:t>
      </w:r>
      <w:r w:rsidR="001833CD" w:rsidRPr="00E72ABD">
        <w:t>.</w:t>
      </w:r>
      <w:r w:rsidRPr="00E72ABD">
        <w:rPr>
          <w:rStyle w:val="FootnoteReference"/>
        </w:rPr>
        <w:footnoteReference w:id="418"/>
      </w:r>
      <w:r w:rsidR="00EF2D2F" w:rsidRPr="00E72ABD">
        <w:t xml:space="preserve"> </w:t>
      </w:r>
    </w:p>
    <w:p w14:paraId="19EAC123" w14:textId="25D6EB99" w:rsidR="003D5320" w:rsidRPr="00E72ABD" w:rsidRDefault="003D5320" w:rsidP="003D5320">
      <w:pPr>
        <w:pStyle w:val="SingleTxtG"/>
      </w:pPr>
      <w:r w:rsidRPr="00E72ABD">
        <w:t>487.</w:t>
      </w:r>
      <w:r w:rsidRPr="00E72ABD">
        <w:tab/>
        <w:t xml:space="preserve">Moreover, the </w:t>
      </w:r>
      <w:r w:rsidR="002E6630">
        <w:t>Burundian</w:t>
      </w:r>
      <w:r w:rsidRPr="00E72ABD">
        <w:t xml:space="preserve"> legal framework now has restrictions on the exercise of the right to freedom of expression and information, the right to freedom of association and peaceful assembly, which are disproportionate and unnecessary in a democratic society</w:t>
      </w:r>
      <w:r w:rsidR="001833CD" w:rsidRPr="00E72ABD">
        <w:t>.</w:t>
      </w:r>
      <w:r w:rsidRPr="00E72ABD">
        <w:rPr>
          <w:rStyle w:val="FootnoteReference"/>
        </w:rPr>
        <w:footnoteReference w:id="419"/>
      </w:r>
      <w:r w:rsidRPr="00E72ABD">
        <w:t xml:space="preserve"> Thus, the legal framework is not able to guarantee that elections are free, fair, transparent and credible.</w:t>
      </w:r>
    </w:p>
    <w:p w14:paraId="5E0028AA" w14:textId="77777777" w:rsidR="003D5320" w:rsidRPr="00E72ABD" w:rsidRDefault="003D5320" w:rsidP="003D5320">
      <w:pPr>
        <w:pStyle w:val="H4G"/>
      </w:pPr>
      <w:r w:rsidRPr="00E72ABD">
        <w:tab/>
        <w:t>d)</w:t>
      </w:r>
      <w:r w:rsidRPr="00E72ABD">
        <w:tab/>
        <w:t>National Independent Electoral Commission</w:t>
      </w:r>
    </w:p>
    <w:p w14:paraId="4724F080" w14:textId="60375BF7" w:rsidR="003D5320" w:rsidRPr="00E72ABD" w:rsidRDefault="003D5320" w:rsidP="003D5320">
      <w:pPr>
        <w:pStyle w:val="SingleTxtG"/>
      </w:pPr>
      <w:r w:rsidRPr="00E72ABD">
        <w:t>488.</w:t>
      </w:r>
      <w:r w:rsidRPr="00E72ABD">
        <w:tab/>
        <w:t xml:space="preserve">In accordance with the African Charter on Democracy, Elections and Governance, African Union </w:t>
      </w:r>
      <w:r w:rsidR="00304ACD">
        <w:t>m</w:t>
      </w:r>
      <w:r w:rsidRPr="00E72ABD">
        <w:t xml:space="preserve">ember States pledged to create and reinforce </w:t>
      </w:r>
      <w:r w:rsidR="00304ACD">
        <w:t>national i</w:t>
      </w:r>
      <w:r w:rsidRPr="00E72ABD">
        <w:t xml:space="preserve">ndependent </w:t>
      </w:r>
      <w:r w:rsidR="00304ACD">
        <w:t>e</w:t>
      </w:r>
      <w:r w:rsidRPr="00E72ABD">
        <w:t xml:space="preserve">lectoral </w:t>
      </w:r>
      <w:r w:rsidR="00304ACD">
        <w:t>b</w:t>
      </w:r>
      <w:r w:rsidRPr="00E72ABD">
        <w:t>odies to manage elections with impartiality</w:t>
      </w:r>
      <w:r w:rsidR="001833CD" w:rsidRPr="00E72ABD">
        <w:t>.</w:t>
      </w:r>
      <w:r w:rsidRPr="00E72ABD">
        <w:rPr>
          <w:rStyle w:val="FootnoteReference"/>
        </w:rPr>
        <w:footnoteReference w:id="420"/>
      </w:r>
      <w:r w:rsidRPr="00E72ABD">
        <w:t xml:space="preserve"> Through the Bamako Declaration, </w:t>
      </w:r>
      <w:r w:rsidR="00304ACD">
        <w:t>m</w:t>
      </w:r>
      <w:r w:rsidRPr="00E72ABD">
        <w:t>ember States also reaffirmed that they would “ensure that the organization of elections, from the preparatory phase and electoral campaign through counting of votes and proclamation of results, including electoral disputes where necessary, shall be done in total transparency under the jurisdiction of credible bodies known by all for their independence</w:t>
      </w:r>
      <w:r w:rsidRPr="00E72ABD">
        <w:rPr>
          <w:cs/>
        </w:rPr>
        <w:t>”</w:t>
      </w:r>
      <w:r w:rsidR="001833CD" w:rsidRPr="00E72ABD">
        <w:rPr>
          <w:rFonts w:hint="cs"/>
          <w:cs/>
        </w:rPr>
        <w:t>.</w:t>
      </w:r>
      <w:r w:rsidRPr="00E72ABD">
        <w:rPr>
          <w:rStyle w:val="FootnoteReference"/>
        </w:rPr>
        <w:footnoteReference w:id="421"/>
      </w:r>
    </w:p>
    <w:p w14:paraId="6F2B4A2B" w14:textId="0F798C34" w:rsidR="003D5320" w:rsidRPr="00E72ABD" w:rsidRDefault="003D5320" w:rsidP="003D5320">
      <w:pPr>
        <w:pStyle w:val="SingleTxtG"/>
      </w:pPr>
      <w:r w:rsidRPr="00E72ABD">
        <w:t>489.</w:t>
      </w:r>
      <w:r w:rsidRPr="00E72ABD">
        <w:tab/>
        <w:t>The Independent National Electoral Commission (CENI) has a key central role in the organization of the 2020 elections and the smooth running of electoral campaigns. It is the body that is officially in charge of making sure the electoral process is free, impartial, and independent</w:t>
      </w:r>
      <w:r w:rsidRPr="00E72ABD">
        <w:rPr>
          <w:rStyle w:val="FootnoteReference"/>
        </w:rPr>
        <w:footnoteReference w:id="422"/>
      </w:r>
      <w:r w:rsidRPr="00E72ABD">
        <w:t>. More precisely, it is in charge of organizing every election by making sure it</w:t>
      </w:r>
      <w:r w:rsidR="00F6499F">
        <w:t xml:space="preserve"> are free, fair and transparent</w:t>
      </w:r>
      <w:r w:rsidRPr="00E72ABD">
        <w:t xml:space="preserve"> by publishing provisional results within the legal time limits; promulgating the arrangements, code of conduct and technical deta</w:t>
      </w:r>
      <w:r w:rsidR="00F6499F">
        <w:t>ils on the holding of elections;</w:t>
      </w:r>
      <w:r w:rsidRPr="00E72ABD">
        <w:t xml:space="preserve"> receiving and addressing the complains related to the abuse of electoral rules; making sure there is no incitement to ethnic violence during campaigns</w:t>
      </w:r>
      <w:r w:rsidR="00F6499F">
        <w:t>;</w:t>
      </w:r>
      <w:r w:rsidRPr="00E72ABD">
        <w:t xml:space="preserve"> and ensuring the respect of ethnic quotas</w:t>
      </w:r>
      <w:r w:rsidR="00117EF3">
        <w:t>.</w:t>
      </w:r>
      <w:r w:rsidRPr="00E72ABD">
        <w:rPr>
          <w:rStyle w:val="FootnoteReference"/>
        </w:rPr>
        <w:footnoteReference w:id="423"/>
      </w:r>
    </w:p>
    <w:p w14:paraId="6AC9547F" w14:textId="1B05661B" w:rsidR="003D5320" w:rsidRPr="00E72ABD" w:rsidRDefault="003D5320" w:rsidP="003D5320">
      <w:pPr>
        <w:pStyle w:val="SingleTxtG"/>
      </w:pPr>
      <w:r w:rsidRPr="00E72ABD">
        <w:t>490.</w:t>
      </w:r>
      <w:r w:rsidRPr="00E72ABD">
        <w:tab/>
        <w:t xml:space="preserve">The organization and functioning of CENI are laid down in </w:t>
      </w:r>
      <w:r w:rsidR="00117EF3">
        <w:t>d</w:t>
      </w:r>
      <w:r w:rsidRPr="00E72ABD">
        <w:t xml:space="preserve">ecree </w:t>
      </w:r>
      <w:r w:rsidR="00D71BE2" w:rsidRPr="00E72ABD">
        <w:t>n°</w:t>
      </w:r>
      <w:r w:rsidRPr="00E72ABD">
        <w:t>100/125 of 27 August 2018. The administrative and financial autonomy of CENI are mentioned in the decree</w:t>
      </w:r>
      <w:r w:rsidR="00D71BE2" w:rsidRPr="00E72ABD">
        <w:t>,</w:t>
      </w:r>
      <w:r w:rsidRPr="00E72ABD">
        <w:rPr>
          <w:rStyle w:val="FootnoteReference"/>
        </w:rPr>
        <w:footnoteReference w:id="424"/>
      </w:r>
      <w:r w:rsidRPr="00E72ABD">
        <w:t xml:space="preserve"> with resources allocated in the form of annual subsidies derived from State budget, as well as funds received from bilateral and multilateral donors. CENI drafts an annual report of its activities and sends a copy to the President of the Republic, the </w:t>
      </w:r>
      <w:r w:rsidR="00EF2D2F" w:rsidRPr="00E72ABD">
        <w:t>Minister</w:t>
      </w:r>
      <w:r w:rsidRPr="00E72ABD">
        <w:t xml:space="preserve"> </w:t>
      </w:r>
      <w:r w:rsidR="00BF5441" w:rsidRPr="00E72ABD">
        <w:t xml:space="preserve">of Interior </w:t>
      </w:r>
      <w:r w:rsidRPr="00E72ABD">
        <w:t>and to the Court of Auditors. It comprises five commissions (operations, electoral digitization and maintenance of equipment; legal matters and electoral disputes; electoral logistics and procurement; administration and finance; electoral education and communication) each under the supervision of a member. Each commission is sub-divided into services led by Heads of Service appointed by</w:t>
      </w:r>
      <w:r w:rsidR="00EF2D2F" w:rsidRPr="00E72ABD">
        <w:t xml:space="preserve"> </w:t>
      </w:r>
      <w:r w:rsidRPr="00E72ABD">
        <w:t>CENI.</w:t>
      </w:r>
    </w:p>
    <w:p w14:paraId="48BB7629" w14:textId="6FC44ACB" w:rsidR="003D5320" w:rsidRPr="00E72ABD" w:rsidRDefault="003D5320" w:rsidP="003D5320">
      <w:pPr>
        <w:pStyle w:val="SingleTxtG"/>
      </w:pPr>
      <w:r w:rsidRPr="00E72ABD">
        <w:t>491.</w:t>
      </w:r>
      <w:r w:rsidRPr="00E72ABD">
        <w:tab/>
        <w:t xml:space="preserve">The </w:t>
      </w:r>
      <w:r w:rsidR="00D71BE2" w:rsidRPr="00E72ABD">
        <w:t xml:space="preserve">Electoral Commission </w:t>
      </w:r>
      <w:r w:rsidRPr="00E72ABD">
        <w:t xml:space="preserve">should also include local offices which are called Independent Provincial Electoral </w:t>
      </w:r>
      <w:r w:rsidR="00D71BE2" w:rsidRPr="00E72ABD">
        <w:t xml:space="preserve">Commissions </w:t>
      </w:r>
      <w:r w:rsidRPr="00E72ABD">
        <w:t xml:space="preserve">(CEPI) and Independent Communal Electoral </w:t>
      </w:r>
      <w:r w:rsidR="00D71BE2" w:rsidRPr="00E72ABD">
        <w:t xml:space="preserve">Commissions </w:t>
      </w:r>
      <w:r w:rsidRPr="00E72ABD">
        <w:t xml:space="preserve">(CECI), with members appointed by members of the </w:t>
      </w:r>
      <w:r w:rsidR="00D71BE2" w:rsidRPr="00E72ABD">
        <w:t xml:space="preserve">Commission </w:t>
      </w:r>
      <w:r w:rsidRPr="00E72ABD">
        <w:t>directly above it. Membership of CEPIs should correspond to the number of communes in each province, headed by a President and an Officer in charge of the electoral equipment since each commune should be supervised by a member of</w:t>
      </w:r>
      <w:r w:rsidR="00EF2D2F" w:rsidRPr="00E72ABD">
        <w:t xml:space="preserve"> </w:t>
      </w:r>
      <w:r w:rsidRPr="00E72ABD">
        <w:t>CEPI. As for the 129 CECIs, five members are appointed for each commune for a total of about 645 for a one-year term</w:t>
      </w:r>
      <w:r w:rsidR="00D71BE2" w:rsidRPr="00E72ABD">
        <w:t>.</w:t>
      </w:r>
      <w:r w:rsidRPr="00E72ABD">
        <w:rPr>
          <w:rStyle w:val="FootnoteReference"/>
        </w:rPr>
        <w:footnoteReference w:id="425"/>
      </w:r>
      <w:r w:rsidRPr="00E72ABD">
        <w:t xml:space="preserve"> Members</w:t>
      </w:r>
      <w:r w:rsidRPr="00E72ABD">
        <w:rPr>
          <w:cs/>
        </w:rPr>
        <w:t xml:space="preserve">’ </w:t>
      </w:r>
      <w:r w:rsidRPr="00E72ABD">
        <w:t xml:space="preserve">wages are </w:t>
      </w:r>
      <w:r w:rsidR="0058455B">
        <w:t>decided</w:t>
      </w:r>
      <w:r w:rsidRPr="00E72ABD">
        <w:t xml:space="preserve"> by a </w:t>
      </w:r>
      <w:r w:rsidR="0058455B">
        <w:t>j</w:t>
      </w:r>
      <w:r w:rsidRPr="00E72ABD">
        <w:t xml:space="preserve">oint </w:t>
      </w:r>
      <w:r w:rsidR="0058455B">
        <w:t>ordinnance</w:t>
      </w:r>
      <w:r w:rsidRPr="00E72ABD">
        <w:t xml:space="preserve"> of the </w:t>
      </w:r>
      <w:r w:rsidR="00EF2D2F" w:rsidRPr="00E72ABD">
        <w:t>Minister</w:t>
      </w:r>
      <w:r w:rsidRPr="00E72ABD">
        <w:t xml:space="preserve"> of Territorial Administration and the </w:t>
      </w:r>
      <w:r w:rsidR="00EF2D2F" w:rsidRPr="00E72ABD">
        <w:t>Minister</w:t>
      </w:r>
      <w:r w:rsidRPr="00E72ABD">
        <w:t xml:space="preserve"> of Finance</w:t>
      </w:r>
      <w:r w:rsidR="00D71BE2" w:rsidRPr="00E72ABD">
        <w:t>.</w:t>
      </w:r>
      <w:r w:rsidRPr="00E72ABD">
        <w:rPr>
          <w:rStyle w:val="FootnoteReference"/>
        </w:rPr>
        <w:footnoteReference w:id="426"/>
      </w:r>
    </w:p>
    <w:p w14:paraId="5AB0DDA2" w14:textId="75C295B5" w:rsidR="003D5320" w:rsidRPr="00E72ABD" w:rsidRDefault="003D5320" w:rsidP="000218D3">
      <w:pPr>
        <w:pStyle w:val="SingleTxtG"/>
      </w:pPr>
      <w:r w:rsidRPr="00E72ABD">
        <w:t>492.</w:t>
      </w:r>
      <w:r w:rsidRPr="00E72ABD">
        <w:tab/>
      </w:r>
      <w:r w:rsidRPr="000218D3">
        <w:t>On 21 August 2018, the</w:t>
      </w:r>
      <w:r w:rsidRPr="00E72ABD">
        <w:t xml:space="preserve"> current seven members of CENI were appointed by the President of the Republic for a five-year non-renewable term</w:t>
      </w:r>
      <w:r w:rsidR="00117EF3">
        <w:t>,</w:t>
      </w:r>
      <w:r w:rsidRPr="00E72ABD">
        <w:rPr>
          <w:rStyle w:val="FootnoteReference"/>
        </w:rPr>
        <w:footnoteReference w:id="427"/>
      </w:r>
      <w:r w:rsidRPr="00E72ABD">
        <w:t xml:space="preserve"> and they were sworn-in on 19 September 2018. Although the Constitution provides that their appointment should first be approved by an absolute majority in both houses of </w:t>
      </w:r>
      <w:r w:rsidR="00D71BE2" w:rsidRPr="00E72ABD">
        <w:t xml:space="preserve">Parliament </w:t>
      </w:r>
      <w:r w:rsidRPr="00E72ABD">
        <w:t xml:space="preserve">(a two-third majority was required by the former Constitution), it would be </w:t>
      </w:r>
      <w:r w:rsidR="000218D3">
        <w:t xml:space="preserve">hardly conceivable that the </w:t>
      </w:r>
      <w:r w:rsidRPr="00E72ABD">
        <w:t>Parliament</w:t>
      </w:r>
      <w:r w:rsidR="000218D3">
        <w:t xml:space="preserve"> do</w:t>
      </w:r>
      <w:r w:rsidRPr="00E72ABD">
        <w:t xml:space="preserve"> not validate the presidential </w:t>
      </w:r>
      <w:r w:rsidR="000218D3">
        <w:t>choices</w:t>
      </w:r>
      <w:r w:rsidRPr="00E72ABD">
        <w:t xml:space="preserve"> considering its lack of independence </w:t>
      </w:r>
      <w:r w:rsidR="000218D3" w:rsidRPr="000218D3">
        <w:rPr>
          <w:i/>
        </w:rPr>
        <w:t>vis-</w:t>
      </w:r>
      <w:r w:rsidR="000218D3">
        <w:rPr>
          <w:i/>
        </w:rPr>
        <w:t>à</w:t>
      </w:r>
      <w:r w:rsidR="000218D3" w:rsidRPr="000218D3">
        <w:rPr>
          <w:i/>
        </w:rPr>
        <w:t>-vis</w:t>
      </w:r>
      <w:r w:rsidR="000218D3">
        <w:t xml:space="preserve"> the President</w:t>
      </w:r>
      <w:r w:rsidRPr="00E72ABD">
        <w:t xml:space="preserve">. Thus, it was no surprise to see that the National Assembly approved the CENI members proposed by the President </w:t>
      </w:r>
      <w:r w:rsidR="000218D3">
        <w:t>with</w:t>
      </w:r>
      <w:r w:rsidRPr="00E72ABD">
        <w:t xml:space="preserve"> a 98.8</w:t>
      </w:r>
      <w:r w:rsidR="00117EF3">
        <w:t> </w:t>
      </w:r>
      <w:r w:rsidRPr="00E72ABD">
        <w:t>% majority</w:t>
      </w:r>
      <w:r w:rsidR="00117EF3">
        <w:t>.</w:t>
      </w:r>
      <w:r w:rsidRPr="00E72ABD">
        <w:rPr>
          <w:rStyle w:val="FootnoteReference"/>
        </w:rPr>
        <w:footnoteReference w:id="428"/>
      </w:r>
    </w:p>
    <w:p w14:paraId="4E33686B" w14:textId="34A122E7" w:rsidR="003D5320" w:rsidRPr="00E72ABD" w:rsidRDefault="003D5320" w:rsidP="003D5320">
      <w:pPr>
        <w:pStyle w:val="SingleTxtG"/>
      </w:pPr>
      <w:r w:rsidRPr="00E72ABD">
        <w:t>493.</w:t>
      </w:r>
      <w:r w:rsidRPr="00E72ABD">
        <w:tab/>
        <w:t>These appointed members benefit from the same immunity as parliamentarians in office</w:t>
      </w:r>
      <w:r w:rsidR="00D71BE2" w:rsidRPr="00E72ABD">
        <w:t>,</w:t>
      </w:r>
      <w:r w:rsidRPr="00E72ABD">
        <w:rPr>
          <w:rStyle w:val="FootnoteReference"/>
        </w:rPr>
        <w:footnoteReference w:id="429"/>
      </w:r>
      <w:r w:rsidRPr="00E72ABD">
        <w:t xml:space="preserve"> but the ranks and benefits granted to them are determined by a decree of the Council of </w:t>
      </w:r>
      <w:r w:rsidR="00EF2D2F" w:rsidRPr="00E72ABD">
        <w:t>Minister</w:t>
      </w:r>
      <w:r w:rsidRPr="00E72ABD">
        <w:t>s</w:t>
      </w:r>
      <w:r w:rsidR="00D71BE2" w:rsidRPr="00E72ABD">
        <w:t>.</w:t>
      </w:r>
      <w:r w:rsidRPr="00E72ABD">
        <w:rPr>
          <w:rStyle w:val="FootnoteReference"/>
        </w:rPr>
        <w:footnoteReference w:id="430"/>
      </w:r>
      <w:r w:rsidRPr="00E72ABD">
        <w:t xml:space="preserve"> CENI, as a body alongside its members are therefore under a form of structural financial dependence on the President.</w:t>
      </w:r>
    </w:p>
    <w:p w14:paraId="25399F2C" w14:textId="4331FAFD" w:rsidR="003D5320" w:rsidRPr="00E72ABD" w:rsidRDefault="003D5320" w:rsidP="003D5320">
      <w:pPr>
        <w:pStyle w:val="SingleTxtG"/>
      </w:pPr>
      <w:r w:rsidRPr="00E72ABD">
        <w:t>494.</w:t>
      </w:r>
      <w:r w:rsidRPr="00E72ABD">
        <w:tab/>
        <w:t xml:space="preserve">The appointment of some individuals close to CNDD-FDD and the </w:t>
      </w:r>
      <w:r w:rsidR="007F5B89">
        <w:t>Government</w:t>
      </w:r>
      <w:r w:rsidRPr="00E72ABD">
        <w:t xml:space="preserve"> as CENI members was highly criticised. In fact, among these new members, there is </w:t>
      </w:r>
      <w:r w:rsidR="000218D3">
        <w:t xml:space="preserve">its </w:t>
      </w:r>
      <w:r w:rsidRPr="00E72ABD">
        <w:t>President, Pierre Claver Kazihise, who is the former Head of the Association for the Consolidation of Peace (ACOPA) - a civil society organization close to CNDD-FDD, which in 2014, publicly rejected accusations of human rights violations by Imbonerakure. This organization also denounced</w:t>
      </w:r>
      <w:r w:rsidR="00EF2D2F" w:rsidRPr="00E72ABD">
        <w:t xml:space="preserve"> </w:t>
      </w:r>
      <w:r w:rsidRPr="00E72ABD">
        <w:t xml:space="preserve">concerns raised by several </w:t>
      </w:r>
      <w:r w:rsidR="002E6630">
        <w:t>Burundian</w:t>
      </w:r>
      <w:r w:rsidRPr="00E72ABD">
        <w:t xml:space="preserve"> NGOs and the international community on the preparation of the 2015 elections by describing them as political attempts to destabilize the country whereas the country is on </w:t>
      </w:r>
      <w:r w:rsidRPr="00E72ABD">
        <w:rPr>
          <w:cs/>
        </w:rPr>
        <w:t>“</w:t>
      </w:r>
      <w:r w:rsidRPr="00E72ABD">
        <w:t>track to strengthen its democracy”</w:t>
      </w:r>
      <w:r w:rsidR="00D71BE2" w:rsidRPr="00E72ABD">
        <w:t>.</w:t>
      </w:r>
      <w:r w:rsidRPr="00E72ABD">
        <w:rPr>
          <w:rStyle w:val="FootnoteReference"/>
        </w:rPr>
        <w:footnoteReference w:id="431"/>
      </w:r>
      <w:r w:rsidRPr="00E72ABD">
        <w:t xml:space="preserve"> In his capacity as ACOPA President, he co-signed a joint letter written by 16 civil society organizations, said to be </w:t>
      </w:r>
      <w:r w:rsidR="005D76CB" w:rsidRPr="00E72ABD">
        <w:t>“</w:t>
      </w:r>
      <w:r w:rsidR="00D71BE2" w:rsidRPr="00E72ABD">
        <w:t>civic</w:t>
      </w:r>
      <w:r w:rsidR="005D76CB" w:rsidRPr="00E72ABD">
        <w:t>”</w:t>
      </w:r>
      <w:r w:rsidR="00D71BE2" w:rsidRPr="00E72ABD">
        <w:t xml:space="preserve"> </w:t>
      </w:r>
      <w:r w:rsidRPr="00E72ABD">
        <w:t>associations, sent on 13 September 2018 to the Secretary-General of the U</w:t>
      </w:r>
      <w:r w:rsidR="00D71BE2" w:rsidRPr="00E72ABD">
        <w:t xml:space="preserve">nited </w:t>
      </w:r>
      <w:r w:rsidRPr="00E72ABD">
        <w:t>N</w:t>
      </w:r>
      <w:r w:rsidR="00D71BE2" w:rsidRPr="00E72ABD">
        <w:t>ations</w:t>
      </w:r>
      <w:r w:rsidR="000218D3">
        <w:t xml:space="preserve"> and to the M</w:t>
      </w:r>
      <w:r w:rsidRPr="00E72ABD">
        <w:t xml:space="preserve">ediator of the </w:t>
      </w:r>
      <w:r w:rsidR="00F61030" w:rsidRPr="00E72ABD">
        <w:t>inter-</w:t>
      </w:r>
      <w:r w:rsidR="002E6630">
        <w:t>Burundian</w:t>
      </w:r>
      <w:r w:rsidRPr="00E72ABD">
        <w:t xml:space="preserve"> dialogue on the eve of its fifth session. In this letter, they requested that the new 2018 Constitution, the roadmap of the Kayanza elections or the composition of the CENI </w:t>
      </w:r>
      <w:r w:rsidR="00D71BE2" w:rsidRPr="00E72ABD">
        <w:t xml:space="preserve">be </w:t>
      </w:r>
      <w:r w:rsidRPr="00E72ABD">
        <w:t>not subject to discussion.</w:t>
      </w:r>
    </w:p>
    <w:p w14:paraId="2E9C2DB5" w14:textId="3CC1F4A5" w:rsidR="003D5320" w:rsidRPr="00E72ABD" w:rsidRDefault="003D5320" w:rsidP="003D5320">
      <w:pPr>
        <w:pStyle w:val="SingleTxtG"/>
      </w:pPr>
      <w:r w:rsidRPr="00E72ABD">
        <w:t>495.</w:t>
      </w:r>
      <w:r w:rsidRPr="00E72ABD">
        <w:tab/>
        <w:t>Among the other members who are close to the President</w:t>
      </w:r>
      <w:r w:rsidR="000218D3">
        <w:t>, there is Philippe Nzobonariba, who was</w:t>
      </w:r>
      <w:r w:rsidRPr="00E72ABD">
        <w:t xml:space="preserve"> Secretary-General and spokes</w:t>
      </w:r>
      <w:r w:rsidR="000218D3">
        <w:t>person</w:t>
      </w:r>
      <w:r w:rsidRPr="00E72ABD">
        <w:t xml:space="preserve"> of the Nkurunziza </w:t>
      </w:r>
      <w:r w:rsidR="007F5B89">
        <w:t>Government</w:t>
      </w:r>
      <w:r w:rsidRPr="00E72ABD">
        <w:t xml:space="preserve"> from 2015 to 2018, now</w:t>
      </w:r>
      <w:r w:rsidR="000218D3">
        <w:t xml:space="preserve"> in charge of the Presidential communication;</w:t>
      </w:r>
      <w:r w:rsidRPr="00E72ABD">
        <w:t xml:space="preserve"> and Serge Ndayiragije, former </w:t>
      </w:r>
      <w:r w:rsidR="00EF2D2F" w:rsidRPr="00E72ABD">
        <w:t>Minister</w:t>
      </w:r>
      <w:r w:rsidRPr="00E72ABD">
        <w:t xml:space="preserve"> of Communication and Media</w:t>
      </w:r>
      <w:r w:rsidR="00D71BE2" w:rsidRPr="00E72ABD">
        <w:t>,</w:t>
      </w:r>
      <w:r w:rsidRPr="00E72ABD">
        <w:t xml:space="preserve"> now in charge of </w:t>
      </w:r>
      <w:r w:rsidR="000218D3">
        <w:t>the Presidential a</w:t>
      </w:r>
      <w:r w:rsidRPr="00E72ABD">
        <w:t xml:space="preserve">dministration and </w:t>
      </w:r>
      <w:r w:rsidR="000218D3">
        <w:t>f</w:t>
      </w:r>
      <w:r w:rsidRPr="00E72ABD">
        <w:t>inance</w:t>
      </w:r>
      <w:r w:rsidR="000218D3">
        <w:t>s</w:t>
      </w:r>
      <w:r w:rsidRPr="00E72ABD">
        <w:t>.</w:t>
      </w:r>
    </w:p>
    <w:p w14:paraId="3892409C" w14:textId="2B2F8A75" w:rsidR="003D5320" w:rsidRPr="00E72ABD" w:rsidRDefault="003D5320" w:rsidP="003D5320">
      <w:pPr>
        <w:pStyle w:val="SingleTxtG"/>
      </w:pPr>
      <w:r w:rsidRPr="00E72ABD">
        <w:t>496.</w:t>
      </w:r>
      <w:r w:rsidRPr="00E72ABD">
        <w:tab/>
        <w:t>In their new capacities, some CENI members made statements</w:t>
      </w:r>
      <w:r w:rsidR="00EF2D2F" w:rsidRPr="00E72ABD">
        <w:t xml:space="preserve"> </w:t>
      </w:r>
      <w:r w:rsidRPr="00E72ABD">
        <w:t>that raise questions about their neutrality and impartiality. For example, on 7 May 2018, Jean Anastase Hicuburundi requested the censure of independent media</w:t>
      </w:r>
      <w:r w:rsidR="00D71BE2" w:rsidRPr="00E72ABD">
        <w:t>.</w:t>
      </w:r>
      <w:r w:rsidRPr="00E72ABD">
        <w:rPr>
          <w:rStyle w:val="FootnoteReference"/>
        </w:rPr>
        <w:footnoteReference w:id="432"/>
      </w:r>
    </w:p>
    <w:p w14:paraId="5DC581ED" w14:textId="26874D71" w:rsidR="003D5320" w:rsidRPr="00E72ABD" w:rsidRDefault="003D5320" w:rsidP="003D5320">
      <w:pPr>
        <w:pStyle w:val="SingleTxtG"/>
      </w:pPr>
      <w:r w:rsidRPr="00E72ABD">
        <w:t>497.</w:t>
      </w:r>
      <w:r w:rsidRPr="00E72ABD">
        <w:tab/>
        <w:t>CENI is therefore not perceived as a body capable of fulfilling its mission in a neutral and independent manner. This perception further damages the</w:t>
      </w:r>
      <w:r w:rsidR="00EF2D2F" w:rsidRPr="00E72ABD">
        <w:t xml:space="preserve"> </w:t>
      </w:r>
      <w:r w:rsidRPr="00E72ABD">
        <w:t xml:space="preserve">population and political actors’ trust in </w:t>
      </w:r>
      <w:r w:rsidR="002E6630">
        <w:t>Burundian</w:t>
      </w:r>
      <w:r w:rsidRPr="00E72ABD">
        <w:t xml:space="preserve"> institutions and their ability to guarantee that the next elections will be fair and credible.</w:t>
      </w:r>
    </w:p>
    <w:p w14:paraId="7D165874" w14:textId="59DF6300" w:rsidR="003D5320" w:rsidRPr="00E72ABD" w:rsidRDefault="003D5320" w:rsidP="003D5320">
      <w:pPr>
        <w:pStyle w:val="H23G"/>
      </w:pPr>
      <w:r w:rsidRPr="00E72ABD">
        <w:tab/>
        <w:t>3.</w:t>
      </w:r>
      <w:r w:rsidRPr="00E72ABD">
        <w:tab/>
      </w:r>
      <w:r w:rsidR="0099778A" w:rsidRPr="00E72ABD">
        <w:t xml:space="preserve">Misuse of </w:t>
      </w:r>
      <w:r w:rsidRPr="00E72ABD">
        <w:t>history for political purposes</w:t>
      </w:r>
    </w:p>
    <w:p w14:paraId="5D4C67E7" w14:textId="77777777" w:rsidR="003D5320" w:rsidRPr="00E72ABD" w:rsidRDefault="003D5320" w:rsidP="003D5320">
      <w:pPr>
        <w:pStyle w:val="H4G"/>
      </w:pPr>
      <w:r w:rsidRPr="00E72ABD">
        <w:tab/>
        <w:t>a)</w:t>
      </w:r>
      <w:r w:rsidRPr="00E72ABD">
        <w:tab/>
        <w:t>Complexity of the ethnic issue</w:t>
      </w:r>
    </w:p>
    <w:p w14:paraId="573AFC3B" w14:textId="093B6416" w:rsidR="003D5320" w:rsidRPr="00E72ABD" w:rsidRDefault="003D5320" w:rsidP="003D5320">
      <w:pPr>
        <w:pStyle w:val="SingleTxtG"/>
      </w:pPr>
      <w:r w:rsidRPr="00E72ABD">
        <w:t>498.</w:t>
      </w:r>
      <w:r w:rsidRPr="00E72ABD">
        <w:tab/>
        <w:t>In Burundi, issues on ethnicity are deeply tied to the country</w:t>
      </w:r>
      <w:r w:rsidRPr="00E72ABD">
        <w:rPr>
          <w:cs/>
        </w:rPr>
        <w:t>’</w:t>
      </w:r>
      <w:r w:rsidRPr="00E72ABD">
        <w:t>s history. No matter the origin of ethnic differences, a colonial legacy</w:t>
      </w:r>
      <w:r w:rsidRPr="00E72ABD">
        <w:rPr>
          <w:rStyle w:val="FootnoteReference"/>
        </w:rPr>
        <w:footnoteReference w:id="433"/>
      </w:r>
      <w:r w:rsidRPr="00E72ABD">
        <w:t xml:space="preserve"> or a socio-traditional fact</w:t>
      </w:r>
      <w:r w:rsidR="002E24B7">
        <w:t xml:space="preserve"> </w:t>
      </w:r>
      <w:r w:rsidRPr="00E72ABD">
        <w:t>often used as a means to an end</w:t>
      </w:r>
      <w:r w:rsidR="002E24B7">
        <w:t xml:space="preserve">, </w:t>
      </w:r>
      <w:r w:rsidRPr="00E72ABD">
        <w:t xml:space="preserve">it is nonetheless one of the aspects which have marked the recent history of the country. As a matter of fact, since independence, violence and political unrest </w:t>
      </w:r>
      <w:r w:rsidR="002E24B7">
        <w:t xml:space="preserve">that </w:t>
      </w:r>
      <w:r w:rsidRPr="00E72ABD">
        <w:t xml:space="preserve">caused </w:t>
      </w:r>
      <w:proofErr w:type="gramStart"/>
      <w:r w:rsidR="002E24B7">
        <w:t xml:space="preserve">numerous </w:t>
      </w:r>
      <w:r w:rsidRPr="00E72ABD">
        <w:t xml:space="preserve"> human</w:t>
      </w:r>
      <w:proofErr w:type="gramEnd"/>
      <w:r w:rsidRPr="00E72ABD">
        <w:t xml:space="preserve"> rights violations</w:t>
      </w:r>
      <w:r w:rsidR="002E24B7">
        <w:t xml:space="preserve"> had</w:t>
      </w:r>
      <w:r w:rsidRPr="00E72ABD">
        <w:t xml:space="preserve"> generally </w:t>
      </w:r>
      <w:r w:rsidR="002E24B7">
        <w:t>an</w:t>
      </w:r>
      <w:r w:rsidRPr="00E72ABD">
        <w:t xml:space="preserve"> ethnic </w:t>
      </w:r>
      <w:r w:rsidR="002E24B7">
        <w:t>dimension</w:t>
      </w:r>
      <w:r w:rsidRPr="00E72ABD">
        <w:t>. Presently, ethnic origin</w:t>
      </w:r>
      <w:r w:rsidR="002E24B7">
        <w:t>, which is</w:t>
      </w:r>
      <w:r w:rsidRPr="00E72ABD">
        <w:t xml:space="preserve"> traditionally determined by the father</w:t>
      </w:r>
      <w:r w:rsidR="002E24B7">
        <w:t>’s one,</w:t>
      </w:r>
      <w:r w:rsidRPr="00E72ABD">
        <w:t xml:space="preserve"> has become a social reality experienced by the majority of </w:t>
      </w:r>
      <w:r w:rsidR="002E6630">
        <w:t>Burundian</w:t>
      </w:r>
      <w:r w:rsidRPr="00E72ABD">
        <w:t xml:space="preserve">s and one of the most important identification elements alongside </w:t>
      </w:r>
      <w:r w:rsidR="002E24B7">
        <w:t xml:space="preserve">the </w:t>
      </w:r>
      <w:r w:rsidRPr="00E72ABD">
        <w:t xml:space="preserve">clan and </w:t>
      </w:r>
      <w:r w:rsidR="002E24B7">
        <w:t xml:space="preserve">the </w:t>
      </w:r>
      <w:r w:rsidRPr="00E72ABD">
        <w:t>region of origin.</w:t>
      </w:r>
    </w:p>
    <w:p w14:paraId="0CEB522E" w14:textId="4E9B6D9F" w:rsidR="003D5320" w:rsidRPr="00E72ABD" w:rsidRDefault="003D5320" w:rsidP="003D5320">
      <w:pPr>
        <w:pStyle w:val="SingleTxtG"/>
      </w:pPr>
      <w:r w:rsidRPr="00E72ABD">
        <w:t>499.</w:t>
      </w:r>
      <w:r w:rsidRPr="00E72ABD">
        <w:tab/>
      </w:r>
      <w:r w:rsidR="002E24B7">
        <w:t>T</w:t>
      </w:r>
      <w:r w:rsidR="002E24B7" w:rsidRPr="00E72ABD">
        <w:t xml:space="preserve">his ethnic dimension </w:t>
      </w:r>
      <w:r w:rsidR="002E24B7">
        <w:t>has been taken into account in t</w:t>
      </w:r>
      <w:r w:rsidRPr="00E72ABD">
        <w:t xml:space="preserve">he Arusha Peace Agreement </w:t>
      </w:r>
      <w:r w:rsidR="002E24B7">
        <w:t>and</w:t>
      </w:r>
      <w:r w:rsidRPr="00E72ABD">
        <w:t xml:space="preserve"> the 2005 and 2018 Constitutions, which </w:t>
      </w:r>
      <w:r w:rsidR="002E24B7">
        <w:t xml:space="preserve">all </w:t>
      </w:r>
      <w:r w:rsidRPr="00E72ABD">
        <w:t xml:space="preserve">impose ethnic quotas in the defence and security forces and </w:t>
      </w:r>
      <w:r w:rsidR="002E24B7">
        <w:t xml:space="preserve">in </w:t>
      </w:r>
      <w:r w:rsidRPr="00E72ABD">
        <w:t xml:space="preserve">Parliament. The 2018 Constitution went </w:t>
      </w:r>
      <w:r w:rsidR="002E24B7">
        <w:t xml:space="preserve">even </w:t>
      </w:r>
      <w:r w:rsidRPr="00E72ABD">
        <w:t xml:space="preserve">further </w:t>
      </w:r>
      <w:r w:rsidR="002E24B7">
        <w:t>as it establishes</w:t>
      </w:r>
      <w:r w:rsidRPr="00E72ABD">
        <w:t xml:space="preserve"> quotas in the judiciary, and then </w:t>
      </w:r>
      <w:r w:rsidR="007F5B89">
        <w:t>Government</w:t>
      </w:r>
      <w:r w:rsidRPr="00E72ABD">
        <w:t xml:space="preserve"> imposed </w:t>
      </w:r>
      <w:r w:rsidR="002E24B7">
        <w:t>such quotas</w:t>
      </w:r>
      <w:r w:rsidRPr="00E72ABD">
        <w:t xml:space="preserve"> on international NGOs as well</w:t>
      </w:r>
      <w:r w:rsidR="00A62ACD" w:rsidRPr="00E72ABD">
        <w:t>.</w:t>
      </w:r>
      <w:r w:rsidRPr="00E72ABD">
        <w:rPr>
          <w:rStyle w:val="FootnoteReference"/>
        </w:rPr>
        <w:footnoteReference w:id="434"/>
      </w:r>
      <w:r w:rsidRPr="00E72ABD">
        <w:t xml:space="preserve"> These latest developments may sound contrary to the message repeated in the speeches of the Head of State, where he says ethnic groups are a colonial making void of any strong backing.</w:t>
      </w:r>
    </w:p>
    <w:p w14:paraId="3ABC7405" w14:textId="7D69BDB9" w:rsidR="003D5320" w:rsidRPr="00E72ABD" w:rsidRDefault="003D5320" w:rsidP="003D5320">
      <w:pPr>
        <w:pStyle w:val="SingleTxtG"/>
      </w:pPr>
      <w:r w:rsidRPr="00E72ABD">
        <w:t>500.</w:t>
      </w:r>
      <w:r w:rsidRPr="00E72ABD">
        <w:tab/>
        <w:t>Whatever the case, atrocity crimes based on ethnic</w:t>
      </w:r>
      <w:r w:rsidR="002E24B7">
        <w:t>ity</w:t>
      </w:r>
      <w:r w:rsidRPr="00E72ABD">
        <w:t xml:space="preserve"> left a legacy of suspicion and resentment vis</w:t>
      </w:r>
      <w:r w:rsidR="002E24B7">
        <w:t>-à-</w:t>
      </w:r>
      <w:r w:rsidRPr="00E72ABD">
        <w:t xml:space="preserve">vis the other ethnic group amongst many </w:t>
      </w:r>
      <w:r w:rsidR="002E6630">
        <w:t>Burundian</w:t>
      </w:r>
      <w:r w:rsidRPr="00E72ABD">
        <w:t>s. In the absence of a genuine reconciliation process and transitional justice, through which a historical account acceptable to the majority of both groups would be reached, there has been a tendency by each group to</w:t>
      </w:r>
      <w:r w:rsidR="00EF2D2F" w:rsidRPr="00E72ABD">
        <w:t xml:space="preserve"> </w:t>
      </w:r>
      <w:r w:rsidRPr="00E72ABD">
        <w:t>create its own</w:t>
      </w:r>
      <w:r w:rsidR="00A62ACD" w:rsidRPr="00E72ABD">
        <w:t xml:space="preserve"> </w:t>
      </w:r>
      <w:r w:rsidR="002E24B7">
        <w:t>memor</w:t>
      </w:r>
      <w:r w:rsidR="00B67EBE">
        <w:t>y</w:t>
      </w:r>
      <w:r w:rsidRPr="00E72ABD">
        <w:t xml:space="preserve">, </w:t>
      </w:r>
      <w:r w:rsidR="002E24B7">
        <w:t xml:space="preserve">necessarily </w:t>
      </w:r>
      <w:r w:rsidRPr="00E72ABD">
        <w:t>partial.</w:t>
      </w:r>
    </w:p>
    <w:p w14:paraId="6ABBBE54" w14:textId="77777777" w:rsidR="003D5320" w:rsidRPr="00E72ABD" w:rsidRDefault="003D5320" w:rsidP="003D5320">
      <w:pPr>
        <w:pStyle w:val="H4G"/>
      </w:pPr>
      <w:r w:rsidRPr="00E72ABD">
        <w:tab/>
        <w:t>b)</w:t>
      </w:r>
      <w:r w:rsidRPr="00E72ABD">
        <w:tab/>
        <w:t>Absence of reconciliation and transitional justice process</w:t>
      </w:r>
    </w:p>
    <w:p w14:paraId="3F81868A" w14:textId="79E8CA02" w:rsidR="003D5320" w:rsidRPr="00E72ABD" w:rsidRDefault="003D5320" w:rsidP="003D5320">
      <w:pPr>
        <w:pStyle w:val="SingleTxtG"/>
      </w:pPr>
      <w:r w:rsidRPr="00E72ABD">
        <w:t>501.</w:t>
      </w:r>
      <w:r w:rsidRPr="00E72ABD">
        <w:tab/>
        <w:t xml:space="preserve">Following the Arusha Peace Agreement, the international community has deployed numerous measures to support the establishment of a transitional justice process that would lead to the introduction of measures to promote the search for truth, justice, </w:t>
      </w:r>
      <w:proofErr w:type="gramStart"/>
      <w:r w:rsidRPr="00E72ABD">
        <w:t>reparation</w:t>
      </w:r>
      <w:proofErr w:type="gramEnd"/>
      <w:r w:rsidRPr="00E72ABD">
        <w:t xml:space="preserve"> for</w:t>
      </w:r>
      <w:r w:rsidR="00B67EBE">
        <w:t xml:space="preserve"> victims</w:t>
      </w:r>
      <w:r w:rsidRPr="00E72ABD">
        <w:t>, and prevention of subsequent atrocity crimes</w:t>
      </w:r>
      <w:r w:rsidR="00B67EBE">
        <w:t>,</w:t>
      </w:r>
      <w:r w:rsidRPr="00E72ABD">
        <w:t xml:space="preserve"> </w:t>
      </w:r>
      <w:r w:rsidR="00A62ACD" w:rsidRPr="00E72ABD">
        <w:t xml:space="preserve">and </w:t>
      </w:r>
      <w:r w:rsidRPr="00E72ABD">
        <w:t xml:space="preserve">which would have </w:t>
      </w:r>
      <w:r w:rsidRPr="00E72ABD">
        <w:rPr>
          <w:cs/>
        </w:rPr>
        <w:t>“</w:t>
      </w:r>
      <w:r w:rsidRPr="00E72ABD">
        <w:t>laid the groundwork for national reconciliation</w:t>
      </w:r>
      <w:r w:rsidRPr="00E72ABD">
        <w:rPr>
          <w:cs/>
        </w:rPr>
        <w:t>”</w:t>
      </w:r>
      <w:r w:rsidRPr="00E72ABD">
        <w:t xml:space="preserve">. However, </w:t>
      </w:r>
      <w:r w:rsidR="002E6630">
        <w:t>Burundian</w:t>
      </w:r>
      <w:r w:rsidRPr="00E72ABD">
        <w:t xml:space="preserve"> authorities only established a Truth and Reconciliation Commission (CVR) in 2014</w:t>
      </w:r>
      <w:r w:rsidRPr="00E72ABD">
        <w:rPr>
          <w:rStyle w:val="FootnoteReference"/>
        </w:rPr>
        <w:footnoteReference w:id="435"/>
      </w:r>
      <w:r w:rsidRPr="00E72ABD">
        <w:t xml:space="preserve"> while the international judicial investigation</w:t>
      </w:r>
      <w:r w:rsidR="00B67EBE">
        <w:t xml:space="preserve"> commission</w:t>
      </w:r>
      <w:r w:rsidRPr="00E72ABD">
        <w:t>, also provided for, is yet to be put in place.</w:t>
      </w:r>
    </w:p>
    <w:p w14:paraId="671336CB" w14:textId="5D0F26B0" w:rsidR="003D5320" w:rsidRPr="00E72ABD" w:rsidRDefault="003D5320" w:rsidP="003D5320">
      <w:pPr>
        <w:pStyle w:val="SingleTxtG"/>
      </w:pPr>
      <w:r w:rsidRPr="00E72ABD">
        <w:t>502.</w:t>
      </w:r>
      <w:r w:rsidRPr="00E72ABD">
        <w:tab/>
        <w:t>The composition of</w:t>
      </w:r>
      <w:r w:rsidR="00EF2D2F" w:rsidRPr="00E72ABD">
        <w:t xml:space="preserve"> </w:t>
      </w:r>
      <w:r w:rsidRPr="00E72ABD">
        <w:t xml:space="preserve">CVR was criticised from the onset because it had no member from the civil society, thus it lacked </w:t>
      </w:r>
      <w:r w:rsidRPr="00E72ABD">
        <w:rPr>
          <w:cs/>
        </w:rPr>
        <w:t>“</w:t>
      </w:r>
      <w:r w:rsidRPr="00E72ABD">
        <w:t>the required confidence and credibility</w:t>
      </w:r>
      <w:r w:rsidRPr="00E72ABD">
        <w:rPr>
          <w:cs/>
        </w:rPr>
        <w:t>”</w:t>
      </w:r>
      <w:r w:rsidR="00A62ACD" w:rsidRPr="00E72ABD">
        <w:rPr>
          <w:rFonts w:hint="cs"/>
          <w:cs/>
        </w:rPr>
        <w:t>.</w:t>
      </w:r>
      <w:r w:rsidRPr="00E72ABD">
        <w:rPr>
          <w:rStyle w:val="FootnoteReference"/>
        </w:rPr>
        <w:footnoteReference w:id="436"/>
      </w:r>
      <w:r w:rsidRPr="00E72ABD">
        <w:t xml:space="preserve"> In addition, any potential judicial proceedings were postponed by </w:t>
      </w:r>
      <w:r w:rsidR="007F5B89">
        <w:t>Government</w:t>
      </w:r>
      <w:r w:rsidRPr="00E72ABD">
        <w:t xml:space="preserve"> until the conclusion of the work done by CVR, which translates into an extension of </w:t>
      </w:r>
      <w:r w:rsidR="00B67EBE">
        <w:t>the</w:t>
      </w:r>
      <w:r w:rsidRPr="00E72ABD">
        <w:t xml:space="preserve"> provisional immunity granted by the Arusha Agreement to those suspected of crimes. In 2018, by the end of its four-year term, CVR reported to have heard 70,000 victims and witnesses of the crises which marked Burundi since 1962, and identified close to 20,000 alleged suspects and 4,000 mass graves</w:t>
      </w:r>
      <w:r w:rsidR="00A62ACD" w:rsidRPr="00E72ABD">
        <w:t>.</w:t>
      </w:r>
      <w:r w:rsidRPr="00E72ABD">
        <w:rPr>
          <w:rStyle w:val="FootnoteReference"/>
        </w:rPr>
        <w:footnoteReference w:id="437"/>
      </w:r>
      <w:r w:rsidRPr="00E72ABD">
        <w:t xml:space="preserve"> The work done by CVR</w:t>
      </w:r>
      <w:r w:rsidR="00EF2D2F" w:rsidRPr="00E72ABD">
        <w:t xml:space="preserve"> </w:t>
      </w:r>
      <w:r w:rsidRPr="00E72ABD">
        <w:t xml:space="preserve">is </w:t>
      </w:r>
      <w:r w:rsidRPr="00E72ABD">
        <w:rPr>
          <w:i/>
        </w:rPr>
        <w:t>a priori</w:t>
      </w:r>
      <w:r w:rsidRPr="00E72ABD">
        <w:t xml:space="preserve"> quantitatively impressive. It was however criticized for not </w:t>
      </w:r>
      <w:r w:rsidR="00A62ACD" w:rsidRPr="00E72ABD">
        <w:t xml:space="preserve">being conducive to the victims’ involvement in the proceedings because of their fear of reprisals in the absence of </w:t>
      </w:r>
      <w:r w:rsidRPr="00E72ABD">
        <w:t>protecti</w:t>
      </w:r>
      <w:r w:rsidR="00A62ACD" w:rsidRPr="00E72ABD">
        <w:t xml:space="preserve">ve measures offered to the </w:t>
      </w:r>
      <w:r w:rsidRPr="00E72ABD">
        <w:t xml:space="preserve">victims, </w:t>
      </w:r>
      <w:r w:rsidR="00A62ACD" w:rsidRPr="00E72ABD">
        <w:t>while</w:t>
      </w:r>
      <w:r w:rsidRPr="00E72ABD">
        <w:t xml:space="preserve"> the alleged perpetrators are either in power or involved in the procedures. More generally, the lack of information on the process did not help in alleviating the victims’ mistrust in the said process</w:t>
      </w:r>
      <w:r w:rsidR="00A62ACD" w:rsidRPr="00E72ABD">
        <w:t>.</w:t>
      </w:r>
      <w:r w:rsidRPr="00E72ABD">
        <w:rPr>
          <w:rStyle w:val="FootnoteReference"/>
        </w:rPr>
        <w:footnoteReference w:id="438"/>
      </w:r>
      <w:r w:rsidRPr="00E72ABD">
        <w:t xml:space="preserve"> In addition, CVR did not take into consideration the traditional obstacles preventing women from taking part in the process at the community</w:t>
      </w:r>
      <w:r w:rsidR="00A62ACD" w:rsidRPr="00E72ABD">
        <w:t xml:space="preserve"> level</w:t>
      </w:r>
      <w:r w:rsidR="00B67EBE">
        <w:t>,</w:t>
      </w:r>
      <w:r w:rsidRPr="00E72ABD">
        <w:t xml:space="preserve"> thus </w:t>
      </w:r>
      <w:r w:rsidR="00B67EBE">
        <w:t>neglecting</w:t>
      </w:r>
      <w:r w:rsidRPr="00E72ABD">
        <w:t xml:space="preserve"> to integrate </w:t>
      </w:r>
      <w:r w:rsidR="00B67EBE">
        <w:t>a g</w:t>
      </w:r>
      <w:r w:rsidRPr="00E72ABD">
        <w:t>ender dimension in the process</w:t>
      </w:r>
      <w:r w:rsidR="00411B0E" w:rsidRPr="00E72ABD">
        <w:t>.</w:t>
      </w:r>
      <w:r w:rsidRPr="00E72ABD">
        <w:rPr>
          <w:rStyle w:val="FootnoteReference"/>
        </w:rPr>
        <w:footnoteReference w:id="439"/>
      </w:r>
    </w:p>
    <w:p w14:paraId="672A01B4" w14:textId="78BD7C3F" w:rsidR="003D5320" w:rsidRPr="00E72ABD" w:rsidRDefault="003D5320" w:rsidP="003D5320">
      <w:pPr>
        <w:pStyle w:val="SingleTxtG"/>
      </w:pPr>
      <w:r w:rsidRPr="00E72ABD">
        <w:t>503.</w:t>
      </w:r>
      <w:r w:rsidRPr="00E72ABD">
        <w:tab/>
        <w:t xml:space="preserve">Considering the results produced by CVR, </w:t>
      </w:r>
      <w:r w:rsidR="00411B0E" w:rsidRPr="00E72ABD">
        <w:t xml:space="preserve">the </w:t>
      </w:r>
      <w:r w:rsidRPr="00E72ABD">
        <w:t>P</w:t>
      </w:r>
      <w:r w:rsidR="00B67EBE">
        <w:t>arliament decided to renew the C</w:t>
      </w:r>
      <w:r w:rsidRPr="00E72ABD">
        <w:t>ommission’s mandate for another four-year term</w:t>
      </w:r>
      <w:r w:rsidR="00B67EBE">
        <w:t>, which is</w:t>
      </w:r>
      <w:r w:rsidRPr="00E72ABD">
        <w:t xml:space="preserve"> </w:t>
      </w:r>
      <w:r w:rsidR="00B67EBE" w:rsidRPr="00E72ABD">
        <w:t>renewable</w:t>
      </w:r>
      <w:r w:rsidR="00B67EBE">
        <w:t>,</w:t>
      </w:r>
      <w:r w:rsidR="00B67EBE" w:rsidRPr="00E72ABD">
        <w:t xml:space="preserve"> </w:t>
      </w:r>
      <w:r w:rsidRPr="00E72ABD">
        <w:t xml:space="preserve">and entrusted it with the mission of </w:t>
      </w:r>
      <w:r w:rsidRPr="00E72ABD">
        <w:rPr>
          <w:cs/>
        </w:rPr>
        <w:t>“</w:t>
      </w:r>
      <w:r w:rsidRPr="00E72ABD">
        <w:t>investigating and shedding light on serious human rights and international humanitarian laws violations perpetrated from 26 February 1885 to 4 December 2008</w:t>
      </w:r>
      <w:r w:rsidRPr="00E72ABD">
        <w:rPr>
          <w:cs/>
        </w:rPr>
        <w:t>”</w:t>
      </w:r>
      <w:r w:rsidR="00411B0E" w:rsidRPr="00E72ABD">
        <w:rPr>
          <w:rFonts w:hint="cs"/>
          <w:cs/>
        </w:rPr>
        <w:t>,</w:t>
      </w:r>
      <w:r w:rsidRPr="00E72ABD">
        <w:rPr>
          <w:cs/>
        </w:rPr>
        <w:t xml:space="preserve"> </w:t>
      </w:r>
      <w:r w:rsidRPr="00E72ABD">
        <w:t xml:space="preserve">thus covering the colonial era. It </w:t>
      </w:r>
      <w:r w:rsidR="00544F18">
        <w:t xml:space="preserve">is also requested </w:t>
      </w:r>
      <w:r w:rsidRPr="00E72ABD">
        <w:t>to rewrite the history of the country</w:t>
      </w:r>
      <w:r w:rsidR="00411B0E" w:rsidRPr="00E72ABD">
        <w:t>.</w:t>
      </w:r>
      <w:r w:rsidRPr="00E72ABD">
        <w:rPr>
          <w:rStyle w:val="FootnoteReference"/>
        </w:rPr>
        <w:footnoteReference w:id="440"/>
      </w:r>
    </w:p>
    <w:p w14:paraId="51904F2D" w14:textId="137F4EA7" w:rsidR="003D5320" w:rsidRPr="00E72ABD" w:rsidRDefault="003D5320" w:rsidP="003D5320">
      <w:pPr>
        <w:pStyle w:val="SingleTxtG"/>
      </w:pPr>
      <w:r w:rsidRPr="00E72ABD">
        <w:t>504.</w:t>
      </w:r>
      <w:r w:rsidRPr="00E72ABD">
        <w:tab/>
        <w:t xml:space="preserve">It is relevant to carry out such a task to establish a common historical narrative and national history, considering that currently each group has its own </w:t>
      </w:r>
      <w:r w:rsidR="00411B0E" w:rsidRPr="00E72ABD">
        <w:t xml:space="preserve">distinct and selective </w:t>
      </w:r>
      <w:r w:rsidR="00544F18">
        <w:t>memory</w:t>
      </w:r>
      <w:r w:rsidR="00411B0E" w:rsidRPr="00E72ABD">
        <w:t>,</w:t>
      </w:r>
      <w:r w:rsidRPr="00E72ABD">
        <w:t xml:space="preserve"> which has instilled fear, lack of trust and suspicion between ethnic groups.</w:t>
      </w:r>
      <w:r w:rsidRPr="00E72ABD">
        <w:rPr>
          <w:rStyle w:val="FootnoteReference"/>
        </w:rPr>
        <w:footnoteReference w:id="441"/>
      </w:r>
    </w:p>
    <w:p w14:paraId="283A43B2" w14:textId="030BBF67" w:rsidR="003D5320" w:rsidRPr="00E72ABD" w:rsidRDefault="003D5320" w:rsidP="003D5320">
      <w:pPr>
        <w:pStyle w:val="SingleTxtG"/>
      </w:pPr>
      <w:r w:rsidRPr="00E72ABD">
        <w:t>505.</w:t>
      </w:r>
      <w:r w:rsidRPr="00E72ABD">
        <w:tab/>
        <w:t xml:space="preserve">The President of CVR, Pierre Claver Ndayicariye, officially announced he wishes to </w:t>
      </w:r>
      <w:r w:rsidR="009345E9">
        <w:t xml:space="preserve">fulfill </w:t>
      </w:r>
      <w:r w:rsidR="009345E9" w:rsidRPr="00E72ABD">
        <w:t xml:space="preserve">the </w:t>
      </w:r>
      <w:r w:rsidR="009345E9">
        <w:t>mandate</w:t>
      </w:r>
      <w:r w:rsidR="009345E9" w:rsidRPr="00E72ABD">
        <w:t xml:space="preserve"> given to the Commission</w:t>
      </w:r>
      <w:r w:rsidR="009345E9">
        <w:t xml:space="preserve"> in order to</w:t>
      </w:r>
      <w:r w:rsidR="009345E9" w:rsidRPr="00E72ABD">
        <w:t xml:space="preserve"> </w:t>
      </w:r>
      <w:r w:rsidRPr="00E72ABD">
        <w:t xml:space="preserve">contribute to the national reconciliation. He admitted that </w:t>
      </w:r>
      <w:r w:rsidRPr="00E72ABD">
        <w:rPr>
          <w:cs/>
        </w:rPr>
        <w:t>“</w:t>
      </w:r>
      <w:r w:rsidRPr="00E72ABD">
        <w:t xml:space="preserve">the burden of such a painful past seriously weighs on the population in general. This burden is so heavy to bear that it materializes exceptionally during specific periods of the year, around 29 April or 21 October, depending on the year and the grieving memories, when some victims’ organizations commemorate in their own way, the sad events which claimed the lives of their loved ones. Looking into the dark side of our history, one thing is obvious: </w:t>
      </w:r>
      <w:r w:rsidR="002E6630">
        <w:t>Burundian</w:t>
      </w:r>
      <w:r w:rsidRPr="00E72ABD">
        <w:t>s from every ethnic group and every region are affected</w:t>
      </w:r>
      <w:r w:rsidRPr="00E72ABD">
        <w:rPr>
          <w:cs/>
        </w:rPr>
        <w:t>”</w:t>
      </w:r>
      <w:r w:rsidR="00411B0E" w:rsidRPr="00E72ABD">
        <w:rPr>
          <w:rFonts w:hint="cs"/>
          <w:cs/>
        </w:rPr>
        <w:t>.</w:t>
      </w:r>
      <w:r w:rsidRPr="00E72ABD">
        <w:rPr>
          <w:rStyle w:val="FootnoteReference"/>
        </w:rPr>
        <w:footnoteReference w:id="442"/>
      </w:r>
    </w:p>
    <w:p w14:paraId="5E43CF0A" w14:textId="623E58B3" w:rsidR="003D5320" w:rsidRPr="00E72ABD" w:rsidRDefault="003D5320" w:rsidP="003D5320">
      <w:pPr>
        <w:pStyle w:val="SingleTxtG"/>
      </w:pPr>
      <w:r w:rsidRPr="00E72ABD">
        <w:t>506.</w:t>
      </w:r>
      <w:r w:rsidRPr="00E72ABD">
        <w:tab/>
        <w:t xml:space="preserve">However, Pierre Claver Ndayicariye is neither known for being impartial, nor independent from the </w:t>
      </w:r>
      <w:r w:rsidR="007F5B89">
        <w:t>Government</w:t>
      </w:r>
      <w:r w:rsidRPr="00E72ABD">
        <w:t xml:space="preserve">. He </w:t>
      </w:r>
      <w:r w:rsidR="00411B0E" w:rsidRPr="00E72ABD">
        <w:t xml:space="preserve">was </w:t>
      </w:r>
      <w:r w:rsidRPr="00E72ABD">
        <w:t>the President of CENI from 2010 to 2015, and therefore organized and supervised</w:t>
      </w:r>
      <w:r w:rsidR="00EF2D2F" w:rsidRPr="00E72ABD">
        <w:t xml:space="preserve"> </w:t>
      </w:r>
      <w:r w:rsidRPr="00E72ABD">
        <w:t>the controversial presidential election of 2015. He recently took a clear stance against journalists who reported human rights violations in Burundi, calling them: “</w:t>
      </w:r>
      <w:r w:rsidR="005D76CB" w:rsidRPr="00E72ABD">
        <w:t>Merchants</w:t>
      </w:r>
      <w:r w:rsidR="00411B0E" w:rsidRPr="00E72ABD">
        <w:t xml:space="preserve"> of lies</w:t>
      </w:r>
      <w:r w:rsidRPr="00E72ABD">
        <w:t>, you are doing a dirty job. You are a shame to humanity</w:t>
      </w:r>
      <w:r w:rsidRPr="00E72ABD">
        <w:rPr>
          <w:cs/>
        </w:rPr>
        <w:t>”</w:t>
      </w:r>
      <w:r w:rsidR="00411B0E" w:rsidRPr="00E72ABD">
        <w:rPr>
          <w:rFonts w:hint="cs"/>
          <w:cs/>
        </w:rPr>
        <w:t>.</w:t>
      </w:r>
      <w:r w:rsidRPr="00E72ABD">
        <w:rPr>
          <w:rStyle w:val="FootnoteReference"/>
        </w:rPr>
        <w:footnoteReference w:id="443"/>
      </w:r>
      <w:r w:rsidRPr="00E72ABD">
        <w:t xml:space="preserve"> In April 2019, he stated: </w:t>
      </w:r>
      <w:r w:rsidRPr="00E72ABD">
        <w:rPr>
          <w:cs/>
        </w:rPr>
        <w:t>“</w:t>
      </w:r>
      <w:r w:rsidRPr="00E72ABD">
        <w:t xml:space="preserve">Between April and May 2015, political and diplomatic manipulation received substantial funding in Burundi. The intensification of the plot against </w:t>
      </w:r>
      <w:r w:rsidR="002E6630">
        <w:t>Burundian</w:t>
      </w:r>
      <w:r w:rsidRPr="00E72ABD">
        <w:t xml:space="preserve"> people passed through media disinformation</w:t>
      </w:r>
      <w:r w:rsidRPr="00E72ABD">
        <w:rPr>
          <w:cs/>
        </w:rPr>
        <w:t>”</w:t>
      </w:r>
      <w:r w:rsidR="00411B0E" w:rsidRPr="00E72ABD">
        <w:rPr>
          <w:rFonts w:hint="cs"/>
          <w:cs/>
        </w:rPr>
        <w:t>.</w:t>
      </w:r>
      <w:r w:rsidRPr="00E72ABD">
        <w:rPr>
          <w:rStyle w:val="FootnoteReference"/>
        </w:rPr>
        <w:footnoteReference w:id="444"/>
      </w:r>
      <w:r w:rsidRPr="00E72ABD">
        <w:t xml:space="preserve"> Such statements as well as his past allegiance raise </w:t>
      </w:r>
      <w:r w:rsidR="00411B0E" w:rsidRPr="00E72ABD">
        <w:t xml:space="preserve">some </w:t>
      </w:r>
      <w:r w:rsidRPr="00E72ABD">
        <w:t xml:space="preserve">doubts about his ability to adequately accomplish his task in an independent, impartial, and neutral manner, especially when it comes to recording historical facts which </w:t>
      </w:r>
      <w:r w:rsidR="005D76CB" w:rsidRPr="00E72ABD">
        <w:t>c</w:t>
      </w:r>
      <w:r w:rsidR="00411B0E" w:rsidRPr="00E72ABD">
        <w:t xml:space="preserve">ould </w:t>
      </w:r>
      <w:r w:rsidRPr="00E72ABD">
        <w:t xml:space="preserve">finally help </w:t>
      </w:r>
      <w:r w:rsidR="002E6630">
        <w:t>Burundian</w:t>
      </w:r>
      <w:r w:rsidRPr="00E72ABD">
        <w:t xml:space="preserve"> achieve a common vision of events that </w:t>
      </w:r>
      <w:r w:rsidR="00411B0E" w:rsidRPr="00E72ABD">
        <w:t xml:space="preserve">could </w:t>
      </w:r>
      <w:r w:rsidRPr="00E72ABD">
        <w:t>be taught to future generations.</w:t>
      </w:r>
    </w:p>
    <w:p w14:paraId="6A6AA87E" w14:textId="77777777" w:rsidR="003D5320" w:rsidRPr="00E72ABD" w:rsidRDefault="003D5320" w:rsidP="003D5320">
      <w:pPr>
        <w:pStyle w:val="H4G"/>
      </w:pPr>
      <w:r w:rsidRPr="00E72ABD">
        <w:tab/>
        <w:t>c)</w:t>
      </w:r>
      <w:r w:rsidRPr="00E72ABD">
        <w:tab/>
        <w:t>Teaching of history in Burundi</w:t>
      </w:r>
    </w:p>
    <w:p w14:paraId="18CEDF44" w14:textId="33548D69" w:rsidR="003D5320" w:rsidRPr="00E72ABD" w:rsidRDefault="003D5320" w:rsidP="003D5320">
      <w:pPr>
        <w:pStyle w:val="SingleTxtG"/>
      </w:pPr>
      <w:r w:rsidRPr="00E72ABD">
        <w:t>507.</w:t>
      </w:r>
      <w:r w:rsidRPr="00E72ABD">
        <w:tab/>
        <w:t xml:space="preserve">Teaching history as a school subject is generally a means to convey </w:t>
      </w:r>
      <w:r w:rsidRPr="00E72ABD">
        <w:rPr>
          <w:cs/>
        </w:rPr>
        <w:t>“</w:t>
      </w:r>
      <w:r w:rsidRPr="00E72ABD">
        <w:t>collective memory</w:t>
      </w:r>
      <w:r w:rsidRPr="00E72ABD">
        <w:rPr>
          <w:cs/>
        </w:rPr>
        <w:t xml:space="preserve">” </w:t>
      </w:r>
      <w:r w:rsidRPr="00E72ABD">
        <w:t xml:space="preserve">or </w:t>
      </w:r>
      <w:r w:rsidRPr="00E72ABD">
        <w:rPr>
          <w:cs/>
        </w:rPr>
        <w:t>“</w:t>
      </w:r>
      <w:r w:rsidRPr="00E72ABD">
        <w:t>collective identity</w:t>
      </w:r>
      <w:r w:rsidRPr="00E72ABD">
        <w:rPr>
          <w:cs/>
        </w:rPr>
        <w:t xml:space="preserve">” </w:t>
      </w:r>
      <w:r w:rsidRPr="00E72ABD">
        <w:t xml:space="preserve">which helps to develop social cohesion through a sense of belonging alongside values that are a foundation of a national identity. Several countries whose history has been marked by difficulties and dissensions have decided not to teach history at all, or to teach </w:t>
      </w:r>
      <w:r w:rsidR="00411B0E" w:rsidRPr="00E72ABD">
        <w:t>only t</w:t>
      </w:r>
      <w:r w:rsidRPr="00E72ABD">
        <w:t xml:space="preserve">he pre-conflict period. However, </w:t>
      </w:r>
      <w:r w:rsidR="00411B0E" w:rsidRPr="00E72ABD">
        <w:t xml:space="preserve">such </w:t>
      </w:r>
      <w:r w:rsidRPr="00E72ABD">
        <w:t>measure</w:t>
      </w:r>
      <w:r w:rsidR="00411B0E" w:rsidRPr="00E72ABD">
        <w:t>s</w:t>
      </w:r>
      <w:r w:rsidRPr="00E72ABD">
        <w:t xml:space="preserve"> do not prevent the prevalence of often </w:t>
      </w:r>
      <w:r w:rsidR="00411B0E" w:rsidRPr="00E72ABD">
        <w:t>selective</w:t>
      </w:r>
      <w:r w:rsidRPr="00E72ABD">
        <w:t>, traumatizing, and dramatic informal recounts in family settings and communities, thereby perpetuating former divisions and stereotypes, and instilling fear and mistrust</w:t>
      </w:r>
      <w:r w:rsidR="00411B0E" w:rsidRPr="00E72ABD">
        <w:t>.</w:t>
      </w:r>
      <w:r w:rsidRPr="00E72ABD">
        <w:rPr>
          <w:rStyle w:val="FootnoteReference"/>
        </w:rPr>
        <w:footnoteReference w:id="445"/>
      </w:r>
      <w:r w:rsidRPr="00E72ABD">
        <w:t xml:space="preserve"> For instance, refugees who were victims of atrocity crimes and who lost their properties in 1972, have created narratives that circulate in refugee camps in Tanzania. These narratives tend to foster ethnic divisions and related stereotypes in a climate of fear, victimization and suspicion. This narrative was brought into Burundi after the civil war and can be heard in many speeches of current </w:t>
      </w:r>
      <w:r w:rsidR="007F5B89">
        <w:t>Government</w:t>
      </w:r>
      <w:r w:rsidRPr="00E72ABD">
        <w:t xml:space="preserve"> officials</w:t>
      </w:r>
      <w:r w:rsidR="0099778A" w:rsidRPr="00E72ABD">
        <w:t>.</w:t>
      </w:r>
      <w:r w:rsidRPr="00E72ABD">
        <w:rPr>
          <w:rStyle w:val="FootnoteReference"/>
        </w:rPr>
        <w:footnoteReference w:id="446"/>
      </w:r>
    </w:p>
    <w:p w14:paraId="5357DFFC" w14:textId="6BD253B4" w:rsidR="003D5320" w:rsidRPr="00E72ABD" w:rsidRDefault="003D5320" w:rsidP="003D5320">
      <w:pPr>
        <w:pStyle w:val="SingleTxtG"/>
      </w:pPr>
      <w:r w:rsidRPr="00E72ABD">
        <w:t>508.</w:t>
      </w:r>
      <w:r w:rsidRPr="00E72ABD">
        <w:tab/>
        <w:t>For a long period of time, Burundi chose not to introduce the country</w:t>
      </w:r>
      <w:r w:rsidRPr="00E72ABD">
        <w:rPr>
          <w:cs/>
        </w:rPr>
        <w:t>’</w:t>
      </w:r>
      <w:r w:rsidRPr="00E72ABD">
        <w:t>s recent events into school curriculum</w:t>
      </w:r>
      <w:r w:rsidR="0099778A" w:rsidRPr="00E72ABD">
        <w:t>.</w:t>
      </w:r>
      <w:r w:rsidRPr="00E72ABD">
        <w:rPr>
          <w:rStyle w:val="FootnoteReference"/>
        </w:rPr>
        <w:footnoteReference w:id="447"/>
      </w:r>
      <w:r w:rsidRPr="00E72ABD">
        <w:t xml:space="preserve"> A witness recounts that: </w:t>
      </w:r>
    </w:p>
    <w:p w14:paraId="6D38ADCC" w14:textId="4F2FCB83" w:rsidR="003D5320" w:rsidRPr="00E72ABD" w:rsidRDefault="003D5320" w:rsidP="003D5320">
      <w:pPr>
        <w:pStyle w:val="SingleTxtG"/>
        <w:ind w:left="1701"/>
      </w:pPr>
      <w:r w:rsidRPr="00E72ABD">
        <w:rPr>
          <w:i/>
          <w:cs/>
        </w:rPr>
        <w:t>“</w:t>
      </w:r>
      <w:r w:rsidRPr="00E72ABD">
        <w:rPr>
          <w:i/>
        </w:rPr>
        <w:t xml:space="preserve">History curriculum was elaborated many years ago [...] I studied history in 1997 and I know it has not changed since then. In this school curriculum, students are taught the various successions of kings right up to the last one in 1961 and the </w:t>
      </w:r>
      <w:r w:rsidR="0099778A" w:rsidRPr="00E72ABD">
        <w:rPr>
          <w:i/>
        </w:rPr>
        <w:t xml:space="preserve">Presidents </w:t>
      </w:r>
      <w:r w:rsidRPr="00E72ABD">
        <w:rPr>
          <w:i/>
        </w:rPr>
        <w:t>who served, but all that happened after 1962 is left out</w:t>
      </w:r>
      <w:r w:rsidRPr="00E72ABD">
        <w:rPr>
          <w:i/>
          <w:cs/>
        </w:rPr>
        <w:t>”</w:t>
      </w:r>
      <w:r w:rsidR="0099778A" w:rsidRPr="00E72ABD">
        <w:rPr>
          <w:rFonts w:hint="cs"/>
          <w:i/>
          <w:cs/>
        </w:rPr>
        <w:t>.</w:t>
      </w:r>
      <w:r w:rsidRPr="00E72ABD">
        <w:rPr>
          <w:rStyle w:val="FootnoteReference"/>
          <w:i/>
        </w:rPr>
        <w:footnoteReference w:id="448"/>
      </w:r>
    </w:p>
    <w:p w14:paraId="3270507D" w14:textId="074DBA54" w:rsidR="003D5320" w:rsidRPr="00E72ABD" w:rsidRDefault="003D5320" w:rsidP="003D5320">
      <w:pPr>
        <w:pStyle w:val="SingleTxtG"/>
      </w:pPr>
      <w:r w:rsidRPr="00E72ABD">
        <w:t>509.</w:t>
      </w:r>
      <w:r w:rsidRPr="00E72ABD">
        <w:tab/>
        <w:t xml:space="preserve">Since CNDD-FDD took power, </w:t>
      </w:r>
      <w:r w:rsidR="0099778A" w:rsidRPr="00E72ABD">
        <w:t xml:space="preserve">and </w:t>
      </w:r>
      <w:r w:rsidRPr="00E72ABD">
        <w:t xml:space="preserve">especially since the 2015 crisis, some teachers have been discussing the 1973 and 1993 crises, which are not officially in the school curriculum. They usually do it of their own volition with the political objective of convincing students of the need to maintain CNDD-FDD in power, and of recruiting them into the party. Similar </w:t>
      </w:r>
      <w:r w:rsidR="00D1497B" w:rsidRPr="00E72ABD">
        <w:t>approaches</w:t>
      </w:r>
      <w:r w:rsidRPr="00E72ABD">
        <w:t xml:space="preserve"> are very common in countries led by authoritarian regimes or in conflict countries as they tend to politicise the teaching of history </w:t>
      </w:r>
      <w:r w:rsidRPr="00E72ABD">
        <w:rPr>
          <w:cs/>
        </w:rPr>
        <w:t>“</w:t>
      </w:r>
      <w:r w:rsidRPr="00E72ABD">
        <w:t>by intentionally using biased statements to create division in a bid to perpetuate enabling circumstances to maintain a status quo in the current distribution of power (political and economic) in place. In this case, education is used as a tool to create and develop social cleavages which constitute the root cause of intolerance, resentment, reinforced inequalities and forms of marginalisation (since access to education and curricula has been altered), thereby increasing risks of future atrocity crimes and violence</w:t>
      </w:r>
      <w:r w:rsidRPr="00E72ABD">
        <w:rPr>
          <w:cs/>
        </w:rPr>
        <w:t>”</w:t>
      </w:r>
      <w:r w:rsidR="0099778A" w:rsidRPr="00E72ABD">
        <w:rPr>
          <w:rFonts w:hint="cs"/>
          <w:cs/>
        </w:rPr>
        <w:t>.</w:t>
      </w:r>
      <w:r w:rsidRPr="00E72ABD">
        <w:rPr>
          <w:rStyle w:val="FootnoteReference"/>
        </w:rPr>
        <w:footnoteReference w:id="449"/>
      </w:r>
      <w:r w:rsidRPr="00E72ABD">
        <w:t xml:space="preserve"> A witness reported on the content of recent lessons that:</w:t>
      </w:r>
    </w:p>
    <w:p w14:paraId="19CC9C1C" w14:textId="538BA39F" w:rsidR="003D5320" w:rsidRPr="00E72ABD" w:rsidRDefault="003D5320" w:rsidP="003D5320">
      <w:pPr>
        <w:pStyle w:val="SingleTxtG"/>
        <w:ind w:left="1701"/>
        <w:rPr>
          <w:i/>
        </w:rPr>
      </w:pPr>
      <w:r w:rsidRPr="00E72ABD">
        <w:rPr>
          <w:i/>
          <w:cs/>
        </w:rPr>
        <w:t xml:space="preserve"> “</w:t>
      </w:r>
      <w:r w:rsidRPr="00E72ABD">
        <w:rPr>
          <w:i/>
        </w:rPr>
        <w:t xml:space="preserve">[The history teacher] explained the history of Burundi in a way that portrays CNDD-FDD as a good thing, but what he said was not all necessarily true. There was a crisis in 1972 in Burundi which claimed the lives of many on both sides, and many Hutus fled the country to resettle elsewhere as refugees. [The </w:t>
      </w:r>
      <w:r w:rsidR="007A40BA">
        <w:rPr>
          <w:i/>
        </w:rPr>
        <w:t>h</w:t>
      </w:r>
      <w:r w:rsidRPr="00E72ABD">
        <w:rPr>
          <w:i/>
        </w:rPr>
        <w:t>istory teacher] tells students [...] that the Tutsis beheaded the Hutus, seized their property and drove them out of the country. [...] He then went on to invite students to join CNDD-FDD, because it is thanks to this party that the Hutus can live peacefully in the country [...] He always blamed the Tutsis for what happened without mentioning what the Hutus themselves did. What he says about the Tutsis is correct, but not saying what the Hutus did is evidence that they want to portray CNDD-FDD party as good and Tutsis as bad</w:t>
      </w:r>
      <w:r w:rsidRPr="00E72ABD">
        <w:rPr>
          <w:i/>
          <w:cs/>
        </w:rPr>
        <w:t>”</w:t>
      </w:r>
      <w:r w:rsidR="0099778A" w:rsidRPr="00E72ABD">
        <w:rPr>
          <w:rFonts w:hint="cs"/>
          <w:i/>
          <w:cs/>
        </w:rPr>
        <w:t>.</w:t>
      </w:r>
      <w:r w:rsidRPr="00E72ABD">
        <w:rPr>
          <w:rStyle w:val="FootnoteReference"/>
          <w:i/>
        </w:rPr>
        <w:footnoteReference w:id="450"/>
      </w:r>
    </w:p>
    <w:p w14:paraId="598DA9B3" w14:textId="431C4876" w:rsidR="003D5320" w:rsidRPr="00E72ABD" w:rsidRDefault="003D5320" w:rsidP="003D5320">
      <w:pPr>
        <w:pStyle w:val="H4G"/>
      </w:pPr>
      <w:r w:rsidRPr="00E72ABD">
        <w:tab/>
        <w:t>d)</w:t>
      </w:r>
      <w:r w:rsidRPr="00E72ABD">
        <w:tab/>
      </w:r>
      <w:r w:rsidR="0099778A" w:rsidRPr="00E72ABD">
        <w:t xml:space="preserve">Use </w:t>
      </w:r>
      <w:r w:rsidRPr="00E72ABD">
        <w:t>of history to achieve political gains</w:t>
      </w:r>
    </w:p>
    <w:p w14:paraId="2AB41577" w14:textId="32FB1B3A" w:rsidR="003D5320" w:rsidRPr="00E72ABD" w:rsidRDefault="003D5320" w:rsidP="003D5320">
      <w:pPr>
        <w:pStyle w:val="SingleTxtG"/>
      </w:pPr>
      <w:r w:rsidRPr="00E72ABD">
        <w:t>510.</w:t>
      </w:r>
      <w:r w:rsidRPr="00E72ABD">
        <w:tab/>
        <w:t>There is a version of the country</w:t>
      </w:r>
      <w:r w:rsidRPr="00E72ABD">
        <w:rPr>
          <w:cs/>
        </w:rPr>
        <w:t>’</w:t>
      </w:r>
      <w:r w:rsidRPr="00E72ABD">
        <w:t xml:space="preserve">s history which has been established as true and disseminated by the Head of State himself, especially during his moralization sessions where he teaches the </w:t>
      </w:r>
      <w:r w:rsidRPr="00E72ABD">
        <w:rPr>
          <w:cs/>
        </w:rPr>
        <w:t>“</w:t>
      </w:r>
      <w:r w:rsidRPr="00E72ABD">
        <w:t>true</w:t>
      </w:r>
      <w:r w:rsidRPr="00E72ABD">
        <w:rPr>
          <w:cs/>
        </w:rPr>
        <w:t xml:space="preserve">” </w:t>
      </w:r>
      <w:r w:rsidRPr="00E72ABD">
        <w:t xml:space="preserve">history of Burundi. He explained that: </w:t>
      </w:r>
      <w:r w:rsidRPr="00E72ABD">
        <w:rPr>
          <w:cs/>
        </w:rPr>
        <w:t>“</w:t>
      </w:r>
      <w:r w:rsidRPr="00E72ABD">
        <w:t xml:space="preserve">through the patriotic and civic education training programme, we have helped </w:t>
      </w:r>
      <w:r w:rsidR="002E6630">
        <w:t>Burundian</w:t>
      </w:r>
      <w:r w:rsidRPr="00E72ABD">
        <w:t>s to separate the wheat from the chaff, to know the secrets and history of our country, and encouraged them to leave a strong legacy behind</w:t>
      </w:r>
      <w:r w:rsidRPr="00E72ABD">
        <w:rPr>
          <w:cs/>
        </w:rPr>
        <w:t>”</w:t>
      </w:r>
      <w:r w:rsidR="0099778A" w:rsidRPr="00E72ABD">
        <w:rPr>
          <w:rFonts w:hint="cs"/>
          <w:cs/>
        </w:rPr>
        <w:t>.</w:t>
      </w:r>
      <w:r w:rsidRPr="00E72ABD">
        <w:rPr>
          <w:rStyle w:val="FootnoteReference"/>
        </w:rPr>
        <w:footnoteReference w:id="451"/>
      </w:r>
      <w:r w:rsidRPr="00E72ABD">
        <w:t xml:space="preserve"> He also stated that </w:t>
      </w:r>
      <w:r w:rsidRPr="00E72ABD">
        <w:rPr>
          <w:cs/>
        </w:rPr>
        <w:t>“</w:t>
      </w:r>
      <w:r w:rsidRPr="00E72ABD">
        <w:t xml:space="preserve">from 1962 through 1993, despite being independent, </w:t>
      </w:r>
      <w:r w:rsidR="002E6630">
        <w:t>Burundian</w:t>
      </w:r>
      <w:r w:rsidRPr="00E72ABD">
        <w:t xml:space="preserve">s had not enjoyed the freedom they so longed for. Strangers still had a strong grip on Burundi. This could be seen through regimes that were supported by colonisers and brought to power through military coups, not allowing citizens the least opportunity to manage their affairs themselves. Since these regimes were characterized by dictatorship and all sorts of social discrimination as in the colonial era [...] the battle to regain and maintain an effective independence continued. Thus, patriotic </w:t>
      </w:r>
      <w:r w:rsidR="002E6630">
        <w:t>Burundian</w:t>
      </w:r>
      <w:r w:rsidRPr="00E72ABD">
        <w:t>s demonstrated once again in 2005 that they wanted their independence by getting rid of dictatorial regimes which had taken power by force</w:t>
      </w:r>
      <w:r w:rsidRPr="00E72ABD">
        <w:rPr>
          <w:cs/>
        </w:rPr>
        <w:t>”</w:t>
      </w:r>
      <w:r w:rsidR="0099778A" w:rsidRPr="00E72ABD">
        <w:rPr>
          <w:rFonts w:hint="cs"/>
          <w:cs/>
        </w:rPr>
        <w:t>.</w:t>
      </w:r>
      <w:r w:rsidRPr="00E72ABD">
        <w:rPr>
          <w:rStyle w:val="FootnoteReference"/>
        </w:rPr>
        <w:footnoteReference w:id="452"/>
      </w:r>
      <w:r w:rsidRPr="00E72ABD">
        <w:t xml:space="preserve"> </w:t>
      </w:r>
    </w:p>
    <w:p w14:paraId="59A83D1D" w14:textId="74EDBD7C" w:rsidR="003D5320" w:rsidRPr="00E72ABD" w:rsidRDefault="003D5320" w:rsidP="003D5320">
      <w:pPr>
        <w:pStyle w:val="SingleTxtG"/>
      </w:pPr>
      <w:r w:rsidRPr="00E72ABD">
        <w:t>511.</w:t>
      </w:r>
      <w:r w:rsidRPr="00E72ABD">
        <w:tab/>
        <w:t xml:space="preserve">Other persons close to the </w:t>
      </w:r>
      <w:r w:rsidR="007F5B89">
        <w:t>Government</w:t>
      </w:r>
      <w:r w:rsidRPr="00E72ABD">
        <w:t xml:space="preserve"> have also relayed simplified versions of the country</w:t>
      </w:r>
      <w:r w:rsidRPr="00E72ABD">
        <w:rPr>
          <w:cs/>
        </w:rPr>
        <w:t>’</w:t>
      </w:r>
      <w:r w:rsidRPr="00E72ABD">
        <w:t xml:space="preserve">s recent history </w:t>
      </w:r>
      <w:r w:rsidR="0099778A" w:rsidRPr="00E72ABD">
        <w:t>ali</w:t>
      </w:r>
      <w:r w:rsidR="007153BA" w:rsidRPr="00E72ABD">
        <w:t>g</w:t>
      </w:r>
      <w:r w:rsidR="0099778A" w:rsidRPr="00E72ABD">
        <w:t xml:space="preserve">ned </w:t>
      </w:r>
      <w:r w:rsidR="007153BA" w:rsidRPr="00E72ABD">
        <w:t>with</w:t>
      </w:r>
      <w:r w:rsidR="0099778A" w:rsidRPr="00E72ABD">
        <w:t xml:space="preserve"> </w:t>
      </w:r>
      <w:r w:rsidRPr="00E72ABD">
        <w:t>the President</w:t>
      </w:r>
      <w:r w:rsidR="0099778A" w:rsidRPr="00E72ABD">
        <w:t>’s narrative</w:t>
      </w:r>
      <w:r w:rsidR="002402A0" w:rsidRPr="00E72ABD">
        <w:t xml:space="preserve"> that</w:t>
      </w:r>
      <w:r w:rsidRPr="00E72ABD">
        <w:t xml:space="preserve"> Burundi achieved real independence only after CNDD-FDD came to power in 2005, all previous </w:t>
      </w:r>
      <w:r w:rsidR="007F5B89">
        <w:t>Government</w:t>
      </w:r>
      <w:r w:rsidRPr="00E72ABD">
        <w:t xml:space="preserve">s </w:t>
      </w:r>
      <w:r w:rsidR="002402A0" w:rsidRPr="00E72ABD">
        <w:t>being label</w:t>
      </w:r>
      <w:r w:rsidRPr="00E72ABD">
        <w:t xml:space="preserve">led </w:t>
      </w:r>
      <w:r w:rsidR="002402A0" w:rsidRPr="00E72ABD">
        <w:t xml:space="preserve">as </w:t>
      </w:r>
      <w:r w:rsidRPr="00E72ABD">
        <w:t xml:space="preserve">“putschist, genocidal, or dictatorial </w:t>
      </w:r>
      <w:r w:rsidR="007F5B89">
        <w:t>Government</w:t>
      </w:r>
      <w:r w:rsidRPr="00E72ABD">
        <w:t>s, marked by nepotism</w:t>
      </w:r>
      <w:r w:rsidRPr="00E72ABD">
        <w:rPr>
          <w:cs/>
        </w:rPr>
        <w:t>”</w:t>
      </w:r>
      <w:r w:rsidR="002402A0" w:rsidRPr="00E72ABD">
        <w:rPr>
          <w:rFonts w:hint="cs"/>
          <w:cs/>
        </w:rPr>
        <w:t>.</w:t>
      </w:r>
      <w:r w:rsidRPr="00E72ABD">
        <w:rPr>
          <w:rStyle w:val="FootnoteReference"/>
        </w:rPr>
        <w:footnoteReference w:id="453"/>
      </w:r>
      <w:r w:rsidRPr="00E72ABD">
        <w:t xml:space="preserve"> </w:t>
      </w:r>
    </w:p>
    <w:p w14:paraId="263D54EF" w14:textId="25ABCB48" w:rsidR="003D5320" w:rsidRPr="00E72ABD" w:rsidRDefault="003D5320" w:rsidP="003D5320">
      <w:pPr>
        <w:pStyle w:val="SingleTxtG"/>
      </w:pPr>
      <w:r w:rsidRPr="00E72ABD">
        <w:t>512.</w:t>
      </w:r>
      <w:r w:rsidRPr="00E72ABD">
        <w:tab/>
        <w:t>In the presentation of chronological historical facts in Burundi by the President</w:t>
      </w:r>
      <w:r w:rsidRPr="00E72ABD">
        <w:rPr>
          <w:cs/>
        </w:rPr>
        <w:t>’</w:t>
      </w:r>
      <w:r w:rsidRPr="00E72ABD">
        <w:t xml:space="preserve">s Communication Adviser during </w:t>
      </w:r>
      <w:r w:rsidR="002402A0" w:rsidRPr="00E72ABD">
        <w:t xml:space="preserve">a </w:t>
      </w:r>
      <w:r w:rsidRPr="00E72ABD">
        <w:t>Conference on the 2020 election</w:t>
      </w:r>
      <w:r w:rsidR="002402A0" w:rsidRPr="00E72ABD">
        <w:t>s</w:t>
      </w:r>
      <w:r w:rsidRPr="00E72ABD">
        <w:t xml:space="preserve">, held in Gitega on August 2019, there was an obvious imbalance </w:t>
      </w:r>
      <w:r w:rsidR="007A40BA">
        <w:t>in the manner to present</w:t>
      </w:r>
      <w:r w:rsidRPr="00E72ABD">
        <w:t xml:space="preserve"> Hutus and Tutsis victims:</w:t>
      </w:r>
    </w:p>
    <w:p w14:paraId="19F00EAC" w14:textId="77777777" w:rsidR="003D5320" w:rsidRPr="00E72ABD" w:rsidRDefault="003D5320" w:rsidP="003D5320">
      <w:pPr>
        <w:pStyle w:val="SingleTxtG"/>
        <w:ind w:left="1701"/>
        <w:rPr>
          <w:i/>
        </w:rPr>
      </w:pPr>
      <w:r w:rsidRPr="00E72ABD">
        <w:rPr>
          <w:cs/>
        </w:rPr>
        <w:t>“</w:t>
      </w:r>
      <w:r w:rsidRPr="00E72ABD">
        <w:rPr>
          <w:i/>
        </w:rPr>
        <w:t xml:space="preserve">1965 - Decapitated democracy </w:t>
      </w:r>
    </w:p>
    <w:p w14:paraId="296F98A7" w14:textId="32B7E74D" w:rsidR="003D5320" w:rsidRPr="00E72ABD" w:rsidRDefault="003D5320" w:rsidP="003D5320">
      <w:pPr>
        <w:pStyle w:val="SingleTxtG"/>
        <w:ind w:left="1701"/>
        <w:rPr>
          <w:i/>
        </w:rPr>
      </w:pPr>
      <w:r w:rsidRPr="00E72ABD">
        <w:rPr>
          <w:i/>
        </w:rPr>
        <w:t xml:space="preserve">1969 - Killing of high-ranking </w:t>
      </w:r>
      <w:r w:rsidR="00D1497B" w:rsidRPr="00E72ABD">
        <w:rPr>
          <w:i/>
        </w:rPr>
        <w:t>Hutu</w:t>
      </w:r>
      <w:r w:rsidRPr="00E72ABD">
        <w:rPr>
          <w:i/>
        </w:rPr>
        <w:t xml:space="preserve"> military officials </w:t>
      </w:r>
    </w:p>
    <w:p w14:paraId="3940130A" w14:textId="77777777" w:rsidR="003D5320" w:rsidRPr="00E72ABD" w:rsidRDefault="003D5320" w:rsidP="003D5320">
      <w:pPr>
        <w:pStyle w:val="SingleTxtG"/>
        <w:ind w:left="1701"/>
        <w:rPr>
          <w:i/>
        </w:rPr>
      </w:pPr>
      <w:r w:rsidRPr="00E72ABD">
        <w:rPr>
          <w:i/>
        </w:rPr>
        <w:t>1972 - Hutu genocide (300.000 Hutus &amp; 5.000 Tutsis)</w:t>
      </w:r>
    </w:p>
    <w:p w14:paraId="6A272E56" w14:textId="77777777" w:rsidR="003D5320" w:rsidRPr="00E72ABD" w:rsidRDefault="003D5320" w:rsidP="003D5320">
      <w:pPr>
        <w:pStyle w:val="SingleTxtG"/>
        <w:ind w:left="1701"/>
        <w:rPr>
          <w:i/>
        </w:rPr>
      </w:pPr>
      <w:r w:rsidRPr="00E72ABD">
        <w:rPr>
          <w:i/>
        </w:rPr>
        <w:t>1988 - More than 50,000 Hutus killed by napalm</w:t>
      </w:r>
    </w:p>
    <w:p w14:paraId="7C2992EC" w14:textId="77777777" w:rsidR="003D5320" w:rsidRPr="00E72ABD" w:rsidRDefault="003D5320" w:rsidP="003D5320">
      <w:pPr>
        <w:pStyle w:val="SingleTxtG"/>
        <w:ind w:left="1701"/>
        <w:rPr>
          <w:i/>
        </w:rPr>
      </w:pPr>
      <w:r w:rsidRPr="00E72ABD">
        <w:rPr>
          <w:i/>
        </w:rPr>
        <w:t>1993 - Decapitated democracy re-established</w:t>
      </w:r>
    </w:p>
    <w:p w14:paraId="61F66756" w14:textId="7B366A94" w:rsidR="003D5320" w:rsidRPr="00E72ABD" w:rsidRDefault="003D5320" w:rsidP="003D5320">
      <w:pPr>
        <w:pStyle w:val="SingleTxtG"/>
        <w:ind w:left="1701"/>
      </w:pPr>
      <w:r w:rsidRPr="00E72ABD">
        <w:rPr>
          <w:i/>
        </w:rPr>
        <w:t>2015 - Failed military coup</w:t>
      </w:r>
      <w:r w:rsidRPr="00E72ABD">
        <w:rPr>
          <w:cs/>
        </w:rPr>
        <w:t>”</w:t>
      </w:r>
      <w:r w:rsidR="00076B75" w:rsidRPr="00E72ABD">
        <w:rPr>
          <w:rFonts w:hint="cs"/>
          <w:cs/>
        </w:rPr>
        <w:t>.</w:t>
      </w:r>
      <w:r w:rsidRPr="00E72ABD">
        <w:rPr>
          <w:rStyle w:val="FootnoteReference"/>
        </w:rPr>
        <w:footnoteReference w:id="454"/>
      </w:r>
    </w:p>
    <w:p w14:paraId="44E734F8" w14:textId="60C03307" w:rsidR="003D5320" w:rsidRPr="00E72ABD" w:rsidRDefault="003D5320" w:rsidP="003D5320">
      <w:pPr>
        <w:pStyle w:val="SingleTxtG"/>
      </w:pPr>
      <w:r w:rsidRPr="00E72ABD">
        <w:t>513.</w:t>
      </w:r>
      <w:r w:rsidRPr="00E72ABD">
        <w:tab/>
      </w:r>
      <w:r w:rsidR="002402A0" w:rsidRPr="00E72ABD">
        <w:t>E</w:t>
      </w:r>
      <w:r w:rsidRPr="00E72ABD">
        <w:t>ach group having its own collective memory and the commemoration of only a few selected events while denying the victimhood of the other group pose a real danger. For example, the commemoration of the massive slaughter of a hundred Hutu students in 1995</w:t>
      </w:r>
      <w:r w:rsidR="002402A0" w:rsidRPr="00E72ABD">
        <w:t xml:space="preserve"> was </w:t>
      </w:r>
      <w:r w:rsidRPr="00E72ABD">
        <w:t>organized in 2019 by the University of Burundi, for which classes were suspended</w:t>
      </w:r>
      <w:r w:rsidR="002402A0" w:rsidRPr="00E72ABD">
        <w:t>.</w:t>
      </w:r>
      <w:r w:rsidRPr="00E72ABD">
        <w:rPr>
          <w:rStyle w:val="FootnoteReference"/>
        </w:rPr>
        <w:footnoteReference w:id="455"/>
      </w:r>
      <w:r w:rsidR="002402A0" w:rsidRPr="00E72ABD">
        <w:t xml:space="preserve"> </w:t>
      </w:r>
      <w:r w:rsidR="007153BA" w:rsidRPr="00E72ABD">
        <w:t>On</w:t>
      </w:r>
      <w:r w:rsidR="002402A0" w:rsidRPr="00E72ABD">
        <w:t xml:space="preserve"> this occasion, t</w:t>
      </w:r>
      <w:r w:rsidRPr="00E72ABD">
        <w:t>he Association of Survivors of the June 1995 massacre decided to erect a memorial plaque, even though this runs counter to the will of CVR to have a common remembrance place for all victims</w:t>
      </w:r>
      <w:r w:rsidR="002402A0" w:rsidRPr="00E72ABD">
        <w:t>.</w:t>
      </w:r>
      <w:r w:rsidRPr="00E72ABD">
        <w:rPr>
          <w:rStyle w:val="FootnoteReference"/>
        </w:rPr>
        <w:footnoteReference w:id="456"/>
      </w:r>
    </w:p>
    <w:p w14:paraId="74E7E90E" w14:textId="2B13BE70" w:rsidR="003D5320" w:rsidRPr="00E72ABD" w:rsidRDefault="003D5320" w:rsidP="003D5320">
      <w:pPr>
        <w:pStyle w:val="SingleTxtG"/>
      </w:pPr>
      <w:r w:rsidRPr="00E72ABD">
        <w:t>514.</w:t>
      </w:r>
      <w:r w:rsidRPr="00E72ABD">
        <w:tab/>
        <w:t>The President of the National Council for National Unity and Reconciliation</w:t>
      </w:r>
      <w:r w:rsidRPr="00E72ABD">
        <w:rPr>
          <w:rStyle w:val="FootnoteReference"/>
        </w:rPr>
        <w:footnoteReference w:id="457"/>
      </w:r>
      <w:r w:rsidRPr="00E72ABD">
        <w:t xml:space="preserve">, Ambassador Guillaume Ruzoviyo, obviously foresaw this danger as he </w:t>
      </w:r>
      <w:r w:rsidR="002402A0" w:rsidRPr="00E72ABD">
        <w:t xml:space="preserve">called for </w:t>
      </w:r>
      <w:r w:rsidR="007153BA" w:rsidRPr="00E72ABD">
        <w:t xml:space="preserve">the </w:t>
      </w:r>
      <w:r w:rsidR="002402A0" w:rsidRPr="00E72ABD">
        <w:t>establish</w:t>
      </w:r>
      <w:r w:rsidR="007153BA" w:rsidRPr="00E72ABD">
        <w:t>ment of</w:t>
      </w:r>
      <w:r w:rsidR="002402A0" w:rsidRPr="00E72ABD">
        <w:t xml:space="preserve"> </w:t>
      </w:r>
      <w:r w:rsidRPr="00E72ABD">
        <w:t>“</w:t>
      </w:r>
      <w:r w:rsidR="002402A0" w:rsidRPr="00E72ABD">
        <w:t>collective commemoration</w:t>
      </w:r>
      <w:r w:rsidRPr="00E72ABD">
        <w:t xml:space="preserve">” days for past crises in order to speed-up the reconciliation process in Burundi. He emphasised that </w:t>
      </w:r>
      <w:r w:rsidRPr="00E72ABD">
        <w:rPr>
          <w:cs/>
        </w:rPr>
        <w:t>“</w:t>
      </w:r>
      <w:r w:rsidRPr="00E72ABD">
        <w:t xml:space="preserve">commemorations based on ethnic motives where each ethnic group will </w:t>
      </w:r>
      <w:r w:rsidR="002402A0" w:rsidRPr="00E72ABD">
        <w:t xml:space="preserve">discreetly </w:t>
      </w:r>
      <w:r w:rsidRPr="00E72ABD">
        <w:t>organize its own commemoration events, need to stop at all costs. [</w:t>
      </w:r>
      <w:r w:rsidRPr="00E72ABD">
        <w:rPr>
          <w:cs/>
        </w:rPr>
        <w:t>…</w:t>
      </w:r>
      <w:r w:rsidRPr="00E72ABD">
        <w:t>] This stage of the national reconciliation process [</w:t>
      </w:r>
      <w:r w:rsidRPr="00E72ABD">
        <w:rPr>
          <w:cs/>
        </w:rPr>
        <w:t>…</w:t>
      </w:r>
      <w:r w:rsidRPr="00E72ABD">
        <w:t xml:space="preserve">] could be consolidated through the erection of </w:t>
      </w:r>
      <w:r w:rsidRPr="00E72ABD">
        <w:rPr>
          <w:cs/>
        </w:rPr>
        <w:t>‘</w:t>
      </w:r>
      <w:r w:rsidRPr="00E72ABD">
        <w:t>collective monuments of national importance</w:t>
      </w:r>
      <w:r w:rsidRPr="00E72ABD">
        <w:rPr>
          <w:cs/>
        </w:rPr>
        <w:t xml:space="preserve">’ </w:t>
      </w:r>
      <w:r w:rsidRPr="00E72ABD">
        <w:t>for past crises</w:t>
      </w:r>
      <w:r w:rsidRPr="00E72ABD">
        <w:rPr>
          <w:cs/>
        </w:rPr>
        <w:t>”</w:t>
      </w:r>
      <w:r w:rsidR="00241146" w:rsidRPr="00E72ABD">
        <w:rPr>
          <w:rFonts w:hint="cs"/>
          <w:cs/>
        </w:rPr>
        <w:t>.</w:t>
      </w:r>
      <w:r w:rsidRPr="00E72ABD">
        <w:rPr>
          <w:rStyle w:val="FootnoteReference"/>
        </w:rPr>
        <w:footnoteReference w:id="458"/>
      </w:r>
    </w:p>
    <w:p w14:paraId="7FE4AB8D" w14:textId="58CA97D4" w:rsidR="003D5320" w:rsidRPr="00E72ABD" w:rsidRDefault="003D5320" w:rsidP="003D5320">
      <w:pPr>
        <w:pStyle w:val="SingleTxtG"/>
      </w:pPr>
      <w:r w:rsidRPr="00E72ABD">
        <w:t>515.</w:t>
      </w:r>
      <w:r w:rsidRPr="00E72ABD">
        <w:tab/>
        <w:t xml:space="preserve">The adoption of an official </w:t>
      </w:r>
      <w:r w:rsidR="00241146" w:rsidRPr="00E72ABD">
        <w:t xml:space="preserve">selective </w:t>
      </w:r>
      <w:r w:rsidRPr="00E72ABD">
        <w:t>version of the country</w:t>
      </w:r>
      <w:r w:rsidRPr="00E72ABD">
        <w:rPr>
          <w:cs/>
        </w:rPr>
        <w:t>’</w:t>
      </w:r>
      <w:r w:rsidRPr="00E72ABD">
        <w:t xml:space="preserve">s history tends to crystallise past grievances, thereby contributing to maintain divisions which some people may use to achieve their political objectives with the possibility of having serious consequences. For instance, the decision by the President to glorify </w:t>
      </w:r>
      <w:r w:rsidRPr="00E72ABD">
        <w:rPr>
          <w:cs/>
        </w:rPr>
        <w:t>“</w:t>
      </w:r>
      <w:r w:rsidRPr="00E72ABD">
        <w:t>the heroic personality of Lieutenant-General Adolphe Nshimirimana</w:t>
      </w:r>
      <w:r w:rsidRPr="00E72ABD">
        <w:rPr>
          <w:cs/>
        </w:rPr>
        <w:t xml:space="preserve">” </w:t>
      </w:r>
      <w:r w:rsidRPr="00E72ABD">
        <w:t xml:space="preserve">by renaming the road formerly known </w:t>
      </w:r>
      <w:r w:rsidRPr="00E72ABD">
        <w:rPr>
          <w:i/>
        </w:rPr>
        <w:t xml:space="preserve">as route du 3 </w:t>
      </w:r>
      <w:r w:rsidR="00D1497B" w:rsidRPr="00E72ABD">
        <w:rPr>
          <w:i/>
        </w:rPr>
        <w:t>September</w:t>
      </w:r>
      <w:r w:rsidRPr="00E72ABD">
        <w:t xml:space="preserve"> after him</w:t>
      </w:r>
      <w:r w:rsidR="00241146" w:rsidRPr="00E72ABD">
        <w:t>,</w:t>
      </w:r>
      <w:r w:rsidRPr="00E72ABD">
        <w:rPr>
          <w:rStyle w:val="FootnoteReference"/>
        </w:rPr>
        <w:footnoteReference w:id="459"/>
      </w:r>
      <w:r w:rsidRPr="00E72ABD">
        <w:t xml:space="preserve"> despite the fact that this former </w:t>
      </w:r>
      <w:r w:rsidR="00241146" w:rsidRPr="00E72ABD">
        <w:t xml:space="preserve">Head of </w:t>
      </w:r>
      <w:r w:rsidRPr="00E72ABD">
        <w:t>SNR and informal leader of the Imbonerakure, close to President Nkurunziza, who was murdered on 2 August 2015</w:t>
      </w:r>
      <w:r w:rsidR="00241146" w:rsidRPr="00E72ABD">
        <w:t>,</w:t>
      </w:r>
      <w:r w:rsidRPr="00E72ABD">
        <w:t xml:space="preserve"> is a controversial character in Burundi since he was accused by many human rights defenders of being involved in multiple cases of human rights violations, especially since the beginning of the 2015 crisis.</w:t>
      </w:r>
    </w:p>
    <w:p w14:paraId="02964EF7" w14:textId="7032079C" w:rsidR="003D5320" w:rsidRPr="00E72ABD" w:rsidRDefault="003D5320" w:rsidP="003D5320">
      <w:pPr>
        <w:pStyle w:val="SingleTxtG"/>
      </w:pPr>
      <w:r w:rsidRPr="00E72ABD">
        <w:t>516.</w:t>
      </w:r>
      <w:r w:rsidRPr="00E72ABD">
        <w:tab/>
      </w:r>
      <w:r w:rsidR="007153BA" w:rsidRPr="00E72ABD">
        <w:t>The latitude of</w:t>
      </w:r>
      <w:r w:rsidR="00241146" w:rsidRPr="00E72ABD">
        <w:t xml:space="preserve"> </w:t>
      </w:r>
      <w:r w:rsidRPr="00E72ABD">
        <w:t xml:space="preserve">CVR to “rewrite” the country’s recent history in a bid to </w:t>
      </w:r>
      <w:r w:rsidR="00241146" w:rsidRPr="00E72ABD">
        <w:t xml:space="preserve">contribute to the </w:t>
      </w:r>
      <w:r w:rsidRPr="00E72ABD">
        <w:t>national reconciliation therefore appear</w:t>
      </w:r>
      <w:r w:rsidR="00076B75" w:rsidRPr="00E72ABD">
        <w:t>s</w:t>
      </w:r>
      <w:r w:rsidRPr="00E72ABD">
        <w:t xml:space="preserve"> to be </w:t>
      </w:r>
      <w:r w:rsidR="00241146" w:rsidRPr="00E72ABD">
        <w:t>quite limited</w:t>
      </w:r>
      <w:r w:rsidRPr="00E72ABD">
        <w:t>.</w:t>
      </w:r>
    </w:p>
    <w:p w14:paraId="5B600E41" w14:textId="77777777" w:rsidR="003D5320" w:rsidRPr="00E72ABD" w:rsidRDefault="003D5320" w:rsidP="003D5320">
      <w:pPr>
        <w:pStyle w:val="H23G"/>
      </w:pPr>
      <w:r w:rsidRPr="00E72ABD">
        <w:tab/>
        <w:t>4.</w:t>
      </w:r>
      <w:r w:rsidRPr="00E72ABD">
        <w:tab/>
        <w:t>Security uncertainties</w:t>
      </w:r>
    </w:p>
    <w:p w14:paraId="0F0FBA1F" w14:textId="77777777" w:rsidR="003D5320" w:rsidRPr="00E72ABD" w:rsidRDefault="003D5320" w:rsidP="003D5320">
      <w:pPr>
        <w:pStyle w:val="H4G"/>
      </w:pPr>
      <w:r w:rsidRPr="00E72ABD">
        <w:tab/>
        <w:t>a)</w:t>
      </w:r>
      <w:r w:rsidRPr="00E72ABD">
        <w:tab/>
        <w:t>Existence of armed opposition groups</w:t>
      </w:r>
    </w:p>
    <w:p w14:paraId="6963EDF5" w14:textId="4E884FB2" w:rsidR="003D5320" w:rsidRPr="00E72ABD" w:rsidRDefault="003D5320" w:rsidP="003D5320">
      <w:pPr>
        <w:pStyle w:val="SingleTxtG"/>
      </w:pPr>
      <w:r w:rsidRPr="00E72ABD">
        <w:t>517.</w:t>
      </w:r>
      <w:r w:rsidRPr="00E72ABD">
        <w:tab/>
        <w:t xml:space="preserve">Several </w:t>
      </w:r>
      <w:r w:rsidR="002E6630">
        <w:t>Burundian</w:t>
      </w:r>
      <w:r w:rsidRPr="00E72ABD">
        <w:t xml:space="preserve"> armed opposition groups</w:t>
      </w:r>
      <w:r w:rsidR="00076B75" w:rsidRPr="00E72ABD">
        <w:t>,</w:t>
      </w:r>
      <w:r w:rsidRPr="00E72ABD">
        <w:rPr>
          <w:rStyle w:val="FootnoteReference"/>
        </w:rPr>
        <w:footnoteReference w:id="460"/>
      </w:r>
      <w:r w:rsidRPr="00E72ABD">
        <w:t xml:space="preserve"> mostly present in East</w:t>
      </w:r>
      <w:r w:rsidR="00241146" w:rsidRPr="00E72ABD">
        <w:t>ern</w:t>
      </w:r>
      <w:r w:rsidRPr="00E72ABD">
        <w:t xml:space="preserve"> D</w:t>
      </w:r>
      <w:r w:rsidR="00241146" w:rsidRPr="00E72ABD">
        <w:t xml:space="preserve">emocratic </w:t>
      </w:r>
      <w:r w:rsidRPr="00E72ABD">
        <w:t>R</w:t>
      </w:r>
      <w:r w:rsidR="00241146" w:rsidRPr="00E72ABD">
        <w:t xml:space="preserve">epublic of the </w:t>
      </w:r>
      <w:r w:rsidRPr="00E72ABD">
        <w:t>C</w:t>
      </w:r>
      <w:r w:rsidR="00241146" w:rsidRPr="00E72ABD">
        <w:t>ongo (DRC)</w:t>
      </w:r>
      <w:r w:rsidRPr="00E72ABD">
        <w:t xml:space="preserve">, Rwanda, and Uganda announced from time to time that they would resort to taking up arms to </w:t>
      </w:r>
      <w:r w:rsidRPr="00E72ABD">
        <w:rPr>
          <w:cs/>
        </w:rPr>
        <w:t>“</w:t>
      </w:r>
      <w:r w:rsidRPr="00E72ABD">
        <w:t>settle</w:t>
      </w:r>
      <w:r w:rsidRPr="00E72ABD">
        <w:rPr>
          <w:cs/>
        </w:rPr>
        <w:t xml:space="preserve">” </w:t>
      </w:r>
      <w:r w:rsidRPr="00E72ABD">
        <w:t>the situation in Burundi by putting an end to President Nkurunziza</w:t>
      </w:r>
      <w:r w:rsidRPr="00E72ABD">
        <w:rPr>
          <w:cs/>
        </w:rPr>
        <w:t>’</w:t>
      </w:r>
      <w:r w:rsidRPr="00E72ABD">
        <w:t>s regime, especially given the lack of prospective peaceful solution to the crisis which began in 2015</w:t>
      </w:r>
      <w:r w:rsidR="00241146" w:rsidRPr="00E72ABD">
        <w:t xml:space="preserve">, as well as </w:t>
      </w:r>
      <w:r w:rsidRPr="00E72ABD">
        <w:t xml:space="preserve">to </w:t>
      </w:r>
      <w:r w:rsidRPr="00E72ABD">
        <w:rPr>
          <w:cs/>
        </w:rPr>
        <w:t>“</w:t>
      </w:r>
      <w:r w:rsidRPr="00E72ABD">
        <w:t>protect the population</w:t>
      </w:r>
      <w:r w:rsidRPr="00E72ABD">
        <w:rPr>
          <w:cs/>
        </w:rPr>
        <w:t>”</w:t>
      </w:r>
      <w:r w:rsidR="00241146" w:rsidRPr="00E72ABD">
        <w:rPr>
          <w:rFonts w:hint="cs"/>
          <w:cs/>
        </w:rPr>
        <w:t>.</w:t>
      </w:r>
      <w:r w:rsidRPr="00E72ABD">
        <w:rPr>
          <w:rStyle w:val="FootnoteReference"/>
        </w:rPr>
        <w:footnoteReference w:id="461"/>
      </w:r>
      <w:r w:rsidRPr="00E72ABD">
        <w:t xml:space="preserve"> Although the Commission has not received reports of either recent attacks or incidents on the </w:t>
      </w:r>
      <w:r w:rsidR="002E6630">
        <w:t>Burundian</w:t>
      </w:r>
      <w:r w:rsidRPr="00E72ABD">
        <w:t xml:space="preserve"> territory by any of these armed groups, it is very concerned about these announcements and their possible manifestation.</w:t>
      </w:r>
    </w:p>
    <w:p w14:paraId="39ACC0C6" w14:textId="4CFA1295" w:rsidR="003D5320" w:rsidRPr="00E72ABD" w:rsidRDefault="003D5320" w:rsidP="003D5320">
      <w:pPr>
        <w:pStyle w:val="SingleTxtG"/>
      </w:pPr>
      <w:r w:rsidRPr="00E72ABD">
        <w:t>518.</w:t>
      </w:r>
      <w:r w:rsidRPr="00E72ABD">
        <w:tab/>
        <w:t xml:space="preserve">Among the major </w:t>
      </w:r>
      <w:r w:rsidR="002E6630">
        <w:t>Burundian</w:t>
      </w:r>
      <w:r w:rsidRPr="00E72ABD">
        <w:t xml:space="preserve"> armed groups, there is the Resistance Group for the Rule of Law (RED-Tabara) constituted of </w:t>
      </w:r>
      <w:r w:rsidR="002E6630">
        <w:t>Burundian</w:t>
      </w:r>
      <w:r w:rsidRPr="00E72ABD">
        <w:t xml:space="preserve"> citizens, among whom demobilized fighters, police officers and army deserters, including civilian activists and youths from the opposition movement</w:t>
      </w:r>
      <w:r w:rsidR="00241146" w:rsidRPr="00E72ABD">
        <w:t>.</w:t>
      </w:r>
      <w:r w:rsidRPr="00E72ABD">
        <w:rPr>
          <w:rStyle w:val="FootnoteReference"/>
        </w:rPr>
        <w:footnoteReference w:id="462"/>
      </w:r>
      <w:r w:rsidRPr="00E72ABD">
        <w:t xml:space="preserve"> This group has 500 to about 750 men dispatched across three brigades in the DRC</w:t>
      </w:r>
      <w:r w:rsidR="00241146" w:rsidRPr="00E72ABD">
        <w:t>.</w:t>
      </w:r>
      <w:r w:rsidRPr="00E72ABD">
        <w:rPr>
          <w:rStyle w:val="FootnoteReference"/>
        </w:rPr>
        <w:footnoteReference w:id="463"/>
      </w:r>
      <w:r w:rsidRPr="00E72ABD">
        <w:t xml:space="preserve"> Some hours after the</w:t>
      </w:r>
      <w:r w:rsidR="00C82D36">
        <w:t xml:space="preserve"> attack on Ruhagarika, Buganda commune, Cibitoke p</w:t>
      </w:r>
      <w:r w:rsidRPr="00E72ABD">
        <w:t xml:space="preserve">rovince, in the night of 11 to 12 May 2018, which claimed the life of 24 people, </w:t>
      </w:r>
      <w:r w:rsidR="00C82D36">
        <w:t>the Government</w:t>
      </w:r>
      <w:r w:rsidR="00C82D36" w:rsidRPr="00E72ABD">
        <w:t xml:space="preserve"> </w:t>
      </w:r>
      <w:r w:rsidR="00C82D36">
        <w:t xml:space="preserve">accused </w:t>
      </w:r>
      <w:r w:rsidRPr="00E72ABD">
        <w:t xml:space="preserve">RED-Tabara </w:t>
      </w:r>
      <w:r w:rsidR="00241146" w:rsidRPr="00E72ABD">
        <w:t xml:space="preserve">to be </w:t>
      </w:r>
      <w:r w:rsidRPr="00E72ABD">
        <w:t>the perpetrator</w:t>
      </w:r>
      <w:r w:rsidR="00C82D36">
        <w:t>,</w:t>
      </w:r>
      <w:r w:rsidRPr="00E72ABD">
        <w:t xml:space="preserve"> but Red-Tabara rejected that accusation. According to the Group of Experts on DRC, most of RED-Tabaras</w:t>
      </w:r>
      <w:r w:rsidRPr="00E72ABD">
        <w:rPr>
          <w:cs/>
        </w:rPr>
        <w:t xml:space="preserve"> </w:t>
      </w:r>
      <w:r w:rsidRPr="00E72ABD">
        <w:t xml:space="preserve">new recruits </w:t>
      </w:r>
      <w:r w:rsidR="00C82D36">
        <w:t>would</w:t>
      </w:r>
      <w:r w:rsidRPr="00E72ABD">
        <w:t xml:space="preserve"> be coming from Burundi or from </w:t>
      </w:r>
      <w:r w:rsidR="002E6630">
        <w:t>Burundian</w:t>
      </w:r>
      <w:r w:rsidRPr="00E72ABD">
        <w:t xml:space="preserve"> refugee camps, and receive upon arrival in the DRC, some military training including firearms handling and tactics. The RED-Tabara allegedly benefit from the support and funding from contacts in Burundi and other European countries</w:t>
      </w:r>
      <w:r w:rsidR="00241146" w:rsidRPr="00E72ABD">
        <w:t>.</w:t>
      </w:r>
      <w:r w:rsidRPr="00E72ABD">
        <w:rPr>
          <w:rStyle w:val="FootnoteReference"/>
        </w:rPr>
        <w:footnoteReference w:id="464"/>
      </w:r>
      <w:r w:rsidRPr="00E72ABD">
        <w:t xml:space="preserve"> They allegedly collaborate with local armed groups like the Maï-Maï Kihebe since 2017 from whom they gather local intelligence and have safe passage of food and supplies, as well as the Maï-Maï Mushombe since 2018 at least, who fought by their side during a raid by the </w:t>
      </w:r>
      <w:r w:rsidR="002E6630">
        <w:t>Burundian</w:t>
      </w:r>
      <w:r w:rsidR="00241146" w:rsidRPr="00E72ABD">
        <w:t xml:space="preserve"> A</w:t>
      </w:r>
      <w:r w:rsidRPr="00E72ABD">
        <w:t>rmy and Imbonerakure</w:t>
      </w:r>
      <w:r w:rsidR="00241146" w:rsidRPr="00E72ABD">
        <w:t>.</w:t>
      </w:r>
      <w:r w:rsidRPr="00E72ABD">
        <w:rPr>
          <w:rStyle w:val="FootnoteReference"/>
        </w:rPr>
        <w:footnoteReference w:id="465"/>
      </w:r>
    </w:p>
    <w:p w14:paraId="336C2D91" w14:textId="4086CDC7" w:rsidR="003D5320" w:rsidRPr="00E72ABD" w:rsidRDefault="003D5320" w:rsidP="003D5320">
      <w:pPr>
        <w:pStyle w:val="SingleTxtG"/>
      </w:pPr>
      <w:r w:rsidRPr="00E72ABD">
        <w:t>519.</w:t>
      </w:r>
      <w:r w:rsidRPr="00E72ABD">
        <w:tab/>
        <w:t>The Republican Forces of Burundi (FOREBU) are mainly made up of former military officers who fled after the failed military coup of 13 May 2015. They are settled mostly in the territories of Uvira and Fizi in DRC. Some rough figures show that they had between 300 and 500 men by May 2017 including some RED-Taraba deserters. Since 2017, the Congolese army organized several attacks against FOREBU and detained tens of fighters</w:t>
      </w:r>
      <w:r w:rsidR="00241146" w:rsidRPr="00E72ABD">
        <w:t>.</w:t>
      </w:r>
      <w:r w:rsidRPr="00E72ABD">
        <w:rPr>
          <w:rStyle w:val="FootnoteReference"/>
        </w:rPr>
        <w:footnoteReference w:id="466"/>
      </w:r>
    </w:p>
    <w:p w14:paraId="581CF202" w14:textId="1F20B99B" w:rsidR="003D5320" w:rsidRPr="00E72ABD" w:rsidRDefault="003D5320" w:rsidP="003D5320">
      <w:pPr>
        <w:pStyle w:val="SingleTxtG"/>
      </w:pPr>
      <w:r w:rsidRPr="00E72ABD">
        <w:t>520.</w:t>
      </w:r>
      <w:r w:rsidRPr="00E72ABD">
        <w:tab/>
        <w:t xml:space="preserve">While RED-Tabara and FOREBU are </w:t>
      </w:r>
      <w:r w:rsidR="00241146" w:rsidRPr="00E72ABD">
        <w:t xml:space="preserve">both </w:t>
      </w:r>
      <w:r w:rsidRPr="00E72ABD">
        <w:t>facing difficulties to get funding sources and buy weapons, they have not been able to agree on issues pertaining to command and control</w:t>
      </w:r>
      <w:r w:rsidR="00241146" w:rsidRPr="00E72ABD">
        <w:t>.</w:t>
      </w:r>
      <w:r w:rsidRPr="00E72ABD">
        <w:rPr>
          <w:rStyle w:val="FootnoteReference"/>
        </w:rPr>
        <w:footnoteReference w:id="467"/>
      </w:r>
      <w:r w:rsidRPr="00E72ABD">
        <w:t xml:space="preserve"> However, there is some level of cooperation between these two groups as they meet periodically to exchange information and intelligence</w:t>
      </w:r>
      <w:r w:rsidR="00241146" w:rsidRPr="00E72ABD">
        <w:t>.</w:t>
      </w:r>
      <w:r w:rsidRPr="00E72ABD">
        <w:rPr>
          <w:rStyle w:val="FootnoteReference"/>
        </w:rPr>
        <w:footnoteReference w:id="468"/>
      </w:r>
    </w:p>
    <w:p w14:paraId="697D2ADD" w14:textId="6FBD6A04" w:rsidR="003D5320" w:rsidRPr="00E72ABD" w:rsidRDefault="003D5320" w:rsidP="003D5320">
      <w:pPr>
        <w:pStyle w:val="SingleTxtG"/>
      </w:pPr>
      <w:r w:rsidRPr="00E72ABD">
        <w:t>521.</w:t>
      </w:r>
      <w:r w:rsidRPr="00E72ABD">
        <w:tab/>
        <w:t xml:space="preserve">The Nzabampema wing of the National Liberation Forces (FNL) has settled in the Uvira territory in DRC, particularly on the high plateaus and plains of the Rusizi River. According to the Group of Experts, following the high number of </w:t>
      </w:r>
      <w:r w:rsidR="002E6630">
        <w:t>Burundian</w:t>
      </w:r>
      <w:r w:rsidRPr="00E72ABD">
        <w:t xml:space="preserve"> </w:t>
      </w:r>
      <w:r w:rsidR="00241146" w:rsidRPr="00E72ABD">
        <w:t xml:space="preserve">Army </w:t>
      </w:r>
      <w:r w:rsidRPr="00E72ABD">
        <w:t xml:space="preserve">deserters in early 2016, they </w:t>
      </w:r>
      <w:r w:rsidR="00241146" w:rsidRPr="00E72ABD">
        <w:t xml:space="preserve">have </w:t>
      </w:r>
      <w:r w:rsidRPr="00E72ABD">
        <w:t>about 400 fighters</w:t>
      </w:r>
      <w:r w:rsidR="00A36CF8" w:rsidRPr="00E72ABD">
        <w:t>.</w:t>
      </w:r>
      <w:r w:rsidRPr="00E72ABD">
        <w:rPr>
          <w:rStyle w:val="FootnoteReference"/>
        </w:rPr>
        <w:footnoteReference w:id="469"/>
      </w:r>
      <w:r w:rsidRPr="00E72ABD">
        <w:t xml:space="preserve"> In its May 2016 </w:t>
      </w:r>
      <w:r w:rsidR="00A36CF8" w:rsidRPr="00E72ABD">
        <w:t>report</w:t>
      </w:r>
      <w:r w:rsidRPr="00E72ABD">
        <w:t xml:space="preserve">, the Group of Experts indicated that this armed group recruited in the </w:t>
      </w:r>
      <w:r w:rsidR="002E6630">
        <w:t>Burundian</w:t>
      </w:r>
      <w:r w:rsidRPr="00E72ABD">
        <w:t xml:space="preserve"> communities living around the Rukoko forest area (north of the capital) and in refugee camps in South Kivu.</w:t>
      </w:r>
    </w:p>
    <w:p w14:paraId="01E24EF5" w14:textId="19DE5ABD" w:rsidR="003D5320" w:rsidRPr="00E72ABD" w:rsidRDefault="003D5320" w:rsidP="003D5320">
      <w:pPr>
        <w:pStyle w:val="SingleTxtG"/>
      </w:pPr>
      <w:r w:rsidRPr="00E72ABD">
        <w:t>522.</w:t>
      </w:r>
      <w:r w:rsidRPr="00E72ABD">
        <w:tab/>
        <w:t xml:space="preserve">Available information on the strength of these armed groups, in men, weapons, equipment, and financial resources, as well as their potential political support are limited. It is therefore difficult to estimate accurately their capacity to conduct large-scale attacks on </w:t>
      </w:r>
      <w:r w:rsidR="002E6630">
        <w:t>Burundian</w:t>
      </w:r>
      <w:r w:rsidRPr="00E72ABD">
        <w:t xml:space="preserve"> territory. According to several analysts, due to their constant reorganization and difficulty to move in Burundi, as well as to acquire weapons and supplies, these armed opposition groups might not be presently in a position to have a real impact on the situation in Burundi</w:t>
      </w:r>
      <w:r w:rsidR="00A36CF8" w:rsidRPr="00E72ABD">
        <w:t>.</w:t>
      </w:r>
      <w:r w:rsidRPr="00E72ABD">
        <w:rPr>
          <w:rStyle w:val="FootnoteReference"/>
        </w:rPr>
        <w:footnoteReference w:id="470"/>
      </w:r>
    </w:p>
    <w:p w14:paraId="61FBCB58" w14:textId="32649487" w:rsidR="003D5320" w:rsidRPr="00E72ABD" w:rsidRDefault="003D5320" w:rsidP="003D5320">
      <w:pPr>
        <w:pStyle w:val="SingleTxtG"/>
      </w:pPr>
      <w:r w:rsidRPr="00E72ABD">
        <w:t>523.</w:t>
      </w:r>
      <w:r w:rsidRPr="00E72ABD">
        <w:tab/>
        <w:t xml:space="preserve">Nevertheless, </w:t>
      </w:r>
      <w:r w:rsidR="002E6630">
        <w:t>Burundian</w:t>
      </w:r>
      <w:r w:rsidRPr="00E72ABD">
        <w:t xml:space="preserve"> authorities are very concerned about these armed groups and the eventual support they may have from the population. Case in point: the many young men coming back home from a trip or a journey abroad, who were accused of supporting or cooperating with one of these rebel groups.</w:t>
      </w:r>
    </w:p>
    <w:p w14:paraId="13B4CD9C" w14:textId="6E0D1081" w:rsidR="003D5320" w:rsidRPr="00E72ABD" w:rsidRDefault="003D5320" w:rsidP="003D5320">
      <w:pPr>
        <w:pStyle w:val="SingleTxtG"/>
      </w:pPr>
      <w:r w:rsidRPr="00E72ABD">
        <w:t>524.</w:t>
      </w:r>
      <w:r w:rsidRPr="00E72ABD">
        <w:tab/>
        <w:t xml:space="preserve">The Group of Experts on the DRC equally recorded that some soldiers of the </w:t>
      </w:r>
      <w:r w:rsidR="002E6630">
        <w:t>Burundian</w:t>
      </w:r>
      <w:r w:rsidR="00A36CF8" w:rsidRPr="00E72ABD">
        <w:t xml:space="preserve"> A</w:t>
      </w:r>
      <w:r w:rsidRPr="00E72ABD">
        <w:t xml:space="preserve">rmy (FDN), alongside Imbonerakure were sent to fight these armed groups in </w:t>
      </w:r>
      <w:r w:rsidR="00A36CF8" w:rsidRPr="00E72ABD">
        <w:t xml:space="preserve">Eastern </w:t>
      </w:r>
      <w:r w:rsidRPr="00E72ABD">
        <w:t xml:space="preserve">DRC. There was a series of confrontations between the </w:t>
      </w:r>
      <w:r w:rsidR="00C82D36">
        <w:t>FDN</w:t>
      </w:r>
      <w:r w:rsidR="00A36CF8" w:rsidRPr="00E72ABD">
        <w:t xml:space="preserve"> </w:t>
      </w:r>
      <w:r w:rsidRPr="00E72ABD">
        <w:t xml:space="preserve">and RED-Tabara in South Kivu in October and November 2018, in Kabere (Uvira </w:t>
      </w:r>
      <w:r w:rsidR="00C82D36">
        <w:t>t</w:t>
      </w:r>
      <w:r w:rsidRPr="00E72ABD">
        <w:t xml:space="preserve">erritory) and its surroundings, and in January and February 2019 in Mulenge (Uvira </w:t>
      </w:r>
      <w:r w:rsidR="00C82D36">
        <w:t>t</w:t>
      </w:r>
      <w:r w:rsidRPr="00E72ABD">
        <w:t xml:space="preserve">erritory) and its surroundings. These battles led to an increase in the number of displaced persons from 12,000 in November 2018 to 25,000 in January 2019. The FDN and Imbonerakure received support from at least two local armed groups: the Maï-Maï Mbulu and the Maï-Maï Kijangala. The former served as guides to lead them to the positions of the latter, which then provided them with intelligence about and led them to RED-Tabara sites. They might have even fought on their side in exchange for food, cash, ammunitions, and thereafter, weapons. Thus, the Group of Experts considered that the </w:t>
      </w:r>
      <w:r w:rsidR="002E6630">
        <w:t>Burundian</w:t>
      </w:r>
      <w:r w:rsidRPr="00E72ABD">
        <w:t xml:space="preserve"> </w:t>
      </w:r>
      <w:r w:rsidR="007F5B89">
        <w:t>Government</w:t>
      </w:r>
      <w:r w:rsidRPr="00E72ABD">
        <w:t xml:space="preserve"> violated the sanctions regime on firearms</w:t>
      </w:r>
      <w:r w:rsidR="00A36CF8" w:rsidRPr="00E72ABD">
        <w:t>.</w:t>
      </w:r>
      <w:r w:rsidRPr="00E72ABD">
        <w:rPr>
          <w:rStyle w:val="FootnoteReference"/>
        </w:rPr>
        <w:footnoteReference w:id="471"/>
      </w:r>
    </w:p>
    <w:p w14:paraId="1A408D9A" w14:textId="00752E07" w:rsidR="003D5320" w:rsidRPr="00E72ABD" w:rsidRDefault="003D5320" w:rsidP="003D5320">
      <w:pPr>
        <w:pStyle w:val="SingleTxtG"/>
      </w:pPr>
      <w:r w:rsidRPr="00E72ABD">
        <w:t>525.</w:t>
      </w:r>
      <w:r w:rsidRPr="00E72ABD">
        <w:tab/>
        <w:t>On 6 February 2019,</w:t>
      </w:r>
      <w:r w:rsidR="00A36CF8" w:rsidRPr="00E72ABD">
        <w:t xml:space="preserve"> the</w:t>
      </w:r>
      <w:r w:rsidRPr="00E72ABD">
        <w:t xml:space="preserve"> DRC </w:t>
      </w:r>
      <w:r w:rsidR="00A36CF8" w:rsidRPr="00E72ABD">
        <w:t xml:space="preserve">Armed Forces </w:t>
      </w:r>
      <w:r w:rsidRPr="00E72ABD">
        <w:t xml:space="preserve">(FARDC) launched an operation against rebel groups acting in the high plateaus of the Uvira </w:t>
      </w:r>
      <w:r w:rsidR="00C82D36">
        <w:t>t</w:t>
      </w:r>
      <w:r w:rsidRPr="00E72ABD">
        <w:t xml:space="preserve">erritory including </w:t>
      </w:r>
      <w:r w:rsidR="002E6630">
        <w:t>Burundian</w:t>
      </w:r>
      <w:r w:rsidRPr="00E72ABD">
        <w:t xml:space="preserve"> groups. The FDN and Imbonerakure retreated back to Burundi during that same period. Captives from these </w:t>
      </w:r>
      <w:r w:rsidR="002E6630">
        <w:t>Burundian</w:t>
      </w:r>
      <w:r w:rsidRPr="00E72ABD">
        <w:t xml:space="preserve"> armed groups who were arrested or surrendered were directly transferred to Burundi. The </w:t>
      </w:r>
      <w:r w:rsidR="002E6630">
        <w:t>Burundian</w:t>
      </w:r>
      <w:r w:rsidRPr="00E72ABD">
        <w:t xml:space="preserve"> </w:t>
      </w:r>
      <w:r w:rsidR="007F5B89">
        <w:t>Government</w:t>
      </w:r>
      <w:r w:rsidRPr="00E72ABD">
        <w:t xml:space="preserve"> denied having sent soldiers in DRC</w:t>
      </w:r>
      <w:r w:rsidR="00A36CF8" w:rsidRPr="00E72ABD">
        <w:t>.</w:t>
      </w:r>
      <w:r w:rsidRPr="00E72ABD">
        <w:rPr>
          <w:rStyle w:val="FootnoteReference"/>
        </w:rPr>
        <w:footnoteReference w:id="472"/>
      </w:r>
    </w:p>
    <w:p w14:paraId="3984FBB4" w14:textId="01A67403" w:rsidR="003D5320" w:rsidRPr="00E72ABD" w:rsidRDefault="003D5320" w:rsidP="003D5320">
      <w:pPr>
        <w:pStyle w:val="H4G"/>
      </w:pPr>
      <w:r w:rsidRPr="00E72ABD">
        <w:tab/>
        <w:t>b)</w:t>
      </w:r>
      <w:r w:rsidRPr="00E72ABD">
        <w:tab/>
        <w:t xml:space="preserve">Regional </w:t>
      </w:r>
      <w:r w:rsidR="00C82D36">
        <w:t>tensions</w:t>
      </w:r>
    </w:p>
    <w:p w14:paraId="3DB8E90E" w14:textId="6214A201" w:rsidR="003D5320" w:rsidRPr="00E72ABD" w:rsidRDefault="003D5320" w:rsidP="003D5320">
      <w:pPr>
        <w:pStyle w:val="SingleTxtG"/>
      </w:pPr>
      <w:r w:rsidRPr="00E72ABD">
        <w:t>526.</w:t>
      </w:r>
      <w:r w:rsidRPr="00E72ABD">
        <w:tab/>
        <w:t>According to the Group of Experts on the DRC, regular incursions into rebel positions by FDN and Imbonerakure coupled with their association to some Maï</w:t>
      </w:r>
      <w:r w:rsidR="00C82D36">
        <w:t>-Maï armed groups of the Uvira midp</w:t>
      </w:r>
      <w:r w:rsidRPr="00E72ABD">
        <w:t xml:space="preserve">Plateaus have worsen the already tense and violent relations between </w:t>
      </w:r>
      <w:r w:rsidR="00A36CF8" w:rsidRPr="00E72ABD">
        <w:t xml:space="preserve">and within </w:t>
      </w:r>
      <w:r w:rsidRPr="00E72ABD">
        <w:t xml:space="preserve">local armed groups. </w:t>
      </w:r>
      <w:r w:rsidR="00A36CF8" w:rsidRPr="00E72ABD">
        <w:t>I</w:t>
      </w:r>
      <w:r w:rsidRPr="00E72ABD">
        <w:t>n the middle of these groups fighting each other, there is risk of retaliation with detrimental consequences on civil population, peace and security in DRC</w:t>
      </w:r>
      <w:r w:rsidR="00A36CF8" w:rsidRPr="00E72ABD">
        <w:t>.</w:t>
      </w:r>
      <w:r w:rsidRPr="00E72ABD">
        <w:rPr>
          <w:rStyle w:val="FootnoteReference"/>
        </w:rPr>
        <w:footnoteReference w:id="473"/>
      </w:r>
    </w:p>
    <w:p w14:paraId="79D18E8E" w14:textId="5AE3E444" w:rsidR="003D5320" w:rsidRPr="00E72ABD" w:rsidRDefault="003D5320" w:rsidP="003D5320">
      <w:pPr>
        <w:pStyle w:val="SingleTxtG"/>
      </w:pPr>
      <w:r w:rsidRPr="00E72ABD">
        <w:t>527.</w:t>
      </w:r>
      <w:r w:rsidRPr="00E72ABD">
        <w:tab/>
        <w:t xml:space="preserve">Moreover, the </w:t>
      </w:r>
      <w:r w:rsidR="002E6630">
        <w:t>Burundian</w:t>
      </w:r>
      <w:r w:rsidRPr="00E72ABD">
        <w:t xml:space="preserve"> </w:t>
      </w:r>
      <w:r w:rsidR="007F5B89">
        <w:t>Government</w:t>
      </w:r>
      <w:r w:rsidRPr="00E72ABD">
        <w:t xml:space="preserve"> maintains strained relations with Rwanda, by constantly accusing the country of being responsible for the </w:t>
      </w:r>
      <w:r w:rsidR="002E6630">
        <w:t>Burundian</w:t>
      </w:r>
      <w:r w:rsidRPr="00E72ABD">
        <w:t xml:space="preserve"> crisis and of</w:t>
      </w:r>
      <w:r w:rsidR="00EF2D2F" w:rsidRPr="00E72ABD">
        <w:t xml:space="preserve"> </w:t>
      </w:r>
      <w:r w:rsidRPr="00E72ABD">
        <w:t xml:space="preserve">trying to destabilize the country, forcefully holding back </w:t>
      </w:r>
      <w:r w:rsidR="002E6630">
        <w:t>Burundian</w:t>
      </w:r>
      <w:r w:rsidRPr="00E72ABD">
        <w:t xml:space="preserve"> refugees in its territory, and recruiting young </w:t>
      </w:r>
      <w:r w:rsidR="002E6630">
        <w:t>Burundian</w:t>
      </w:r>
      <w:r w:rsidRPr="00E72ABD">
        <w:t>s into armed rebel groups</w:t>
      </w:r>
      <w:r w:rsidR="00A36CF8" w:rsidRPr="00E72ABD">
        <w:t>.</w:t>
      </w:r>
      <w:r w:rsidRPr="00E72ABD">
        <w:rPr>
          <w:rStyle w:val="FootnoteReference"/>
        </w:rPr>
        <w:footnoteReference w:id="474"/>
      </w:r>
      <w:r w:rsidRPr="00E72ABD">
        <w:t xml:space="preserve"> President Nkurunziza went as far as calling for a Summit to end the </w:t>
      </w:r>
      <w:r w:rsidRPr="00E72ABD">
        <w:rPr>
          <w:cs/>
        </w:rPr>
        <w:t>“</w:t>
      </w:r>
      <w:r w:rsidRPr="00E72ABD">
        <w:t>conflict</w:t>
      </w:r>
      <w:r w:rsidRPr="00E72ABD">
        <w:rPr>
          <w:cs/>
        </w:rPr>
        <w:t xml:space="preserve">” </w:t>
      </w:r>
      <w:r w:rsidRPr="00E72ABD">
        <w:t xml:space="preserve">with his Rwandan </w:t>
      </w:r>
      <w:r w:rsidRPr="00E72ABD">
        <w:rPr>
          <w:cs/>
        </w:rPr>
        <w:t>“</w:t>
      </w:r>
      <w:r w:rsidRPr="00E72ABD">
        <w:t>enemy</w:t>
      </w:r>
      <w:r w:rsidRPr="00E72ABD">
        <w:rPr>
          <w:cs/>
        </w:rPr>
        <w:t>”</w:t>
      </w:r>
      <w:r w:rsidR="00A36CF8" w:rsidRPr="00E72ABD">
        <w:rPr>
          <w:rFonts w:hint="cs"/>
          <w:cs/>
        </w:rPr>
        <w:t>.</w:t>
      </w:r>
      <w:r w:rsidRPr="00E72ABD">
        <w:rPr>
          <w:rStyle w:val="FootnoteReference"/>
        </w:rPr>
        <w:footnoteReference w:id="475"/>
      </w:r>
      <w:r w:rsidRPr="00E72ABD">
        <w:t xml:space="preserve"> Thus, on 4 December 2018, the </w:t>
      </w:r>
      <w:r w:rsidR="002E6630">
        <w:t>Burundian</w:t>
      </w:r>
      <w:r w:rsidRPr="00E72ABD">
        <w:t xml:space="preserve"> President sent a letter to the Ugandan President Yoweri Museveni, Acting President of the EAC and </w:t>
      </w:r>
      <w:r w:rsidR="00A36CF8" w:rsidRPr="00E72ABD">
        <w:t xml:space="preserve">Mediator </w:t>
      </w:r>
      <w:r w:rsidRPr="00E72ABD">
        <w:t xml:space="preserve">of the crisis in Burundi. Therein, he denounced the Final Report of the </w:t>
      </w:r>
      <w:r w:rsidR="00F61030" w:rsidRPr="00E72ABD">
        <w:t>inter-</w:t>
      </w:r>
      <w:r w:rsidR="002E6630">
        <w:t>Burundian</w:t>
      </w:r>
      <w:r w:rsidRPr="00E72ABD">
        <w:t xml:space="preserve"> Dialogue Facilitator, M. Mkapa, who considered the situation in Burundi as still alarming, although the problem was a regional one</w:t>
      </w:r>
      <w:r w:rsidR="00A36CF8" w:rsidRPr="00E72ABD">
        <w:t>,</w:t>
      </w:r>
      <w:r w:rsidRPr="00E72ABD">
        <w:t xml:space="preserve"> in which </w:t>
      </w:r>
      <w:r w:rsidRPr="00E72ABD">
        <w:rPr>
          <w:cs/>
        </w:rPr>
        <w:t>“</w:t>
      </w:r>
      <w:r w:rsidRPr="00E72ABD">
        <w:t>Rwanda is attempting to destabilize Burundi</w:t>
      </w:r>
      <w:r w:rsidRPr="00E72ABD">
        <w:rPr>
          <w:cs/>
        </w:rPr>
        <w:t>”</w:t>
      </w:r>
      <w:r w:rsidRPr="00E72ABD">
        <w:t>. This strained relation has an impact on cross-border trade</w:t>
      </w:r>
      <w:r w:rsidR="00A36CF8" w:rsidRPr="00E72ABD">
        <w:t>.</w:t>
      </w:r>
      <w:r w:rsidRPr="00E72ABD">
        <w:rPr>
          <w:rStyle w:val="FootnoteReference"/>
        </w:rPr>
        <w:footnoteReference w:id="476"/>
      </w:r>
      <w:r w:rsidRPr="00E72ABD">
        <w:t xml:space="preserve"> The Ugandan President replied to him on 8 December 2018 by recalling the importance of the Arusha Peace Agreement guaranteed by the international community and the responsibility of political leaders to find solutions to crises. This epistolary exchange made public led to strained diplomatic relations between both countries, particularly on border-crossing issues, but they did not last for long</w:t>
      </w:r>
      <w:r w:rsidR="00A36CF8" w:rsidRPr="00E72ABD">
        <w:t>.</w:t>
      </w:r>
      <w:r w:rsidRPr="00E72ABD">
        <w:rPr>
          <w:rStyle w:val="FootnoteReference"/>
        </w:rPr>
        <w:footnoteReference w:id="477"/>
      </w:r>
    </w:p>
    <w:p w14:paraId="7756E0EF" w14:textId="198E4605" w:rsidR="003D5320" w:rsidRPr="00E72ABD" w:rsidRDefault="003D5320" w:rsidP="003D5320">
      <w:pPr>
        <w:pStyle w:val="SingleTxtG"/>
      </w:pPr>
      <w:r w:rsidRPr="00E72ABD">
        <w:t>528.</w:t>
      </w:r>
      <w:r w:rsidRPr="00E72ABD">
        <w:tab/>
        <w:t xml:space="preserve">Finally, many </w:t>
      </w:r>
      <w:r w:rsidR="002E6630">
        <w:t>Burundian</w:t>
      </w:r>
      <w:r w:rsidRPr="00E72ABD">
        <w:t xml:space="preserve"> refugees in neighbouring countries told the Commission that they fear for their lives due to the alleged incursions of Imbonerakure and </w:t>
      </w:r>
      <w:r w:rsidR="002E6630">
        <w:t>Burundian</w:t>
      </w:r>
      <w:r w:rsidRPr="00E72ABD">
        <w:t xml:space="preserve"> SNR</w:t>
      </w:r>
      <w:r w:rsidR="00A36CF8" w:rsidRPr="00E72ABD">
        <w:t xml:space="preserve"> officials</w:t>
      </w:r>
      <w:r w:rsidRPr="00E72ABD">
        <w:t xml:space="preserve"> in some refugee camps. </w:t>
      </w:r>
      <w:r w:rsidR="007A6292" w:rsidRPr="00E72ABD">
        <w:t xml:space="preserve">They </w:t>
      </w:r>
      <w:r w:rsidRPr="00E72ABD">
        <w:t xml:space="preserve">are suspected of looking for those who fled the country - mainly wanted political opponents and persons formerly close to the </w:t>
      </w:r>
      <w:r w:rsidR="007F5B89">
        <w:t>Government</w:t>
      </w:r>
      <w:r w:rsidR="007A6292" w:rsidRPr="00E72ABD">
        <w:t xml:space="preserve"> - </w:t>
      </w:r>
      <w:r w:rsidRPr="00E72ABD">
        <w:t xml:space="preserve">in order to kill them. Refugees had stories about various security incidents which occurred in refugee camps perpetrated by </w:t>
      </w:r>
      <w:r w:rsidRPr="00E72ABD">
        <w:rPr>
          <w:cs/>
        </w:rPr>
        <w:t>“</w:t>
      </w:r>
      <w:r w:rsidRPr="00E72ABD">
        <w:t>infiltrated</w:t>
      </w:r>
      <w:r w:rsidRPr="00E72ABD">
        <w:rPr>
          <w:cs/>
        </w:rPr>
        <w:t xml:space="preserve">” </w:t>
      </w:r>
      <w:r w:rsidR="002E6630">
        <w:t>Burundian</w:t>
      </w:r>
      <w:r w:rsidRPr="00E72ABD">
        <w:t xml:space="preserve"> agents. In other cases, these emissaries were trying to convince and force refugees to return to Burundi</w:t>
      </w:r>
      <w:r w:rsidR="007A6292" w:rsidRPr="00E72ABD">
        <w:t>.</w:t>
      </w:r>
      <w:r w:rsidRPr="00E72ABD">
        <w:rPr>
          <w:rStyle w:val="FootnoteReference"/>
        </w:rPr>
        <w:footnoteReference w:id="478"/>
      </w:r>
      <w:r w:rsidRPr="00E72ABD">
        <w:t xml:space="preserve"> </w:t>
      </w:r>
    </w:p>
    <w:p w14:paraId="5B001AB2" w14:textId="164B6432" w:rsidR="003D5320" w:rsidRPr="00E72ABD" w:rsidRDefault="003D5320" w:rsidP="003D5320">
      <w:pPr>
        <w:pStyle w:val="H4G"/>
      </w:pPr>
      <w:r w:rsidRPr="00E72ABD">
        <w:tab/>
        <w:t>c)</w:t>
      </w:r>
      <w:r w:rsidRPr="00E72ABD">
        <w:tab/>
        <w:t>Uncertaint</w:t>
      </w:r>
      <w:r w:rsidR="00C82D36">
        <w:t>ies</w:t>
      </w:r>
      <w:r w:rsidRPr="00E72ABD">
        <w:t xml:space="preserve"> about the behaviour of defence and security forces </w:t>
      </w:r>
      <w:r w:rsidR="00C82D36">
        <w:t>and other</w:t>
      </w:r>
      <w:r w:rsidRPr="00E72ABD">
        <w:t xml:space="preserve"> </w:t>
      </w:r>
      <w:r w:rsidR="00C82D36">
        <w:t>related</w:t>
      </w:r>
      <w:r w:rsidRPr="00E72ABD">
        <w:t xml:space="preserve"> bodies</w:t>
      </w:r>
    </w:p>
    <w:p w14:paraId="2E0D11D5" w14:textId="4D8D0513" w:rsidR="003D5320" w:rsidRPr="00E72ABD" w:rsidRDefault="003D5320" w:rsidP="003D5320">
      <w:pPr>
        <w:pStyle w:val="SingleTxtG"/>
        <w:rPr>
          <w:b/>
        </w:rPr>
      </w:pPr>
      <w:r w:rsidRPr="00E72ABD">
        <w:t>529.</w:t>
      </w:r>
      <w:r w:rsidRPr="00E72ABD">
        <w:tab/>
        <w:t xml:space="preserve">The Head of State made the following announcement in early 2019: </w:t>
      </w:r>
      <w:r w:rsidRPr="00E72ABD">
        <w:rPr>
          <w:cs/>
        </w:rPr>
        <w:t>“</w:t>
      </w:r>
      <w:r w:rsidRPr="00E72ABD">
        <w:t>We will build the capacities of the defence and security forces and we will provide them with adequate equipment and material for them to face any difficult situation in the best possible manner</w:t>
      </w:r>
      <w:r w:rsidRPr="00E72ABD">
        <w:rPr>
          <w:cs/>
        </w:rPr>
        <w:t>”</w:t>
      </w:r>
      <w:r w:rsidR="007A6292" w:rsidRPr="00E72ABD">
        <w:rPr>
          <w:rFonts w:hint="cs"/>
          <w:cs/>
        </w:rPr>
        <w:t>.</w:t>
      </w:r>
      <w:r w:rsidRPr="00E72ABD">
        <w:rPr>
          <w:rStyle w:val="FootnoteReference"/>
        </w:rPr>
        <w:footnoteReference w:id="479"/>
      </w:r>
      <w:r w:rsidRPr="00E72ABD">
        <w:t xml:space="preserve"> However, he did not give details as to which forces shall be the first beneficiary of these measures as their situations vary, particularly in terms of their closeness to the President.</w:t>
      </w:r>
    </w:p>
    <w:p w14:paraId="4671D2D3" w14:textId="36087A4D" w:rsidR="003D5320" w:rsidRPr="00E72ABD" w:rsidRDefault="003D5320" w:rsidP="003D5320">
      <w:pPr>
        <w:pStyle w:val="H56G"/>
      </w:pPr>
      <w:r w:rsidRPr="00E72ABD">
        <w:tab/>
      </w:r>
      <w:r w:rsidRPr="00E72ABD">
        <w:tab/>
        <w:t>(i)</w:t>
      </w:r>
      <w:r w:rsidRPr="00E72ABD">
        <w:tab/>
        <w:t xml:space="preserve">The </w:t>
      </w:r>
      <w:r w:rsidR="007A6292" w:rsidRPr="00E72ABD">
        <w:t>Army</w:t>
      </w:r>
    </w:p>
    <w:p w14:paraId="17B1B635" w14:textId="6781FB80" w:rsidR="003D5320" w:rsidRPr="00E72ABD" w:rsidRDefault="003D5320" w:rsidP="003D5320">
      <w:pPr>
        <w:pStyle w:val="SingleTxtG"/>
      </w:pPr>
      <w:r w:rsidRPr="00E72ABD">
        <w:t>530.</w:t>
      </w:r>
      <w:r w:rsidRPr="00E72ABD">
        <w:tab/>
        <w:t xml:space="preserve">The </w:t>
      </w:r>
      <w:r w:rsidR="002E6630">
        <w:t>Burundian</w:t>
      </w:r>
      <w:r w:rsidRPr="00E72ABD">
        <w:t xml:space="preserve"> </w:t>
      </w:r>
      <w:r w:rsidR="007A6292" w:rsidRPr="00E72ABD">
        <w:t>Army</w:t>
      </w:r>
      <w:r w:rsidRPr="00E72ABD">
        <w:t>, called National Defence Force (FDN), has been considered as the country</w:t>
      </w:r>
      <w:r w:rsidRPr="00E72ABD">
        <w:rPr>
          <w:cs/>
        </w:rPr>
        <w:t>’</w:t>
      </w:r>
      <w:r w:rsidRPr="00E72ABD">
        <w:t>s stabilizing factor since the Arusha Peace Agreement under which it was turned into a multi-ethnic, apolitical and professional force. While enjoying the benefits of a good reputation which enabled them to take part in UN and AU peacekeeping operations, soldiers had an enviable social and economic status in Burundi. In the beginning of the crisis in 2015, soldiers demonstrated their professionalism when they refused to shoot the crowds during protests and even went on to protect them against the police and Imbonerakure</w:t>
      </w:r>
      <w:r w:rsidR="007A6292" w:rsidRPr="00E72ABD">
        <w:t>.</w:t>
      </w:r>
      <w:r w:rsidRPr="00E72ABD">
        <w:rPr>
          <w:rStyle w:val="FootnoteReference"/>
        </w:rPr>
        <w:footnoteReference w:id="480"/>
      </w:r>
    </w:p>
    <w:p w14:paraId="17A7C2A8" w14:textId="6EFBF9F1" w:rsidR="003D5320" w:rsidRPr="00E72ABD" w:rsidRDefault="003D5320" w:rsidP="003D5320">
      <w:pPr>
        <w:pStyle w:val="SingleTxtG"/>
      </w:pPr>
      <w:r w:rsidRPr="00E72ABD">
        <w:t>531.</w:t>
      </w:r>
      <w:r w:rsidRPr="00E72ABD">
        <w:tab/>
        <w:t xml:space="preserve">The rotational deployment of soldiers in peacekeeping missions is a strategy introduced by the </w:t>
      </w:r>
      <w:r w:rsidR="002E6630">
        <w:t>Burundian</w:t>
      </w:r>
      <w:r w:rsidRPr="00E72ABD">
        <w:t xml:space="preserve"> </w:t>
      </w:r>
      <w:r w:rsidR="007F5B89">
        <w:t>Government</w:t>
      </w:r>
      <w:r w:rsidRPr="00E72ABD">
        <w:t xml:space="preserve"> since 2007 to gain their loyalty. This is because these deployments constitute a significant financial manna for soldiers, while benefiting </w:t>
      </w:r>
      <w:r w:rsidR="007F5B89">
        <w:t>Government</w:t>
      </w:r>
      <w:r w:rsidRPr="00E72ABD">
        <w:t xml:space="preserve"> as well. Thus, in an army with a total of 30,000 men, close to 5,000 are deployed on a nearly constant basis in peacekeeping missions, particularly in the AU Mission in Somalia (AMISOM), but also to a limited extent in the United Nations Multidimensional Integrated Stabilization Mission in the Central African Republic (MINUSCA). Each AMISOM </w:t>
      </w:r>
      <w:r w:rsidR="002E6630">
        <w:t>Burundian</w:t>
      </w:r>
      <w:r w:rsidRPr="00E72ABD">
        <w:t xml:space="preserve"> soldier officially earns USD 800 that is almost ten times more than what he earns back home. The deployment of </w:t>
      </w:r>
      <w:r w:rsidR="002E6630">
        <w:t>Burundian</w:t>
      </w:r>
      <w:r w:rsidRPr="00E72ABD">
        <w:t xml:space="preserve"> troops in Somalia is financed by the European Union through the African Union, who then disburses the funds to the </w:t>
      </w:r>
      <w:r w:rsidR="002E6630">
        <w:t>Burundian</w:t>
      </w:r>
      <w:r w:rsidRPr="00E72ABD">
        <w:t xml:space="preserve"> </w:t>
      </w:r>
      <w:r w:rsidR="007F5B89">
        <w:t>Government</w:t>
      </w:r>
      <w:r w:rsidRPr="00E72ABD">
        <w:t xml:space="preserve"> that redistributes them to the deployed soldiers, after making some deductions. Despite the </w:t>
      </w:r>
      <w:r w:rsidR="007F5B89">
        <w:t>Government</w:t>
      </w:r>
      <w:r w:rsidRPr="00E72ABD">
        <w:t xml:space="preserve"> deductions of USD 200, salaries are still enticing.</w:t>
      </w:r>
      <w:r w:rsidRPr="00E72ABD">
        <w:rPr>
          <w:rStyle w:val="FootnoteReference"/>
        </w:rPr>
        <w:footnoteReference w:id="481"/>
      </w:r>
    </w:p>
    <w:p w14:paraId="19E371BD" w14:textId="2D2F2D98" w:rsidR="003D5320" w:rsidRPr="00E72ABD" w:rsidRDefault="003D5320" w:rsidP="003D5320">
      <w:pPr>
        <w:pStyle w:val="SingleTxtG"/>
      </w:pPr>
      <w:r w:rsidRPr="00E72ABD">
        <w:t>532.</w:t>
      </w:r>
      <w:r w:rsidRPr="00E72ABD">
        <w:tab/>
        <w:t xml:space="preserve">Despite its positive image, the </w:t>
      </w:r>
      <w:r w:rsidR="007A6292" w:rsidRPr="00E72ABD">
        <w:t xml:space="preserve">Army </w:t>
      </w:r>
      <w:r w:rsidRPr="00E72ABD">
        <w:t>has always been under a parallel command system close to CNDD-FDD, comprising former rebels, and the synergy between them and ex-</w:t>
      </w:r>
      <w:r w:rsidR="007A6292" w:rsidRPr="00E72ABD">
        <w:t xml:space="preserve">FAB </w:t>
      </w:r>
      <w:r w:rsidRPr="00E72ABD">
        <w:t>soldiers</w:t>
      </w:r>
      <w:r w:rsidRPr="00E72ABD">
        <w:rPr>
          <w:rStyle w:val="FootnoteReference"/>
        </w:rPr>
        <w:footnoteReference w:id="482"/>
      </w:r>
      <w:r w:rsidRPr="00E72ABD">
        <w:t xml:space="preserve"> is still superficial. After the attempted coup of 13 May 2015, the </w:t>
      </w:r>
      <w:r w:rsidR="007A6292" w:rsidRPr="00E72ABD">
        <w:t xml:space="preserve">Army </w:t>
      </w:r>
      <w:r w:rsidRPr="00E72ABD">
        <w:t xml:space="preserve">was deeply divided. This exposed the underlying dissensions among soldiers and high-ranking officers from the rebellion, some of whom led the failed coup. Since then, </w:t>
      </w:r>
      <w:r w:rsidR="006D2965">
        <w:t xml:space="preserve">the </w:t>
      </w:r>
      <w:r w:rsidR="007F5B89">
        <w:t>Government</w:t>
      </w:r>
      <w:r w:rsidRPr="00E72ABD">
        <w:t xml:space="preserve"> has tried to regain control of the </w:t>
      </w:r>
      <w:r w:rsidR="007A6292" w:rsidRPr="00E72ABD">
        <w:t xml:space="preserve">Army </w:t>
      </w:r>
      <w:r w:rsidRPr="00E72ABD">
        <w:t xml:space="preserve">by restructuring its command and putting in place several services like reserve units and the National Youth Service, which could help in placing some Imbonerakure. Tens of </w:t>
      </w:r>
      <w:r w:rsidR="007A6292" w:rsidRPr="00E72ABD">
        <w:t xml:space="preserve">ex-FAB </w:t>
      </w:r>
      <w:r w:rsidRPr="00E72ABD">
        <w:t>soldiers, often officers</w:t>
      </w:r>
      <w:r w:rsidR="007A6292" w:rsidRPr="00E72ABD">
        <w:t>, who are considered as</w:t>
      </w:r>
      <w:r w:rsidRPr="00E72ABD">
        <w:t xml:space="preserve"> </w:t>
      </w:r>
      <w:r w:rsidR="007A6292" w:rsidRPr="00E72ABD">
        <w:t xml:space="preserve">opponents by </w:t>
      </w:r>
      <w:r w:rsidRPr="00E72ABD">
        <w:t xml:space="preserve">the </w:t>
      </w:r>
      <w:r w:rsidR="007F5B89">
        <w:t>Government</w:t>
      </w:r>
      <w:r w:rsidRPr="00E72ABD">
        <w:t xml:space="preserve">, </w:t>
      </w:r>
      <w:r w:rsidR="007A6292" w:rsidRPr="00E72ABD">
        <w:t>as well as some</w:t>
      </w:r>
      <w:r w:rsidRPr="00E72ABD">
        <w:t xml:space="preserve"> </w:t>
      </w:r>
      <w:r w:rsidR="00A919DE" w:rsidRPr="00E72ABD">
        <w:t xml:space="preserve">officers </w:t>
      </w:r>
      <w:r w:rsidRPr="00E72ABD">
        <w:t>from armed and political movements of the former Hutu rebellion such as the FNL</w:t>
      </w:r>
      <w:r w:rsidR="007A6292" w:rsidRPr="00E72ABD">
        <w:t>,</w:t>
      </w:r>
      <w:r w:rsidRPr="00E72ABD">
        <w:t xml:space="preserve"> were transferred, replaced, or placed on retirement. Some were even abducted, arrested, tortured and at times killed. The number of soldiers including officers who have deserted the </w:t>
      </w:r>
      <w:r w:rsidR="00A919DE" w:rsidRPr="00E72ABD">
        <w:t>A</w:t>
      </w:r>
      <w:r w:rsidRPr="00E72ABD">
        <w:t>rmy since the beginning of the 2015 crisis, including at the end of their deployment abroad</w:t>
      </w:r>
      <w:r w:rsidR="006D2965">
        <w:t>,</w:t>
      </w:r>
      <w:r w:rsidRPr="00E72ABD">
        <w:t xml:space="preserve"> is estimated between 600 and 2,000 men. Some are thought to have joined armed rebel groups in neighbouring countries.</w:t>
      </w:r>
      <w:r w:rsidRPr="00E72ABD">
        <w:rPr>
          <w:rStyle w:val="FootnoteReference"/>
        </w:rPr>
        <w:footnoteReference w:id="483"/>
      </w:r>
    </w:p>
    <w:p w14:paraId="458F16CF" w14:textId="374B9757" w:rsidR="003D5320" w:rsidRPr="00E72ABD" w:rsidRDefault="003D5320" w:rsidP="003D5320">
      <w:pPr>
        <w:pStyle w:val="SingleTxtG"/>
      </w:pPr>
      <w:r w:rsidRPr="00E72ABD">
        <w:t>533.</w:t>
      </w:r>
      <w:r w:rsidRPr="00E72ABD">
        <w:tab/>
      </w:r>
      <w:proofErr w:type="gramStart"/>
      <w:r w:rsidRPr="00E72ABD">
        <w:t>Notwithstanding</w:t>
      </w:r>
      <w:proofErr w:type="gramEnd"/>
      <w:r w:rsidRPr="00E72ABD">
        <w:t xml:space="preserve">, the </w:t>
      </w:r>
      <w:r w:rsidR="007F5B89">
        <w:t>Government</w:t>
      </w:r>
      <w:r w:rsidRPr="00E72ABD">
        <w:t xml:space="preserve"> decided not to look into the involvement of </w:t>
      </w:r>
      <w:r w:rsidR="00A919DE" w:rsidRPr="00E72ABD">
        <w:t xml:space="preserve">some of the </w:t>
      </w:r>
      <w:r w:rsidRPr="00E72ABD">
        <w:t xml:space="preserve">Hutu </w:t>
      </w:r>
      <w:r w:rsidR="00A919DE" w:rsidRPr="00E72ABD">
        <w:t xml:space="preserve">militaries </w:t>
      </w:r>
      <w:r w:rsidRPr="00E72ABD">
        <w:t>who are members of CNDD-FDD in the attempted coup of 13 May 2015. They</w:t>
      </w:r>
      <w:r w:rsidR="00EF2D2F" w:rsidRPr="00E72ABD">
        <w:t xml:space="preserve"> </w:t>
      </w:r>
      <w:r w:rsidRPr="00E72ABD">
        <w:t xml:space="preserve">maintained their various positions due to the strong support </w:t>
      </w:r>
      <w:r w:rsidR="00A919DE" w:rsidRPr="00E72ABD">
        <w:t xml:space="preserve">they have among soldiers who are </w:t>
      </w:r>
      <w:r w:rsidRPr="00E72ABD">
        <w:t>former FDD rebels</w:t>
      </w:r>
      <w:r w:rsidR="00A919DE" w:rsidRPr="00E72ABD">
        <w:t xml:space="preserve"> and</w:t>
      </w:r>
      <w:r w:rsidRPr="00E72ABD">
        <w:t xml:space="preserve"> which dates as far back as the days of the rebellion. Thus, keeping these </w:t>
      </w:r>
      <w:r w:rsidR="00A919DE" w:rsidRPr="00E72ABD">
        <w:t xml:space="preserve">individuals </w:t>
      </w:r>
      <w:r w:rsidRPr="00E72ABD">
        <w:t xml:space="preserve">in the </w:t>
      </w:r>
      <w:r w:rsidR="00A919DE" w:rsidRPr="00E72ABD">
        <w:t xml:space="preserve">Army </w:t>
      </w:r>
      <w:r w:rsidRPr="00E72ABD">
        <w:t xml:space="preserve">and under </w:t>
      </w:r>
      <w:r w:rsidR="0054022D">
        <w:t xml:space="preserve">the </w:t>
      </w:r>
      <w:r w:rsidR="007F5B89">
        <w:t>Government</w:t>
      </w:r>
      <w:r w:rsidRPr="00E72ABD">
        <w:t xml:space="preserve"> control </w:t>
      </w:r>
      <w:r w:rsidR="00A919DE" w:rsidRPr="00E72ABD">
        <w:t xml:space="preserve">was seen as a </w:t>
      </w:r>
      <w:r w:rsidR="00DE362F" w:rsidRPr="00E72ABD">
        <w:t xml:space="preserve">way of </w:t>
      </w:r>
      <w:r w:rsidRPr="00E72ABD">
        <w:t>reduc</w:t>
      </w:r>
      <w:r w:rsidR="00DE362F" w:rsidRPr="00E72ABD">
        <w:t>ing</w:t>
      </w:r>
      <w:r w:rsidRPr="00E72ABD">
        <w:t xml:space="preserve"> further desertions</w:t>
      </w:r>
      <w:r w:rsidR="00A919DE" w:rsidRPr="00E72ABD">
        <w:t>.</w:t>
      </w:r>
      <w:r w:rsidRPr="00E72ABD">
        <w:rPr>
          <w:rStyle w:val="FootnoteReference"/>
        </w:rPr>
        <w:footnoteReference w:id="484"/>
      </w:r>
    </w:p>
    <w:p w14:paraId="1D6AD10D" w14:textId="77777777" w:rsidR="003D5320" w:rsidRPr="00E72ABD" w:rsidRDefault="003D5320" w:rsidP="003D5320">
      <w:pPr>
        <w:pStyle w:val="SingleTxtG"/>
      </w:pPr>
      <w:r w:rsidRPr="00E72ABD">
        <w:t>534.</w:t>
      </w:r>
      <w:r w:rsidRPr="00E72ABD">
        <w:tab/>
        <w:t>Considering that the number of Tutsis entering the military academy is low, while ex-FABs are placed on retirement or progressively excluded, the 50-50 ethnic balance within defence and security forces provided for by the Arusha Peace Agreement and the Constitution is no longer respected</w:t>
      </w:r>
      <w:r w:rsidRPr="00E72ABD">
        <w:rPr>
          <w:rStyle w:val="FootnoteReference"/>
        </w:rPr>
        <w:footnoteReference w:id="485"/>
      </w:r>
      <w:r w:rsidRPr="00E72ABD">
        <w:t>.</w:t>
      </w:r>
    </w:p>
    <w:p w14:paraId="25E2AF00" w14:textId="374B809A" w:rsidR="003D5320" w:rsidRPr="00E72ABD" w:rsidRDefault="003D5320" w:rsidP="003D5320">
      <w:pPr>
        <w:pStyle w:val="SingleTxtG"/>
      </w:pPr>
      <w:r w:rsidRPr="00E72ABD">
        <w:t>535.</w:t>
      </w:r>
      <w:r w:rsidRPr="00E72ABD">
        <w:tab/>
        <w:t>The decision of the African Union that</w:t>
      </w:r>
      <w:r w:rsidR="00EF2D2F" w:rsidRPr="00E72ABD">
        <w:t xml:space="preserve"> </w:t>
      </w:r>
      <w:r w:rsidRPr="00E72ABD">
        <w:t xml:space="preserve">only the </w:t>
      </w:r>
      <w:r w:rsidR="002E6630">
        <w:t>Burundian</w:t>
      </w:r>
      <w:r w:rsidRPr="00E72ABD">
        <w:t xml:space="preserve"> Troops would be affected by the Security Council</w:t>
      </w:r>
      <w:r w:rsidRPr="00E72ABD">
        <w:rPr>
          <w:cs/>
        </w:rPr>
        <w:t>’</w:t>
      </w:r>
      <w:r w:rsidRPr="00E72ABD">
        <w:t>s decision to reduce by 1,000 troops the total number of AMISOM soldiers</w:t>
      </w:r>
      <w:r w:rsidR="00A919DE" w:rsidRPr="00E72ABD">
        <w:t>,</w:t>
      </w:r>
      <w:r w:rsidRPr="00E72ABD">
        <w:t xml:space="preserve"> was very badly received by the </w:t>
      </w:r>
      <w:r w:rsidR="002E6630">
        <w:t>Burundian</w:t>
      </w:r>
      <w:r w:rsidRPr="00E72ABD">
        <w:t xml:space="preserve"> soldiers and </w:t>
      </w:r>
      <w:r w:rsidR="007F5B89">
        <w:t>Government</w:t>
      </w:r>
      <w:r w:rsidRPr="00E72ABD">
        <w:t xml:space="preserve">. The Head of State tried to get this decision revised by refusing to repatriate his soldiers, and even going as far as to threaten to remove all the </w:t>
      </w:r>
      <w:r w:rsidR="002E6630">
        <w:t>Burundian</w:t>
      </w:r>
      <w:r w:rsidRPr="00E72ABD">
        <w:t xml:space="preserve"> soldiers from Somalia. He finally gave up and repatriated </w:t>
      </w:r>
      <w:r w:rsidR="00A919DE" w:rsidRPr="00E72ABD">
        <w:t xml:space="preserve">the </w:t>
      </w:r>
      <w:r w:rsidRPr="00E72ABD">
        <w:t xml:space="preserve">1,000 </w:t>
      </w:r>
      <w:r w:rsidR="00A919DE" w:rsidRPr="00E72ABD">
        <w:t>militaries.</w:t>
      </w:r>
      <w:r w:rsidRPr="00E72ABD">
        <w:rPr>
          <w:rStyle w:val="FootnoteReference"/>
        </w:rPr>
        <w:footnoteReference w:id="486"/>
      </w:r>
      <w:r w:rsidRPr="00E72ABD">
        <w:t xml:space="preserve"> Some political analysts are of the opinion that the AU decision was linked to the </w:t>
      </w:r>
      <w:r w:rsidR="002E6630">
        <w:t>Burundian</w:t>
      </w:r>
      <w:r w:rsidRPr="00E72ABD">
        <w:t xml:space="preserve"> </w:t>
      </w:r>
      <w:r w:rsidR="007F5B89">
        <w:t>Government</w:t>
      </w:r>
      <w:r w:rsidRPr="00E72ABD">
        <w:rPr>
          <w:cs/>
        </w:rPr>
        <w:t>’</w:t>
      </w:r>
      <w:r w:rsidRPr="00E72ABD">
        <w:t xml:space="preserve">s intransigence with regards to </w:t>
      </w:r>
      <w:r w:rsidR="00A919DE" w:rsidRPr="00E72ABD">
        <w:t xml:space="preserve">the holding of </w:t>
      </w:r>
      <w:r w:rsidRPr="00E72ABD">
        <w:t xml:space="preserve">an inclusive </w:t>
      </w:r>
      <w:r w:rsidR="00F61030" w:rsidRPr="00E72ABD">
        <w:t>inter-</w:t>
      </w:r>
      <w:r w:rsidR="002E6630">
        <w:t>Burundian</w:t>
      </w:r>
      <w:r w:rsidRPr="00E72ABD">
        <w:t xml:space="preserve"> dialogue. </w:t>
      </w:r>
      <w:r w:rsidR="00A919DE" w:rsidRPr="00E72ABD">
        <w:t xml:space="preserve">It </w:t>
      </w:r>
      <w:r w:rsidR="007153BA" w:rsidRPr="00E72ABD">
        <w:t>would seem</w:t>
      </w:r>
      <w:r w:rsidR="00A919DE" w:rsidRPr="00E72ABD">
        <w:t xml:space="preserve"> that m</w:t>
      </w:r>
      <w:r w:rsidRPr="00E72ABD">
        <w:t>any soldiers share</w:t>
      </w:r>
      <w:r w:rsidR="00A919DE" w:rsidRPr="00E72ABD">
        <w:t>d</w:t>
      </w:r>
      <w:r w:rsidRPr="00E72ABD">
        <w:t xml:space="preserve"> this opinion and hold the </w:t>
      </w:r>
      <w:r w:rsidR="007F5B89">
        <w:t>Government</w:t>
      </w:r>
      <w:r w:rsidRPr="00E72ABD">
        <w:t xml:space="preserve"> accountable for this loss of lucrative deployment opportunities. </w:t>
      </w:r>
      <w:r w:rsidR="000C42C0" w:rsidRPr="00E72ABD">
        <w:t>It would appear th</w:t>
      </w:r>
      <w:r w:rsidRPr="00E72ABD">
        <w:t>ey made it clear during the last referendum by massively voting “no” to a constitutional amendment</w:t>
      </w:r>
      <w:r w:rsidR="00A919DE" w:rsidRPr="00E72ABD">
        <w:t>.</w:t>
      </w:r>
      <w:r w:rsidRPr="00E72ABD">
        <w:rPr>
          <w:rStyle w:val="FootnoteReference"/>
        </w:rPr>
        <w:footnoteReference w:id="487"/>
      </w:r>
      <w:r w:rsidRPr="00E72ABD">
        <w:t xml:space="preserve"> The recent decision of the Security Council to </w:t>
      </w:r>
      <w:r w:rsidR="00A919DE" w:rsidRPr="00E72ABD">
        <w:t>fur</w:t>
      </w:r>
      <w:r w:rsidR="00E775EF" w:rsidRPr="00E72ABD">
        <w:t>t</w:t>
      </w:r>
      <w:r w:rsidR="00A919DE" w:rsidRPr="00E72ABD">
        <w:t xml:space="preserve">her </w:t>
      </w:r>
      <w:r w:rsidRPr="00E72ABD">
        <w:t xml:space="preserve">reduce the number of AMISOM soldiers by 1,000 men by 28 February 2020 can only be a source of </w:t>
      </w:r>
      <w:r w:rsidR="00E775EF" w:rsidRPr="00E72ABD">
        <w:t xml:space="preserve">additional </w:t>
      </w:r>
      <w:r w:rsidR="007153BA" w:rsidRPr="00E72ABD">
        <w:t xml:space="preserve">concern </w:t>
      </w:r>
      <w:r w:rsidRPr="00E72ABD">
        <w:t>for them</w:t>
      </w:r>
      <w:r w:rsidR="00E775EF" w:rsidRPr="00E72ABD">
        <w:t>.</w:t>
      </w:r>
      <w:r w:rsidRPr="00E72ABD">
        <w:rPr>
          <w:rStyle w:val="FootnoteReference"/>
        </w:rPr>
        <w:footnoteReference w:id="488"/>
      </w:r>
      <w:r w:rsidRPr="00E72ABD">
        <w:t xml:space="preserve"> This occurs at a time when participation of the </w:t>
      </w:r>
      <w:r w:rsidR="002E6630">
        <w:t>Burundian</w:t>
      </w:r>
      <w:r w:rsidRPr="00E72ABD">
        <w:t xml:space="preserve"> </w:t>
      </w:r>
      <w:r w:rsidR="00E775EF" w:rsidRPr="00E72ABD">
        <w:t xml:space="preserve">Army </w:t>
      </w:r>
      <w:r w:rsidRPr="00E72ABD">
        <w:t xml:space="preserve">in peacekeeping operations financed by the European Union and the UN is </w:t>
      </w:r>
      <w:r w:rsidR="00E775EF" w:rsidRPr="00E72ABD">
        <w:t xml:space="preserve">increasingly </w:t>
      </w:r>
      <w:r w:rsidRPr="00E72ABD">
        <w:t>decried by international non-</w:t>
      </w:r>
      <w:r w:rsidR="007F5B89">
        <w:t>Government</w:t>
      </w:r>
      <w:r w:rsidRPr="00E72ABD">
        <w:t xml:space="preserve">al organizations and </w:t>
      </w:r>
      <w:r w:rsidR="002E6630">
        <w:t>Burundian</w:t>
      </w:r>
      <w:r w:rsidRPr="00E72ABD">
        <w:t xml:space="preserve"> human rights defenders.</w:t>
      </w:r>
    </w:p>
    <w:p w14:paraId="04604D39" w14:textId="496C3840" w:rsidR="003D5320" w:rsidRPr="00E72ABD" w:rsidRDefault="0054022D" w:rsidP="003D5320">
      <w:pPr>
        <w:pStyle w:val="H56G"/>
      </w:pPr>
      <w:r>
        <w:tab/>
      </w:r>
      <w:r>
        <w:tab/>
        <w:t>(ii)</w:t>
      </w:r>
      <w:r>
        <w:tab/>
        <w:t>The police f</w:t>
      </w:r>
      <w:r w:rsidR="003D5320" w:rsidRPr="00E72ABD">
        <w:t>orce</w:t>
      </w:r>
    </w:p>
    <w:p w14:paraId="7D7F3C59" w14:textId="03C418F3" w:rsidR="003D5320" w:rsidRPr="00E72ABD" w:rsidRDefault="003D5320" w:rsidP="003D5320">
      <w:pPr>
        <w:pStyle w:val="SingleTxtG"/>
      </w:pPr>
      <w:r w:rsidRPr="00E72ABD">
        <w:t>536.</w:t>
      </w:r>
      <w:r w:rsidRPr="00E72ABD">
        <w:tab/>
        <w:t xml:space="preserve">The </w:t>
      </w:r>
      <w:r w:rsidR="002E6630">
        <w:t>Burundian</w:t>
      </w:r>
      <w:r w:rsidRPr="00E72ABD">
        <w:t xml:space="preserve"> National Police Force (PNB) is marked by the absence of team spirit, although the Arusha Peace Agreement provides an integration process of fighters from various armed political movements alongside a fusion of the </w:t>
      </w:r>
      <w:r w:rsidR="0054022D">
        <w:t>former various p</w:t>
      </w:r>
      <w:r w:rsidRPr="00E72ABD">
        <w:t xml:space="preserve">olice </w:t>
      </w:r>
      <w:r w:rsidR="0054022D">
        <w:t>f</w:t>
      </w:r>
      <w:r w:rsidRPr="00E72ABD">
        <w:t xml:space="preserve">orces which had been managed separately by various Ministries. These include the gendarmerie, penitentiary police, judicial police, air and border police, and public security police. The process induced a mixing rather than integration of forces, and original solidarities led to the establishment of parallel command structures, thus making more complex hierarchical control of already complex police forces. In fact, some units, such as the one in charge of protecting institutions (API), are </w:t>
      </w:r>
      <w:r w:rsidRPr="00E72ABD">
        <w:rPr>
          <w:i/>
        </w:rPr>
        <w:t>de facto</w:t>
      </w:r>
      <w:r w:rsidRPr="00E72ABD">
        <w:t xml:space="preserve"> attached to the President of the Republic and not the </w:t>
      </w:r>
      <w:r w:rsidR="00EF2D2F" w:rsidRPr="00E72ABD">
        <w:t>Minister</w:t>
      </w:r>
      <w:r w:rsidRPr="00E72ABD">
        <w:t xml:space="preserve"> of Public Security. The Director General of the Police does not have direct control over all the police forces due to the numerous Directorate Generals found within the Ministry of Public Security. </w:t>
      </w:r>
      <w:r w:rsidRPr="00E72ABD">
        <w:rPr>
          <w:cs/>
        </w:rPr>
        <w:t>“</w:t>
      </w:r>
      <w:r w:rsidRPr="00E72ABD">
        <w:t>There is a spirit of victor and vanquished which has progressively gained grounds in the management and functioning of the Police. Former rebels remain the protégés and defenders of the political regime</w:t>
      </w:r>
      <w:r w:rsidRPr="00E72ABD">
        <w:rPr>
          <w:cs/>
        </w:rPr>
        <w:t>”</w:t>
      </w:r>
      <w:r w:rsidR="00B048A0" w:rsidRPr="00E72ABD">
        <w:rPr>
          <w:rFonts w:hint="cs"/>
          <w:cs/>
        </w:rPr>
        <w:t>.</w:t>
      </w:r>
      <w:r w:rsidRPr="00E72ABD">
        <w:rPr>
          <w:rStyle w:val="FootnoteReference"/>
        </w:rPr>
        <w:footnoteReference w:id="489"/>
      </w:r>
      <w:r w:rsidRPr="00E72ABD">
        <w:t xml:space="preserve"> Not only is the police under the executive power more than the </w:t>
      </w:r>
      <w:r w:rsidR="00B048A0" w:rsidRPr="00E72ABD">
        <w:t>A</w:t>
      </w:r>
      <w:r w:rsidRPr="00E72ABD">
        <w:t xml:space="preserve">rmy is, but it has absorbed a great number of CNDD-FDD fighters, and ethnic quotas provided for by the Constitution and the Arusha Peace Agreement are no longer respected. Its infamous generalized impunity and corruption makes it a </w:t>
      </w:r>
      <w:r w:rsidR="00B048A0" w:rsidRPr="00E72ABD">
        <w:t xml:space="preserve">security </w:t>
      </w:r>
      <w:r w:rsidRPr="00E72ABD">
        <w:t>force which has lost the confidence of the population.</w:t>
      </w:r>
    </w:p>
    <w:p w14:paraId="153B2ED3" w14:textId="0D577624" w:rsidR="003D5320" w:rsidRPr="00E72ABD" w:rsidRDefault="003D5320" w:rsidP="003D5320">
      <w:pPr>
        <w:pStyle w:val="SingleTxtG"/>
      </w:pPr>
      <w:r w:rsidRPr="00E72ABD">
        <w:t>537.</w:t>
      </w:r>
      <w:r w:rsidRPr="00E72ABD">
        <w:tab/>
      </w:r>
      <w:r w:rsidR="00877A68">
        <w:t>In 2005, mixed</w:t>
      </w:r>
      <w:r w:rsidR="00805DD3" w:rsidRPr="00E72ABD">
        <w:t xml:space="preserve"> </w:t>
      </w:r>
      <w:r w:rsidR="00877A68">
        <w:t>h</w:t>
      </w:r>
      <w:r w:rsidR="00062368" w:rsidRPr="00E72ABD">
        <w:t xml:space="preserve">uman </w:t>
      </w:r>
      <w:r w:rsidR="00877A68">
        <w:t>s</w:t>
      </w:r>
      <w:r w:rsidR="00062368" w:rsidRPr="00E72ABD">
        <w:t xml:space="preserve">ecurity </w:t>
      </w:r>
      <w:r w:rsidR="00877A68">
        <w:t>c</w:t>
      </w:r>
      <w:r w:rsidRPr="00E72ABD">
        <w:t>ommittees were established in some province</w:t>
      </w:r>
      <w:r w:rsidR="00B048A0" w:rsidRPr="00E72ABD">
        <w:t>s</w:t>
      </w:r>
      <w:r w:rsidRPr="00E72ABD">
        <w:t xml:space="preserve"> as experiment to narrow the gap between the police force and the population. They comprised representatives of the “four pillars of security”, that is the </w:t>
      </w:r>
      <w:r w:rsidR="0087755A" w:rsidRPr="00E72ABD">
        <w:t>p</w:t>
      </w:r>
      <w:r w:rsidR="00B048A0" w:rsidRPr="00E72ABD">
        <w:t>olice</w:t>
      </w:r>
      <w:r w:rsidRPr="00E72ABD">
        <w:t xml:space="preserve">, </w:t>
      </w:r>
      <w:r w:rsidR="00B048A0" w:rsidRPr="00E72ABD">
        <w:t>the Administration</w:t>
      </w:r>
      <w:r w:rsidRPr="00E72ABD">
        <w:t xml:space="preserve">, </w:t>
      </w:r>
      <w:r w:rsidR="00B048A0" w:rsidRPr="00E72ABD">
        <w:t>the Judiciary</w:t>
      </w:r>
      <w:r w:rsidRPr="00E72ABD">
        <w:t xml:space="preserve">, and </w:t>
      </w:r>
      <w:r w:rsidR="00B048A0" w:rsidRPr="00E72ABD">
        <w:t xml:space="preserve">the </w:t>
      </w:r>
      <w:r w:rsidRPr="00E72ABD">
        <w:t xml:space="preserve">population, including civil society representatives. These Committees were to provide a framework for early warning and prevention in terms of security. In 2014, an order signed by the </w:t>
      </w:r>
      <w:r w:rsidR="00EF2D2F" w:rsidRPr="00E72ABD">
        <w:t>Minister</w:t>
      </w:r>
      <w:r w:rsidRPr="00E72ABD">
        <w:t xml:space="preserve"> </w:t>
      </w:r>
      <w:r w:rsidR="00BF5441" w:rsidRPr="00E72ABD">
        <w:t xml:space="preserve">of Interior </w:t>
      </w:r>
      <w:r w:rsidRPr="00E72ABD">
        <w:t xml:space="preserve">and the </w:t>
      </w:r>
      <w:r w:rsidR="00EF2D2F" w:rsidRPr="00E72ABD">
        <w:t>Minister</w:t>
      </w:r>
      <w:r w:rsidRPr="00E72ABD">
        <w:t xml:space="preserve"> of Public Security extended these Committees to all the provinces and diversified </w:t>
      </w:r>
      <w:r w:rsidR="00805DD3" w:rsidRPr="00E72ABD">
        <w:t xml:space="preserve">and extended </w:t>
      </w:r>
      <w:r w:rsidRPr="00E72ABD">
        <w:t>their missions</w:t>
      </w:r>
      <w:r w:rsidR="00805DD3" w:rsidRPr="00E72ABD">
        <w:t xml:space="preserve"> to dozens of diverse tasks, such as </w:t>
      </w:r>
      <w:r w:rsidRPr="00E72ABD">
        <w:t>protecting the population against political and economic threats</w:t>
      </w:r>
      <w:r w:rsidR="00805DD3" w:rsidRPr="00E72ABD">
        <w:t>;</w:t>
      </w:r>
      <w:r w:rsidRPr="00E72ABD">
        <w:t xml:space="preserve"> enforcing the principle of accountability, transparency and answerability to the population</w:t>
      </w:r>
      <w:r w:rsidR="00805DD3" w:rsidRPr="00E72ABD">
        <w:t>;</w:t>
      </w:r>
      <w:r w:rsidRPr="00E72ABD">
        <w:t xml:space="preserve"> upholding human rights</w:t>
      </w:r>
      <w:r w:rsidR="00805DD3" w:rsidRPr="00E72ABD">
        <w:t>;</w:t>
      </w:r>
      <w:r w:rsidRPr="00E72ABD">
        <w:t xml:space="preserve"> investing in patriotic educatio</w:t>
      </w:r>
      <w:r w:rsidR="00805DD3" w:rsidRPr="00E72ABD">
        <w:t>n;</w:t>
      </w:r>
      <w:r w:rsidRPr="00E72ABD">
        <w:t xml:space="preserve"> as well as information about the electoral process and family planning.</w:t>
      </w:r>
      <w:r w:rsidRPr="00E72ABD">
        <w:rPr>
          <w:rStyle w:val="FootnoteReference"/>
        </w:rPr>
        <w:footnoteReference w:id="490"/>
      </w:r>
    </w:p>
    <w:p w14:paraId="1A801E4F" w14:textId="0A24E4E5" w:rsidR="003D5320" w:rsidRPr="00E72ABD" w:rsidRDefault="003D5320" w:rsidP="003D5320">
      <w:pPr>
        <w:pStyle w:val="SingleTxtG"/>
      </w:pPr>
      <w:r w:rsidRPr="00E72ABD">
        <w:t>538.</w:t>
      </w:r>
      <w:r w:rsidRPr="00E72ABD">
        <w:tab/>
        <w:t xml:space="preserve">Imbonerakure quickly took-over control of these </w:t>
      </w:r>
      <w:r w:rsidR="00877A68">
        <w:t>mixed security c</w:t>
      </w:r>
      <w:r w:rsidR="00805DD3" w:rsidRPr="00E72ABD">
        <w:t>ommittees</w:t>
      </w:r>
      <w:r w:rsidRPr="00E72ABD">
        <w:t xml:space="preserve">, as civil society representatives. As a result, these </w:t>
      </w:r>
      <w:r w:rsidR="00877A68">
        <w:t>c</w:t>
      </w:r>
      <w:r w:rsidRPr="00E72ABD">
        <w:t xml:space="preserve">ommittees became </w:t>
      </w:r>
      <w:r w:rsidRPr="00E72ABD">
        <w:rPr>
          <w:cs/>
        </w:rPr>
        <w:t>“</w:t>
      </w:r>
      <w:r w:rsidRPr="00E72ABD">
        <w:t>places where the misconduct of the ruling party</w:t>
      </w:r>
      <w:r w:rsidRPr="00E72ABD">
        <w:rPr>
          <w:cs/>
        </w:rPr>
        <w:t>’</w:t>
      </w:r>
      <w:r w:rsidRPr="00E72ABD">
        <w:t>s youth wing was justified</w:t>
      </w:r>
      <w:r w:rsidRPr="00E72ABD">
        <w:rPr>
          <w:cs/>
        </w:rPr>
        <w:t>”</w:t>
      </w:r>
      <w:r w:rsidRPr="00E72ABD">
        <w:t xml:space="preserve">. On a regular basis, some Imbonerakure replaced police officers on the field, conducting patrols, arrests and detentions, and committing crimes which are supported by administrative authorities, because they are members of the </w:t>
      </w:r>
      <w:r w:rsidR="00877A68">
        <w:t>mixed security</w:t>
      </w:r>
      <w:r w:rsidR="00805DD3" w:rsidRPr="00E72ABD">
        <w:t xml:space="preserve"> </w:t>
      </w:r>
      <w:r w:rsidR="00877A68">
        <w:t>c</w:t>
      </w:r>
      <w:r w:rsidRPr="00E72ABD">
        <w:t xml:space="preserve">ommittees. With time, Imbonerakure went as far as defying </w:t>
      </w:r>
      <w:r w:rsidR="00805DD3" w:rsidRPr="00E72ABD">
        <w:t xml:space="preserve">the authority of the </w:t>
      </w:r>
      <w:r w:rsidR="0087755A" w:rsidRPr="00E72ABD">
        <w:t>p</w:t>
      </w:r>
      <w:r w:rsidRPr="00E72ABD">
        <w:t>olice</w:t>
      </w:r>
      <w:r w:rsidR="00805DD3" w:rsidRPr="00E72ABD">
        <w:t>, the local A</w:t>
      </w:r>
      <w:r w:rsidRPr="00E72ABD">
        <w:t>dministrati</w:t>
      </w:r>
      <w:r w:rsidR="00805DD3" w:rsidRPr="00E72ABD">
        <w:t>on</w:t>
      </w:r>
      <w:r w:rsidRPr="00E72ABD">
        <w:t xml:space="preserve">, </w:t>
      </w:r>
      <w:r w:rsidR="00805DD3" w:rsidRPr="00E72ABD">
        <w:t>and even the Judiciary</w:t>
      </w:r>
      <w:r w:rsidRPr="00E72ABD">
        <w:t>.</w:t>
      </w:r>
      <w:r w:rsidRPr="00E72ABD">
        <w:rPr>
          <w:rStyle w:val="FootnoteReference"/>
        </w:rPr>
        <w:footnoteReference w:id="491"/>
      </w:r>
    </w:p>
    <w:p w14:paraId="40178561" w14:textId="3A1BA53F" w:rsidR="003D5320" w:rsidRPr="00E72ABD" w:rsidRDefault="003D5320" w:rsidP="003D5320">
      <w:pPr>
        <w:pStyle w:val="SingleTxtG"/>
      </w:pPr>
      <w:r w:rsidRPr="00E72ABD">
        <w:t>539.</w:t>
      </w:r>
      <w:r w:rsidRPr="00E72ABD">
        <w:tab/>
        <w:t xml:space="preserve">Even though the </w:t>
      </w:r>
      <w:r w:rsidR="0087755A" w:rsidRPr="00E72ABD">
        <w:t>p</w:t>
      </w:r>
      <w:r w:rsidR="00805DD3" w:rsidRPr="00E72ABD">
        <w:t xml:space="preserve">olice </w:t>
      </w:r>
      <w:r w:rsidRPr="00E72ABD">
        <w:t xml:space="preserve">is in principle considered close to the ruling party, it is </w:t>
      </w:r>
      <w:r w:rsidRPr="00E72ABD">
        <w:rPr>
          <w:i/>
        </w:rPr>
        <w:t>de facto</w:t>
      </w:r>
      <w:r w:rsidRPr="00E72ABD">
        <w:t xml:space="preserve"> marginalized in some parts of the country where its missions have been taken over by the Imbonerakure who no longer show respect towards the </w:t>
      </w:r>
      <w:r w:rsidR="00062368" w:rsidRPr="00E72ABD">
        <w:t>p</w:t>
      </w:r>
      <w:r w:rsidRPr="00E72ABD">
        <w:t xml:space="preserve">olice and do not hesitate to oppose its members. Beyond any doubt, this situation has an impact on the motivation of police officers and internal dynamics of this </w:t>
      </w:r>
      <w:r w:rsidR="00805DD3" w:rsidRPr="00E72ABD">
        <w:t>F</w:t>
      </w:r>
      <w:r w:rsidRPr="00E72ABD">
        <w:t>orce.</w:t>
      </w:r>
    </w:p>
    <w:p w14:paraId="6164BB6B" w14:textId="77777777" w:rsidR="003D5320" w:rsidRPr="00E72ABD" w:rsidRDefault="003D5320" w:rsidP="003D5320">
      <w:pPr>
        <w:pStyle w:val="H56G"/>
      </w:pPr>
      <w:r w:rsidRPr="00E72ABD">
        <w:tab/>
      </w:r>
      <w:r w:rsidRPr="00E72ABD">
        <w:tab/>
        <w:t>(iii)</w:t>
      </w:r>
      <w:r w:rsidRPr="00E72ABD">
        <w:tab/>
        <w:t>The SNR</w:t>
      </w:r>
    </w:p>
    <w:p w14:paraId="7076E843" w14:textId="2EA52FC0" w:rsidR="003D5320" w:rsidRPr="00E72ABD" w:rsidRDefault="003D5320" w:rsidP="003D5320">
      <w:pPr>
        <w:pStyle w:val="SingleTxtG"/>
      </w:pPr>
      <w:r w:rsidRPr="00E72ABD">
        <w:t>540.</w:t>
      </w:r>
      <w:r w:rsidRPr="00E72ABD">
        <w:tab/>
        <w:t>Until June 2018, the SNR was part of the established defence and security force</w:t>
      </w:r>
      <w:r w:rsidR="00805DD3" w:rsidRPr="00E72ABD">
        <w:t>s</w:t>
      </w:r>
      <w:r w:rsidRPr="00E72ABD">
        <w:t xml:space="preserve"> and as such</w:t>
      </w:r>
      <w:r w:rsidR="00805DD3" w:rsidRPr="00E72ABD">
        <w:t>,</w:t>
      </w:r>
      <w:r w:rsidRPr="00E72ABD">
        <w:t xml:space="preserve"> under the authority of </w:t>
      </w:r>
      <w:r w:rsidR="000404BB">
        <w:t xml:space="preserve">the </w:t>
      </w:r>
      <w:r w:rsidR="007F5B89">
        <w:t>Government</w:t>
      </w:r>
      <w:r w:rsidRPr="00E72ABD">
        <w:t xml:space="preserve"> and the </w:t>
      </w:r>
      <w:r w:rsidR="00805DD3" w:rsidRPr="00E72ABD">
        <w:t xml:space="preserve">civilian </w:t>
      </w:r>
      <w:r w:rsidRPr="00E72ABD">
        <w:t>oversight of Parliament. This was despite the fact that its budgets for functioning and equipment were incorporated in the President of the Republic</w:t>
      </w:r>
      <w:r w:rsidRPr="00E72ABD">
        <w:rPr>
          <w:cs/>
        </w:rPr>
        <w:t>’</w:t>
      </w:r>
      <w:r w:rsidRPr="00E72ABD">
        <w:t xml:space="preserve">s budget. The 2018 Constitution places SNR outside the established defence and security forces, and as such is </w:t>
      </w:r>
      <w:r w:rsidRPr="00E72ABD">
        <w:rPr>
          <w:i/>
        </w:rPr>
        <w:t>de facto</w:t>
      </w:r>
      <w:r w:rsidRPr="00E72ABD">
        <w:t xml:space="preserve"> exempted from civilian control and the 50% Hutus and 50% Tutsis ethnic quotas within defence and security forces enshrined in the Constitution. The SNR is now under the </w:t>
      </w:r>
      <w:r w:rsidR="00805DD3" w:rsidRPr="00E72ABD">
        <w:t xml:space="preserve">direct </w:t>
      </w:r>
      <w:r w:rsidRPr="00E72ABD">
        <w:t>authority and control of the President</w:t>
      </w:r>
      <w:r w:rsidR="00805DD3" w:rsidRPr="00E72ABD">
        <w:t>.</w:t>
      </w:r>
      <w:r w:rsidRPr="00E72ABD">
        <w:rPr>
          <w:rStyle w:val="FootnoteReference"/>
        </w:rPr>
        <w:footnoteReference w:id="492"/>
      </w:r>
    </w:p>
    <w:p w14:paraId="1CB93DDD" w14:textId="516F5464" w:rsidR="003D5320" w:rsidRPr="00E72ABD" w:rsidRDefault="003D5320" w:rsidP="003D5320">
      <w:pPr>
        <w:pStyle w:val="SingleTxtG"/>
      </w:pPr>
      <w:r w:rsidRPr="00E72ABD">
        <w:t>541.</w:t>
      </w:r>
      <w:r w:rsidRPr="00E72ABD">
        <w:tab/>
      </w:r>
      <w:r w:rsidR="00805DD3" w:rsidRPr="00E72ABD">
        <w:t>O</w:t>
      </w:r>
      <w:r w:rsidRPr="00E72ABD">
        <w:t xml:space="preserve">n 7 June 2019, the </w:t>
      </w:r>
      <w:r w:rsidR="002E6630">
        <w:t>Burundian</w:t>
      </w:r>
      <w:r w:rsidRPr="00E72ABD">
        <w:t xml:space="preserve"> Senate adopted two bills related to SNR presented by the </w:t>
      </w:r>
      <w:r w:rsidR="00EF2D2F" w:rsidRPr="00E72ABD">
        <w:t>Minister</w:t>
      </w:r>
      <w:r w:rsidRPr="00E72ABD">
        <w:t xml:space="preserve"> of National Defence: the organic bill on the missions, organization and functioning of SNR and the bill to amend </w:t>
      </w:r>
      <w:r w:rsidR="00C6327D">
        <w:t>l</w:t>
      </w:r>
      <w:r w:rsidRPr="00E72ABD">
        <w:t xml:space="preserve">aw </w:t>
      </w:r>
      <w:r w:rsidR="00805DD3" w:rsidRPr="00E72ABD">
        <w:t>n°</w:t>
      </w:r>
      <w:r w:rsidRPr="00E72ABD">
        <w:t xml:space="preserve">1/05 of 2 March 2006 laying down the statutes of SNR </w:t>
      </w:r>
      <w:r w:rsidR="00062368" w:rsidRPr="00E72ABD">
        <w:t>agents</w:t>
      </w:r>
      <w:r w:rsidRPr="00E72ABD">
        <w:t xml:space="preserve">. The </w:t>
      </w:r>
      <w:r w:rsidR="00EF2D2F" w:rsidRPr="00E72ABD">
        <w:t>Minister</w:t>
      </w:r>
      <w:r w:rsidRPr="00E72ABD">
        <w:t xml:space="preserve"> explained that the first bill was necessary to modernize SNR in a bid to make it a professional and efficient force, capable of living up to national security challenges. Among the main innovations, the law would comprise the maintenance of secrecy about the SNR missions, from budgetary preparation to </w:t>
      </w:r>
      <w:r w:rsidR="00D1497B" w:rsidRPr="00E72ABD">
        <w:t>agents’</w:t>
      </w:r>
      <w:r w:rsidR="00805DD3" w:rsidRPr="00E72ABD">
        <w:t xml:space="preserve"> </w:t>
      </w:r>
      <w:r w:rsidRPr="00E72ABD">
        <w:t xml:space="preserve">protection for service purposes and State security. It will also comprise widening the scope of SNR missions in order to fight current and potential threats to State security taking into consideration scientific and technological progress. The second bill aims </w:t>
      </w:r>
      <w:r w:rsidR="00CB7827">
        <w:t xml:space="preserve">to satisfy the need to </w:t>
      </w:r>
      <w:r w:rsidRPr="00E72ABD">
        <w:t>provid</w:t>
      </w:r>
      <w:r w:rsidR="00CB7827">
        <w:t>e</w:t>
      </w:r>
      <w:r w:rsidRPr="00E72ABD">
        <w:t xml:space="preserve"> the SNR </w:t>
      </w:r>
      <w:r w:rsidR="00805DD3" w:rsidRPr="00E72ABD">
        <w:t xml:space="preserve">officials </w:t>
      </w:r>
      <w:r w:rsidRPr="00E72ABD">
        <w:t>with some incentives and guarantees of a more stable career</w:t>
      </w:r>
      <w:r w:rsidR="00805DD3" w:rsidRPr="00E72ABD">
        <w:t>.</w:t>
      </w:r>
      <w:r w:rsidRPr="00E72ABD">
        <w:rPr>
          <w:rStyle w:val="FootnoteReference"/>
        </w:rPr>
        <w:footnoteReference w:id="493"/>
      </w:r>
    </w:p>
    <w:p w14:paraId="098713F1" w14:textId="754B6633" w:rsidR="003D5320" w:rsidRPr="00E72ABD" w:rsidRDefault="003D5320" w:rsidP="003D5320">
      <w:pPr>
        <w:pStyle w:val="SingleTxtG"/>
      </w:pPr>
      <w:r w:rsidRPr="00E72ABD">
        <w:t>542.</w:t>
      </w:r>
      <w:r w:rsidRPr="00E72ABD">
        <w:tab/>
        <w:t xml:space="preserve">Thus, SNR is a </w:t>
      </w:r>
      <w:r w:rsidR="00CB7827">
        <w:t>f</w:t>
      </w:r>
      <w:r w:rsidR="00F179C7" w:rsidRPr="00E72ABD">
        <w:t xml:space="preserve">orce </w:t>
      </w:r>
      <w:r w:rsidRPr="00E72ABD">
        <w:t xml:space="preserve">with a special statute as compared to that of the </w:t>
      </w:r>
      <w:r w:rsidR="0087755A" w:rsidRPr="00E72ABD">
        <w:t>p</w:t>
      </w:r>
      <w:r w:rsidR="00F179C7" w:rsidRPr="00E72ABD">
        <w:t xml:space="preserve">olice </w:t>
      </w:r>
      <w:r w:rsidRPr="00E72ABD">
        <w:t xml:space="preserve">or the </w:t>
      </w:r>
      <w:r w:rsidR="00F179C7" w:rsidRPr="00E72ABD">
        <w:t>Army</w:t>
      </w:r>
      <w:r w:rsidRPr="00E72ABD">
        <w:t xml:space="preserve">, and </w:t>
      </w:r>
      <w:r w:rsidR="00F179C7" w:rsidRPr="00E72ABD">
        <w:t xml:space="preserve">it </w:t>
      </w:r>
      <w:r w:rsidRPr="00E72ABD">
        <w:t xml:space="preserve">is the only one </w:t>
      </w:r>
      <w:r w:rsidR="00F179C7" w:rsidRPr="00E72ABD">
        <w:t xml:space="preserve">with a </w:t>
      </w:r>
      <w:r w:rsidR="00062368" w:rsidRPr="00E72ABD">
        <w:t>formal</w:t>
      </w:r>
      <w:r w:rsidR="00F179C7" w:rsidRPr="00E72ABD">
        <w:t xml:space="preserve"> direct relationship with </w:t>
      </w:r>
      <w:r w:rsidRPr="00E72ABD">
        <w:t>the President of the Republic. This sudden reorganization of security forces</w:t>
      </w:r>
      <w:r w:rsidR="00F179C7" w:rsidRPr="00E72ABD">
        <w:t xml:space="preserve">, which has not been explained or justified, </w:t>
      </w:r>
      <w:r w:rsidRPr="00E72ABD">
        <w:t>is a cause for concern.</w:t>
      </w:r>
    </w:p>
    <w:p w14:paraId="1E14B110" w14:textId="5A54B85B" w:rsidR="003D5320" w:rsidRPr="00E72ABD" w:rsidRDefault="003D5320" w:rsidP="003D5320">
      <w:pPr>
        <w:pStyle w:val="SingleTxtG"/>
      </w:pPr>
      <w:r w:rsidRPr="00E72ABD">
        <w:t>543.</w:t>
      </w:r>
      <w:r w:rsidRPr="00E72ABD">
        <w:tab/>
        <w:t xml:space="preserve">There are still some uncertainties as to the potential role of these defence and security forces in the upcoming elections. For example, there is a group called </w:t>
      </w:r>
      <w:r w:rsidRPr="00E72ABD">
        <w:rPr>
          <w:cs/>
        </w:rPr>
        <w:t>“</w:t>
      </w:r>
      <w:r w:rsidRPr="00E72ABD">
        <w:t>Defence and Security Forces</w:t>
      </w:r>
      <w:r w:rsidRPr="00E72ABD">
        <w:rPr>
          <w:cs/>
        </w:rPr>
        <w:t xml:space="preserve">” </w:t>
      </w:r>
      <w:r w:rsidRPr="00E72ABD">
        <w:t xml:space="preserve">(FDS) created in 2019, which presents itself as </w:t>
      </w:r>
      <w:r w:rsidR="00F179C7" w:rsidRPr="00E72ABD">
        <w:t>comprising acting police and army officials</w:t>
      </w:r>
      <w:r w:rsidRPr="00E72ABD">
        <w:t xml:space="preserve">. </w:t>
      </w:r>
      <w:r w:rsidR="00F179C7" w:rsidRPr="00E72ABD">
        <w:t>It</w:t>
      </w:r>
      <w:r w:rsidRPr="00E72ABD">
        <w:t xml:space="preserve"> stated that it is fighting against </w:t>
      </w:r>
      <w:r w:rsidRPr="00E72ABD">
        <w:rPr>
          <w:cs/>
        </w:rPr>
        <w:t>“</w:t>
      </w:r>
      <w:r w:rsidRPr="00E72ABD">
        <w:t>dictatorship and tyranny</w:t>
      </w:r>
      <w:r w:rsidRPr="00E72ABD">
        <w:rPr>
          <w:cs/>
        </w:rPr>
        <w:t xml:space="preserve">” </w:t>
      </w:r>
      <w:r w:rsidRPr="00E72ABD">
        <w:t xml:space="preserve">from President Nkurunziza and called on all </w:t>
      </w:r>
      <w:r w:rsidR="00F179C7" w:rsidRPr="00E72ABD">
        <w:t xml:space="preserve">members of the </w:t>
      </w:r>
      <w:r w:rsidRPr="00E72ABD">
        <w:t xml:space="preserve">defence and security forces </w:t>
      </w:r>
      <w:r w:rsidR="00F179C7" w:rsidRPr="00E72ABD">
        <w:t>to join them as the</w:t>
      </w:r>
      <w:r w:rsidRPr="00E72ABD">
        <w:t xml:space="preserve"> cohesion and professionalism </w:t>
      </w:r>
      <w:r w:rsidR="00F179C7" w:rsidRPr="00E72ABD">
        <w:t xml:space="preserve">of those forces </w:t>
      </w:r>
      <w:r w:rsidRPr="00E72ABD">
        <w:t xml:space="preserve">have been </w:t>
      </w:r>
      <w:r w:rsidR="00F03294" w:rsidRPr="00E72ABD">
        <w:t xml:space="preserve">impacted </w:t>
      </w:r>
      <w:r w:rsidRPr="00E72ABD">
        <w:t>by President Nkurunziza</w:t>
      </w:r>
      <w:r w:rsidRPr="00E72ABD">
        <w:rPr>
          <w:cs/>
        </w:rPr>
        <w:t>’</w:t>
      </w:r>
      <w:r w:rsidRPr="00E72ABD">
        <w:t xml:space="preserve">s </w:t>
      </w:r>
      <w:r w:rsidR="00F03294" w:rsidRPr="00E72ABD">
        <w:t>divisive policy.</w:t>
      </w:r>
      <w:r w:rsidRPr="00E72ABD">
        <w:rPr>
          <w:rStyle w:val="FootnoteReference"/>
        </w:rPr>
        <w:footnoteReference w:id="494"/>
      </w:r>
      <w:r w:rsidRPr="00E72ABD">
        <w:t xml:space="preserve"> Such statements once again shed light on </w:t>
      </w:r>
      <w:r w:rsidR="00F03294" w:rsidRPr="00E72ABD">
        <w:t xml:space="preserve">possible </w:t>
      </w:r>
      <w:r w:rsidRPr="00E72ABD">
        <w:t>underlying tensions.</w:t>
      </w:r>
    </w:p>
    <w:p w14:paraId="1AD9623F" w14:textId="77777777" w:rsidR="003D5320" w:rsidRPr="00E72ABD" w:rsidRDefault="003D5320" w:rsidP="003D5320">
      <w:pPr>
        <w:pStyle w:val="H1G"/>
      </w:pPr>
      <w:r w:rsidRPr="00E72ABD">
        <w:tab/>
        <w:t>C.</w:t>
      </w:r>
      <w:r w:rsidRPr="00E72ABD">
        <w:tab/>
        <w:t>Risk factor indicators</w:t>
      </w:r>
    </w:p>
    <w:p w14:paraId="209ABD8A" w14:textId="1411F5D6" w:rsidR="003D5320" w:rsidRPr="00E72ABD" w:rsidRDefault="003D5320" w:rsidP="003D5320">
      <w:pPr>
        <w:pStyle w:val="SingleTxtG"/>
      </w:pPr>
      <w:r w:rsidRPr="00E72ABD">
        <w:t>544.</w:t>
      </w:r>
      <w:r w:rsidRPr="00E72ABD">
        <w:tab/>
        <w:t xml:space="preserve">This </w:t>
      </w:r>
      <w:r w:rsidR="00F03294" w:rsidRPr="00E72ABD">
        <w:t>review</w:t>
      </w:r>
      <w:r w:rsidRPr="00E72ABD">
        <w:t xml:space="preserve"> of most significant developments </w:t>
      </w:r>
      <w:r w:rsidR="00F03294" w:rsidRPr="00E72ABD">
        <w:t xml:space="preserve">makes it possible to identify indicators that </w:t>
      </w:r>
      <w:r w:rsidRPr="00E72ABD">
        <w:t xml:space="preserve">are themselves linked to the eight common risk factors </w:t>
      </w:r>
      <w:r w:rsidR="00F03294" w:rsidRPr="00E72ABD">
        <w:t>identified in the Framework of An</w:t>
      </w:r>
      <w:r w:rsidR="0087755A" w:rsidRPr="00E72ABD">
        <w:t>a</w:t>
      </w:r>
      <w:r w:rsidR="00F03294" w:rsidRPr="00E72ABD">
        <w:t>lysis for A</w:t>
      </w:r>
      <w:r w:rsidRPr="00E72ABD">
        <w:t xml:space="preserve">trocity </w:t>
      </w:r>
      <w:r w:rsidR="00F03294" w:rsidRPr="00E72ABD">
        <w:t>Crimes</w:t>
      </w:r>
      <w:r w:rsidRPr="00E72ABD">
        <w:t>.</w:t>
      </w:r>
    </w:p>
    <w:p w14:paraId="6B6628E1" w14:textId="25F22D6E" w:rsidR="003D5320" w:rsidRPr="00E72ABD" w:rsidRDefault="003D5320" w:rsidP="003D5320">
      <w:pPr>
        <w:pStyle w:val="SingleTxtG"/>
      </w:pPr>
      <w:r w:rsidRPr="00E72ABD">
        <w:t>545.</w:t>
      </w:r>
      <w:r w:rsidRPr="00E72ABD">
        <w:tab/>
      </w:r>
      <w:r w:rsidR="00F03294" w:rsidRPr="00E72ABD">
        <w:rPr>
          <w:lang w:val="en-US"/>
        </w:rPr>
        <w:t xml:space="preserve">Insecurity creates an environment that is conducive to atrocity crimes (risk factor 1). The existence of such an environment is suggested by the following indicators: many </w:t>
      </w:r>
      <w:r w:rsidR="002E6630">
        <w:rPr>
          <w:lang w:val="en-US"/>
        </w:rPr>
        <w:t>Burundian</w:t>
      </w:r>
      <w:r w:rsidR="00F03294" w:rsidRPr="00E72ABD">
        <w:rPr>
          <w:lang w:val="en-US"/>
        </w:rPr>
        <w:t>s, both in the country and abroad, are living through a humanitarian emergency (risk factor 1 (c)); the transfer of power of 2015 triggered a major political crisis that has not yet been resolved (risk factor 1 (d)); there is a risk of political instability caused by probable power struggles within CNDD-FDD and by the existence of armed opposition movements (risk factor 1 (e)); political tension is being generated by an autocratic regime that engages in severe political repression of all its opponents, real or perceived (risk factor 1 (f)); there is economic instability caused by scarcity of resources (risk factor 1 (g)), a severe crisis in the national economy (risk factor 1 (h)) and the acute poverty of the population (risk factor 1 (i))</w:t>
      </w:r>
      <w:r w:rsidRPr="00E72ABD">
        <w:t>.</w:t>
      </w:r>
    </w:p>
    <w:p w14:paraId="493B2019" w14:textId="4E564A8B" w:rsidR="003D5320" w:rsidRPr="00E72ABD" w:rsidRDefault="003D5320" w:rsidP="003D5320">
      <w:pPr>
        <w:pStyle w:val="SingleTxtG"/>
      </w:pPr>
      <w:r w:rsidRPr="00E72ABD">
        <w:t>546.</w:t>
      </w:r>
      <w:r w:rsidRPr="00E72ABD">
        <w:tab/>
      </w:r>
      <w:r w:rsidR="004F3AB9" w:rsidRPr="00E72ABD">
        <w:rPr>
          <w:lang w:val="en-US"/>
        </w:rPr>
        <w:t xml:space="preserve">Risk factor 2 is related to a history of serious human rights violations that, because they have not been prevented or punished, create a risk of further violations. The presence of this risk factor is revealed by the following indicators: past or present serious human rights violations (risk factor 2 (a)); acts of genocide, crimes against humanity and war crimes that have marked the country’s recent history (risk factor 2 (b)); a policy or practice of impunity for or tolerance of serious human rights violations (risk factor 2 (c)); the refusal or reluctance of the </w:t>
      </w:r>
      <w:r w:rsidR="007F5B89">
        <w:rPr>
          <w:lang w:val="en-US"/>
        </w:rPr>
        <w:t>Government</w:t>
      </w:r>
      <w:r w:rsidR="004F3AB9" w:rsidRPr="00E72ABD">
        <w:rPr>
          <w:lang w:val="en-US"/>
        </w:rPr>
        <w:t xml:space="preserve"> of Burundi to use all possible means to put an end to serious human rights violations (risk factor 2 (d)); the continuation of support by the </w:t>
      </w:r>
      <w:r w:rsidR="002E6630">
        <w:rPr>
          <w:lang w:val="en-US"/>
        </w:rPr>
        <w:t>Burundian</w:t>
      </w:r>
      <w:r w:rsidR="004F3AB9" w:rsidRPr="00E72ABD">
        <w:rPr>
          <w:lang w:val="en-US"/>
        </w:rPr>
        <w:t xml:space="preserve"> authorities for groups accused of involvement in violations and the failure to condemn their actions (risk factor 2 (e)); the </w:t>
      </w:r>
      <w:r w:rsidR="007F5B89">
        <w:rPr>
          <w:lang w:val="en-US"/>
        </w:rPr>
        <w:t>Government</w:t>
      </w:r>
      <w:r w:rsidR="004F3AB9" w:rsidRPr="00E72ABD">
        <w:rPr>
          <w:lang w:val="en-US"/>
        </w:rPr>
        <w:t>’s refusal to acknowledge serious human rights violations or its biased accounts thereof (risk factor 2 (f)); the absence of genuine reconciliation or transitional justice processes and the politicization of the work of the new Truth and Reconciliation Commission (risk factor 2 (g)); widespread mistrust of State institutions, particularly the security forces and the judicial system, as a result of impunity (risk factor 2 (h)).</w:t>
      </w:r>
    </w:p>
    <w:p w14:paraId="7C4B2955" w14:textId="641F8FD2" w:rsidR="003D5320" w:rsidRPr="00E72ABD" w:rsidRDefault="003D5320" w:rsidP="003D5320">
      <w:pPr>
        <w:pStyle w:val="SingleTxtG"/>
      </w:pPr>
      <w:r w:rsidRPr="00E72ABD">
        <w:t>547.</w:t>
      </w:r>
      <w:r w:rsidRPr="00E72ABD">
        <w:tab/>
      </w:r>
      <w:r w:rsidR="004F3AB9" w:rsidRPr="00E72ABD">
        <w:rPr>
          <w:lang w:val="en-US"/>
        </w:rPr>
        <w:t xml:space="preserve">Risk factor 3, the weakness of State structures, which negatively affects the capacity of a State to prevent, halt or prosecute atrocity crimes, is also present. National institutions, particularly </w:t>
      </w:r>
      <w:r w:rsidR="00063D36">
        <w:rPr>
          <w:lang w:val="en-US"/>
        </w:rPr>
        <w:t xml:space="preserve">the </w:t>
      </w:r>
      <w:r w:rsidR="004F3AB9" w:rsidRPr="00E72ABD">
        <w:rPr>
          <w:lang w:val="en-US"/>
        </w:rPr>
        <w:t>judicial, law enforcement and human rights institutions, lack sufficient resources and adequate representation (risk factor 3 (b)); the justice system is neither independent nor impartial (risk factor 3 (c));</w:t>
      </w:r>
      <w:r w:rsidR="004F3AB9" w:rsidRPr="00E72ABD">
        <w:rPr>
          <w:rStyle w:val="FootnoteReference"/>
        </w:rPr>
        <w:footnoteReference w:id="495"/>
      </w:r>
      <w:r w:rsidR="004F3AB9" w:rsidRPr="00E72ABD">
        <w:rPr>
          <w:lang w:val="en-US"/>
        </w:rPr>
        <w:t xml:space="preserve"> civilian control of the security forces (by Parliament) is not effective (risk factor 3 (d)); there are high levels of corruption or poor governance (risk factor 3 (e));</w:t>
      </w:r>
      <w:r w:rsidR="004F3AB9" w:rsidRPr="00E72ABD">
        <w:rPr>
          <w:rStyle w:val="FootnoteReference"/>
        </w:rPr>
        <w:footnoteReference w:id="496"/>
      </w:r>
      <w:r w:rsidR="004F3AB9" w:rsidRPr="00E72ABD">
        <w:rPr>
          <w:lang w:val="en-US"/>
        </w:rPr>
        <w:t xml:space="preserve"> the internal oversight and accountability mechanisms whereby victims can seek recourse for their claims are inadequate or ineffective, and the external mechanisms are virtually non-existent or almost inaccessible to victims (risk factor 3 (f)).</w:t>
      </w:r>
    </w:p>
    <w:p w14:paraId="6A7DA24E" w14:textId="5AAA79B4" w:rsidR="003D5320" w:rsidRPr="00E72ABD" w:rsidRDefault="003D5320" w:rsidP="003D5320">
      <w:pPr>
        <w:pStyle w:val="SingleTxtG"/>
      </w:pPr>
      <w:r w:rsidRPr="00E72ABD">
        <w:t>548.</w:t>
      </w:r>
      <w:r w:rsidRPr="00E72ABD">
        <w:tab/>
      </w:r>
      <w:r w:rsidR="004F3AB9" w:rsidRPr="00E72ABD">
        <w:rPr>
          <w:lang w:val="en-US"/>
        </w:rPr>
        <w:t xml:space="preserve">Risk factor 4 is the existence of reasons, aims or drivers that justify the use of violence against particular groups. From an early warning perspective, it is important to be able to identify motivations or drivers that could encourage groups to resort to widespread violence in an attempt to achieve their goals. This factor is shown to be present by: politically motivated acts that, as regularly </w:t>
      </w:r>
      <w:r w:rsidR="00063D36">
        <w:rPr>
          <w:lang w:val="en-US"/>
        </w:rPr>
        <w:t>recalled</w:t>
      </w:r>
      <w:r w:rsidR="004F3AB9" w:rsidRPr="00E72ABD">
        <w:rPr>
          <w:lang w:val="en-US"/>
        </w:rPr>
        <w:t xml:space="preserve"> by members of the </w:t>
      </w:r>
      <w:r w:rsidR="007F5B89">
        <w:rPr>
          <w:lang w:val="en-US"/>
        </w:rPr>
        <w:t>Government</w:t>
      </w:r>
      <w:r w:rsidR="004F3AB9" w:rsidRPr="00E72ABD">
        <w:rPr>
          <w:lang w:val="en-US"/>
        </w:rPr>
        <w:t xml:space="preserve"> and CNDD-FDD, are aimed at the consolidation of power (risk factor 4 (a)); economic interests linked to the preservation of power, as power is the key to control over the distribution of resources (risk factor 4 (b)); real or perceived threats to the interests or objectives of the </w:t>
      </w:r>
      <w:r w:rsidR="007F5B89">
        <w:rPr>
          <w:lang w:val="en-US"/>
        </w:rPr>
        <w:t>Government</w:t>
      </w:r>
      <w:r w:rsidR="004F3AB9" w:rsidRPr="00E72ABD">
        <w:rPr>
          <w:lang w:val="en-US"/>
        </w:rPr>
        <w:t>, including any form of disloyalty to the CNDD-FDD cause (risk factor 4 (e)); real or perceived membership of or support for armed opposition groups (risk factor 4 (f)); the ideology of CNDD-FDD, characterized by a view of the party as the embodiment of truth and thus belief in the supremacy of this political identity (risk factor 4 (g)); the politicization of past grievances, tensions or cases of impunity (risk factor 4 (h)); social trauma caused by past incidents of violence that, not adequately addressed, have aroused feelings of loss, displacement, injustice and a possible desire for revenge (risk factor 4 (i)).</w:t>
      </w:r>
    </w:p>
    <w:p w14:paraId="70C8710F" w14:textId="1B6F74A9" w:rsidR="003D5320" w:rsidRPr="00E72ABD" w:rsidRDefault="003D5320" w:rsidP="003D5320">
      <w:pPr>
        <w:pStyle w:val="SingleTxtG"/>
      </w:pPr>
      <w:r w:rsidRPr="00E72ABD">
        <w:t>549.</w:t>
      </w:r>
      <w:r w:rsidRPr="00E72ABD">
        <w:tab/>
      </w:r>
      <w:r w:rsidR="004F3AB9" w:rsidRPr="00E72ABD">
        <w:rPr>
          <w:lang w:val="en-US"/>
        </w:rPr>
        <w:t>Risk factor 5 refers to the capacity of potential perpetrators to commit atrocity crimes. This factor must be assessed in conjunction with other factors, such as those related to intent and motivation. In Burundi, this factor is gauged by: the availability of personnel and of arms and ammunition or of financial resources, public or private, for their procurement (risk factor 5 (a)); the capacity to transport and deploy personnel and to transport and distribute arms and ammunition (risk factor 5 (b)); the capacity to encourage or recruit large numbers of supporters – Imbonerakure, for example – from populations or groups and the availability of the means to mobilize them (risk factor 5 (c)); a strong culture of obedience to authority and group conformity, a culture by which CNDD-FDD and the Imbonerakure are characterized (risk factor 5 (d)); the presence of or links with other armed forces or with non-State armed groups (risk factor 5 (e)).</w:t>
      </w:r>
    </w:p>
    <w:p w14:paraId="54A64DC6" w14:textId="3EEE9983" w:rsidR="003D5320" w:rsidRPr="00E72ABD" w:rsidRDefault="003D5320" w:rsidP="003D5320">
      <w:pPr>
        <w:pStyle w:val="SingleTxtG"/>
      </w:pPr>
      <w:r w:rsidRPr="00E72ABD">
        <w:t>550.</w:t>
      </w:r>
      <w:r w:rsidRPr="00E72ABD">
        <w:tab/>
      </w:r>
      <w:r w:rsidR="004F3AB9" w:rsidRPr="00E72ABD">
        <w:rPr>
          <w:lang w:val="en-US"/>
        </w:rPr>
        <w:t xml:space="preserve">Mitigating factors are the internal and external elements that can contribute to preventing an escalation of violence, ending it or lessening its impact. The absence of such factors (risk factor 6) in Burundi is significant, as demonstrated by: the lack of a strong, organized and representative national civil society and of a free, diverse and independent national media (risk factor 6 (b)); the lack of access to international media (risk factor 6 (c)); the limited presence of the United Nations, international NGOs or other international or regional actors in the country with access to the people (risk factor 6 (d)); the lack of exposure to, openness towards or establishment of political or economic relations with other States (risk factor 6 (f)); the limited or even non-existent cooperation with international and regional human rights mechanisms (risk factor 6 (g)); the </w:t>
      </w:r>
      <w:r w:rsidR="007F5B89">
        <w:rPr>
          <w:lang w:val="en-US"/>
        </w:rPr>
        <w:t>Government</w:t>
      </w:r>
      <w:r w:rsidR="004F3AB9" w:rsidRPr="00E72ABD">
        <w:rPr>
          <w:lang w:val="en-US"/>
        </w:rPr>
        <w:t>’s unwillingness to engage in genuine dialogue to resolve the 2015 crisis, make concessions or receive support from the international community (risk factor 6 (h)); the lack of a warning mechanism, as the National Observatory for the Prevention and Eradication of Genocide, War Crimes and Other Crimes against Humanity does not serve as an independent mechanism of that sort (risk factor 6 (k)).</w:t>
      </w:r>
    </w:p>
    <w:p w14:paraId="0B02928E" w14:textId="67B0570D" w:rsidR="003D5320" w:rsidRPr="00E72ABD" w:rsidRDefault="003D5320" w:rsidP="003D5320">
      <w:pPr>
        <w:pStyle w:val="SingleTxtG"/>
      </w:pPr>
      <w:r w:rsidRPr="00E72ABD">
        <w:t>551.</w:t>
      </w:r>
      <w:r w:rsidRPr="00E72ABD">
        <w:tab/>
      </w:r>
      <w:r w:rsidR="004F3AB9" w:rsidRPr="00E72ABD">
        <w:rPr>
          <w:lang w:val="en-US"/>
        </w:rPr>
        <w:t xml:space="preserve">Risk factor 7 refers to enabling circumstances or preparatory actions, whether sudden or gradual, that provide an environment conducive to the commission of atrocity crimes or suggest that they may occur. The main indicators of this risk in Burundi are: the interference with vital State institutions, or measures that result in changes to their composition or balance of power, as is the case with </w:t>
      </w:r>
      <w:r w:rsidR="00063D36">
        <w:rPr>
          <w:lang w:val="en-US"/>
        </w:rPr>
        <w:t>regard to</w:t>
      </w:r>
      <w:r w:rsidR="004F3AB9" w:rsidRPr="00E72ABD">
        <w:rPr>
          <w:lang w:val="en-US"/>
        </w:rPr>
        <w:t xml:space="preserve"> ethnic quotas (risk factor 7 (b)); the strengthening of the security apparatus or its reorganization or mobilization (risk factor 7 (c)); the expulsion or refusal to allow the presence of NGOs, international organizations, media or other relevant actors, or the imposition of severe restrictions on their services and movements (risk factor 7 (g)); the increase in the number of violations of the right to life, physical integrity, liberty or security of any person considered a political opponent since the onset of the 2015 crisis (risk factor 7 (h)); the increase in the number of serious acts of violence against women and children, or the creation of conditions that facilitate acts of sexual violence against them, including as a tool of terror (risk factor 7 (i)); the increased politicization of identity, past events or motivations for violence (risk factor 7 (m)); the increase in inflammatory rhetoric, propaganda campaigns or incitement to hatred targeting anyone considered a political opponent since the onset of the 2015 political crisis (risk factor 7 (n)).</w:t>
      </w:r>
    </w:p>
    <w:p w14:paraId="7CBCFB18" w14:textId="62AF4E12" w:rsidR="003D5320" w:rsidRPr="00E72ABD" w:rsidRDefault="003D5320" w:rsidP="003D5320">
      <w:pPr>
        <w:pStyle w:val="SingleTxtG"/>
      </w:pPr>
      <w:r w:rsidRPr="00E72ABD">
        <w:t>552.</w:t>
      </w:r>
      <w:r w:rsidRPr="00E72ABD">
        <w:tab/>
      </w:r>
      <w:r w:rsidR="004F3AB9" w:rsidRPr="00E72ABD">
        <w:rPr>
          <w:lang w:val="en-US"/>
        </w:rPr>
        <w:t xml:space="preserve">Triggering factors (risk factor 8) are also present, as evidenced by the following indicators: measures taken by the international community are perceived by the </w:t>
      </w:r>
      <w:r w:rsidR="002E6630">
        <w:rPr>
          <w:lang w:val="en-US"/>
        </w:rPr>
        <w:t>Burundian</w:t>
      </w:r>
      <w:r w:rsidR="004F3AB9" w:rsidRPr="00E72ABD">
        <w:rPr>
          <w:lang w:val="en-US"/>
        </w:rPr>
        <w:t xml:space="preserve"> authorities as threats to State sovereignty (risk factor 8 (c)); there was an abrupt or irregular transfer of power in 2015 (risk factor 8 (d)); attacks on the life, physical integrity, liberty or security of leaders, prominent individuals or members of opposition groups have been committed (risk factor 8 (e)); there is hate propaganda targeting political opponents (risk factor 8 (g)); presidential, parliamentary and local elections are scheduled for 2020 (risk factor 8 (h)); the commemoration, along </w:t>
      </w:r>
      <w:r w:rsidR="00063D36">
        <w:rPr>
          <w:lang w:val="en-US"/>
        </w:rPr>
        <w:t xml:space="preserve">ethnic lines, of past crimes, </w:t>
      </w:r>
      <w:r w:rsidR="004F3AB9" w:rsidRPr="00E72ABD">
        <w:rPr>
          <w:lang w:val="en-US"/>
        </w:rPr>
        <w:t xml:space="preserve">traumatic or historical incidents </w:t>
      </w:r>
      <w:r w:rsidR="00063D36">
        <w:rPr>
          <w:lang w:val="en-US"/>
        </w:rPr>
        <w:t xml:space="preserve">that </w:t>
      </w:r>
      <w:r w:rsidR="004F3AB9" w:rsidRPr="00E72ABD">
        <w:rPr>
          <w:lang w:val="en-US"/>
        </w:rPr>
        <w:t xml:space="preserve">could exacerbate tensions between groups (risk factor 8 (k)); acts related to the process for determining accountability for past atrocities </w:t>
      </w:r>
      <w:r w:rsidR="00063D36">
        <w:rPr>
          <w:lang w:val="en-US"/>
        </w:rPr>
        <w:t xml:space="preserve">that </w:t>
      </w:r>
      <w:r w:rsidR="004F3AB9" w:rsidRPr="00E72ABD">
        <w:rPr>
          <w:lang w:val="en-US"/>
        </w:rPr>
        <w:t>could be perceived as unfair (risk factor 8 (l)).</w:t>
      </w:r>
    </w:p>
    <w:p w14:paraId="78F9B9AE" w14:textId="0145F018" w:rsidR="003D5320" w:rsidRPr="00E72ABD" w:rsidRDefault="003D5320" w:rsidP="003D5320">
      <w:pPr>
        <w:pStyle w:val="SingleTxtG"/>
      </w:pPr>
      <w:r w:rsidRPr="00E72ABD">
        <w:t>553.</w:t>
      </w:r>
      <w:r w:rsidRPr="00E72ABD">
        <w:tab/>
        <w:t>So far, the Commission had not considered that there has been a lack of support from neighbouring States when it comes to protecting populations at risk in need of refuge, particularly through forced repatriation or aid restrictions, which is indicator (6 j ) related to the absence of mitigating factors (risk factor n</w:t>
      </w:r>
      <w:r w:rsidR="004F3AB9" w:rsidRPr="00E72ABD">
        <w:t>°</w:t>
      </w:r>
      <w:r w:rsidRPr="00E72ABD">
        <w:t xml:space="preserve">6). However, the Commission is concerned by </w:t>
      </w:r>
      <w:r w:rsidR="004F3AB9" w:rsidRPr="00E72ABD">
        <w:t xml:space="preserve">the </w:t>
      </w:r>
      <w:r w:rsidRPr="00E72ABD">
        <w:t xml:space="preserve">announcement made by the Tanzanian </w:t>
      </w:r>
      <w:r w:rsidR="00EF2D2F" w:rsidRPr="00E72ABD">
        <w:t>Minister</w:t>
      </w:r>
      <w:r w:rsidRPr="00E72ABD">
        <w:t xml:space="preserve"> </w:t>
      </w:r>
      <w:r w:rsidR="00BF5441" w:rsidRPr="00E72ABD">
        <w:t xml:space="preserve">of Interior </w:t>
      </w:r>
      <w:r w:rsidRPr="00E72ABD">
        <w:t xml:space="preserve">on 24 August 2019 that an Agreement had been reached between Tanzania and Burundi to organize the repatriation, including </w:t>
      </w:r>
      <w:r w:rsidR="004F3AB9" w:rsidRPr="00E72ABD">
        <w:t xml:space="preserve">by </w:t>
      </w:r>
      <w:r w:rsidRPr="00E72ABD">
        <w:t xml:space="preserve">force, of </w:t>
      </w:r>
      <w:r w:rsidR="002E6630">
        <w:t>Burundian</w:t>
      </w:r>
      <w:r w:rsidRPr="00E72ABD">
        <w:t xml:space="preserve"> refugees and asylum seekers in Tanzania, despite the fact that their security cannot be guaranteed considering the prevailing situation in Burundi, as previously shown</w:t>
      </w:r>
      <w:r w:rsidR="004F3AB9" w:rsidRPr="00E72ABD">
        <w:t>.</w:t>
      </w:r>
      <w:r w:rsidRPr="00E72ABD">
        <w:rPr>
          <w:rStyle w:val="FootnoteReference"/>
        </w:rPr>
        <w:footnoteReference w:id="497"/>
      </w:r>
    </w:p>
    <w:p w14:paraId="1F55530E" w14:textId="638C85E0" w:rsidR="003D5320" w:rsidRPr="00E72ABD" w:rsidRDefault="003D5320" w:rsidP="003D5320">
      <w:pPr>
        <w:pStyle w:val="SingleTxtG"/>
      </w:pPr>
      <w:r w:rsidRPr="00E72ABD">
        <w:t>554.</w:t>
      </w:r>
      <w:r w:rsidRPr="00E72ABD">
        <w:tab/>
        <w:t xml:space="preserve">The Commission also considered that some indicators of these eight risk factors were only partially </w:t>
      </w:r>
      <w:r w:rsidR="004F3AB9" w:rsidRPr="00E72ABD">
        <w:t>met</w:t>
      </w:r>
      <w:r w:rsidRPr="00E72ABD">
        <w:t>. For instance, records of a security crisis caused by, among other factors, denunciation of peace agreements (indicator 1 b) of risk factor n</w:t>
      </w:r>
      <w:r w:rsidR="004F3AB9" w:rsidRPr="00E72ABD">
        <w:t>°</w:t>
      </w:r>
      <w:r w:rsidRPr="00E72ABD">
        <w:t xml:space="preserve">1. In fact, the </w:t>
      </w:r>
      <w:r w:rsidR="002E6630">
        <w:t>Burundian</w:t>
      </w:r>
      <w:r w:rsidRPr="00E72ABD">
        <w:t xml:space="preserve"> </w:t>
      </w:r>
      <w:r w:rsidR="007F5B89">
        <w:t>Government</w:t>
      </w:r>
      <w:r w:rsidRPr="00E72ABD">
        <w:t xml:space="preserve"> did not formally withdraw from the Arusha Peace and Reconciliation Agreement for Burundi signed in 2000, but the new Constitution of 2018 has </w:t>
      </w:r>
      <w:r w:rsidRPr="00E72ABD">
        <w:rPr>
          <w:i/>
        </w:rPr>
        <w:t>de facto</w:t>
      </w:r>
      <w:r w:rsidRPr="00E72ABD">
        <w:t xml:space="preserve"> abolished some k</w:t>
      </w:r>
      <w:r w:rsidR="00063D36">
        <w:t>ey provisions of this Agreement that</w:t>
      </w:r>
      <w:r w:rsidRPr="00E72ABD">
        <w:t xml:space="preserve"> were enshrined in the 2005 Constitution. These include for instan</w:t>
      </w:r>
      <w:r w:rsidR="00063D36">
        <w:t>ce the ethnic quotas within SNR</w:t>
      </w:r>
      <w:r w:rsidRPr="00E72ABD">
        <w:t xml:space="preserve"> </w:t>
      </w:r>
      <w:r w:rsidR="00063D36">
        <w:t>and</w:t>
      </w:r>
      <w:r w:rsidRPr="00E72ABD">
        <w:t xml:space="preserve"> the full membership to Senate for former Presidents</w:t>
      </w:r>
      <w:r w:rsidR="00063D36">
        <w:t>, which</w:t>
      </w:r>
      <w:r w:rsidRPr="00E72ABD">
        <w:t xml:space="preserve"> can have important consequences.</w:t>
      </w:r>
    </w:p>
    <w:p w14:paraId="276009E4" w14:textId="4525C389" w:rsidR="003D5320" w:rsidRPr="00E72ABD" w:rsidRDefault="003D5320" w:rsidP="003D5320">
      <w:pPr>
        <w:pStyle w:val="SingleTxtG"/>
      </w:pPr>
      <w:r w:rsidRPr="00E72ABD">
        <w:t>555.</w:t>
      </w:r>
      <w:r w:rsidRPr="00E72ABD">
        <w:tab/>
        <w:t>The Commission also considers that the absence of efficient measures to reinforce State institutions in Burundi is more a matter of lack of political will than lack of means to reform or reinforce those institutions</w:t>
      </w:r>
      <w:r w:rsidR="004F3AB9" w:rsidRPr="00E72ABD">
        <w:t xml:space="preserve">, especially </w:t>
      </w:r>
      <w:r w:rsidRPr="00E72ABD">
        <w:t>through regional or international support (indicator 3 i) of risk factor n</w:t>
      </w:r>
      <w:r w:rsidR="004F3AB9" w:rsidRPr="00E72ABD">
        <w:t>°</w:t>
      </w:r>
      <w:r w:rsidRPr="00E72ABD">
        <w:t>3 on the weakness of State structures.</w:t>
      </w:r>
    </w:p>
    <w:p w14:paraId="2A684672" w14:textId="489BB87A" w:rsidR="003D5320" w:rsidRPr="00E72ABD" w:rsidRDefault="003D5320" w:rsidP="003D5320">
      <w:pPr>
        <w:pStyle w:val="SingleTxtG"/>
      </w:pPr>
      <w:r w:rsidRPr="00E72ABD">
        <w:t>556.</w:t>
      </w:r>
      <w:r w:rsidRPr="00E72ABD">
        <w:tab/>
        <w:t>Lack of membership and effective participation of the State in international or regional organizations that establish mandatory membership obligations, (indicator 6 e) of the absence of mitigating factors (risk factor n</w:t>
      </w:r>
      <w:r w:rsidR="008F04E1" w:rsidRPr="00E72ABD">
        <w:t>°</w:t>
      </w:r>
      <w:r w:rsidRPr="00E72ABD">
        <w:t xml:space="preserve"> 6) is partially </w:t>
      </w:r>
      <w:r w:rsidR="008F04E1" w:rsidRPr="00E72ABD">
        <w:t xml:space="preserve">met </w:t>
      </w:r>
      <w:r w:rsidRPr="00E72ABD">
        <w:t xml:space="preserve">since Burundi has a selective approach as to its participation, but it is </w:t>
      </w:r>
      <w:r w:rsidR="004F3AB9" w:rsidRPr="00E72ABD">
        <w:t xml:space="preserve">rather </w:t>
      </w:r>
      <w:r w:rsidR="008F04E1" w:rsidRPr="00E72ABD">
        <w:t xml:space="preserve">linked to </w:t>
      </w:r>
      <w:r w:rsidR="004F3AB9" w:rsidRPr="00E72ABD">
        <w:t>its lack</w:t>
      </w:r>
      <w:r w:rsidR="008F04E1" w:rsidRPr="00E72ABD">
        <w:t xml:space="preserve"> of</w:t>
      </w:r>
      <w:r w:rsidR="004F3AB9" w:rsidRPr="00E72ABD">
        <w:t xml:space="preserve"> </w:t>
      </w:r>
      <w:r w:rsidRPr="00E72ABD">
        <w:t>cooperation with international and regional organizations, particularly when it comes to human rights.</w:t>
      </w:r>
    </w:p>
    <w:p w14:paraId="7D635C5A" w14:textId="4E62C8C3" w:rsidR="003D5320" w:rsidRPr="00E72ABD" w:rsidRDefault="003D5320" w:rsidP="003D5320">
      <w:pPr>
        <w:pStyle w:val="SingleTxtG"/>
      </w:pPr>
      <w:r w:rsidRPr="00E72ABD">
        <w:t>557.</w:t>
      </w:r>
      <w:r w:rsidRPr="00E72ABD">
        <w:tab/>
        <w:t xml:space="preserve">Finally, the Commission </w:t>
      </w:r>
      <w:r w:rsidR="008F04E1" w:rsidRPr="00E72ABD">
        <w:t xml:space="preserve">considers </w:t>
      </w:r>
      <w:r w:rsidRPr="00E72ABD">
        <w:t>that the indicator on the creation of militias or par</w:t>
      </w:r>
      <w:r w:rsidR="008F04E1" w:rsidRPr="00E72ABD">
        <w:t xml:space="preserve">amilitaries </w:t>
      </w:r>
      <w:r w:rsidRPr="00E72ABD">
        <w:t>groups, or an increased support towards these militias or groups (ind</w:t>
      </w:r>
      <w:r w:rsidR="00063D36">
        <w:t xml:space="preserve">icator 7 e) related to </w:t>
      </w:r>
      <w:r w:rsidRPr="00E72ABD">
        <w:t>risk factor n</w:t>
      </w:r>
      <w:r w:rsidR="008F04E1" w:rsidRPr="00E72ABD">
        <w:t>°</w:t>
      </w:r>
      <w:r w:rsidR="00063D36">
        <w:t>7</w:t>
      </w:r>
      <w:r w:rsidRPr="00E72ABD">
        <w:t xml:space="preserve"> on enabling circumstances, </w:t>
      </w:r>
      <w:r w:rsidR="008F04E1" w:rsidRPr="00E72ABD">
        <w:t xml:space="preserve">is </w:t>
      </w:r>
      <w:r w:rsidRPr="00E72ABD">
        <w:t xml:space="preserve">partially present. In fact, the Commission does not consider the Imbonerakure as a militia per say, given that they are not an armed paramilitary force organized like a professional army. Notwithstanding, they have a paramilitary dimension and many aspects of the way they operate are similar to those of militias designed like </w:t>
      </w:r>
      <w:r w:rsidRPr="00E72ABD">
        <w:rPr>
          <w:cs/>
        </w:rPr>
        <w:t>“</w:t>
      </w:r>
      <w:r w:rsidRPr="00E72ABD">
        <w:t>a paramilitary organization which constitute the base of some totalitarian parties or dictatorships</w:t>
      </w:r>
      <w:r w:rsidRPr="00E72ABD">
        <w:rPr>
          <w:cs/>
        </w:rPr>
        <w:t>”</w:t>
      </w:r>
      <w:r w:rsidR="008F04E1" w:rsidRPr="00E72ABD">
        <w:rPr>
          <w:rFonts w:hint="cs"/>
          <w:cs/>
        </w:rPr>
        <w:t>,</w:t>
      </w:r>
      <w:r w:rsidRPr="00E72ABD">
        <w:rPr>
          <w:rStyle w:val="FootnoteReference"/>
        </w:rPr>
        <w:footnoteReference w:id="498"/>
      </w:r>
      <w:r w:rsidRPr="00E72ABD">
        <w:t xml:space="preserve"> particularly those which are called </w:t>
      </w:r>
      <w:r w:rsidRPr="00E72ABD">
        <w:rPr>
          <w:cs/>
        </w:rPr>
        <w:t>“</w:t>
      </w:r>
      <w:r w:rsidRPr="00E72ABD">
        <w:t xml:space="preserve">State militias, organized, recruited and for whom objectives and goals are set by the central </w:t>
      </w:r>
      <w:r w:rsidR="007F5B89">
        <w:t>Government</w:t>
      </w:r>
      <w:r w:rsidRPr="00E72ABD">
        <w:t xml:space="preserve"> itself. Based on a principle of </w:t>
      </w:r>
      <w:r w:rsidRPr="00E72ABD">
        <w:rPr>
          <w:cs/>
        </w:rPr>
        <w:t>“</w:t>
      </w:r>
      <w:r w:rsidRPr="00E72ABD">
        <w:t>discharge</w:t>
      </w:r>
      <w:r w:rsidRPr="00E72ABD">
        <w:rPr>
          <w:cs/>
        </w:rPr>
        <w:t>”</w:t>
      </w:r>
      <w:r w:rsidR="008F04E1" w:rsidRPr="00E72ABD">
        <w:rPr>
          <w:rFonts w:hint="cs"/>
          <w:cs/>
        </w:rPr>
        <w:t>,</w:t>
      </w:r>
      <w:r w:rsidRPr="00E72ABD">
        <w:rPr>
          <w:cs/>
        </w:rPr>
        <w:t xml:space="preserve"> </w:t>
      </w:r>
      <w:r w:rsidRPr="00E72ABD">
        <w:t xml:space="preserve">the State bestows on a set of actors who then have legal powers to use force, the heavy task to control and maintain peace and order. The set objectives can be for defence or public purposes, such as ensuring the safety of citizens, as well as of private individuals and criminals, thereby enabling the State to act according to the principle of </w:t>
      </w:r>
      <w:r w:rsidR="008F04E1" w:rsidRPr="00E72ABD">
        <w:t xml:space="preserve">plausible deniability </w:t>
      </w:r>
      <w:r w:rsidRPr="00E72ABD">
        <w:t>of any implication in violence perpetrated on populations</w:t>
      </w:r>
      <w:r w:rsidRPr="00E72ABD">
        <w:rPr>
          <w:cs/>
        </w:rPr>
        <w:t>”</w:t>
      </w:r>
      <w:r w:rsidR="008F04E1" w:rsidRPr="00E72ABD">
        <w:rPr>
          <w:rFonts w:hint="cs"/>
          <w:cs/>
        </w:rPr>
        <w:t>.</w:t>
      </w:r>
      <w:r w:rsidRPr="00E72ABD">
        <w:rPr>
          <w:rStyle w:val="FootnoteReference"/>
        </w:rPr>
        <w:footnoteReference w:id="499"/>
      </w:r>
    </w:p>
    <w:p w14:paraId="67DAD9D6" w14:textId="0F0AC947" w:rsidR="003D5320" w:rsidRPr="00E72ABD" w:rsidRDefault="003D5320" w:rsidP="003D5320">
      <w:pPr>
        <w:pStyle w:val="SingleTxtG"/>
      </w:pPr>
      <w:r w:rsidRPr="00E72ABD">
        <w:t>558.</w:t>
      </w:r>
      <w:r w:rsidRPr="00E72ABD">
        <w:tab/>
        <w:t xml:space="preserve">The Commission also noted that several factors </w:t>
      </w:r>
      <w:r w:rsidR="00A55114">
        <w:t xml:space="preserve">of violence </w:t>
      </w:r>
      <w:r w:rsidRPr="00E72ABD">
        <w:t xml:space="preserve">related to elections, </w:t>
      </w:r>
      <w:r w:rsidR="00A55114">
        <w:t xml:space="preserve">both </w:t>
      </w:r>
      <w:r w:rsidRPr="00E72ABD">
        <w:t>external and internal to the electoral processes</w:t>
      </w:r>
      <w:r w:rsidRPr="00E72ABD">
        <w:rPr>
          <w:rStyle w:val="FootnoteReference"/>
        </w:rPr>
        <w:footnoteReference w:id="500"/>
      </w:r>
      <w:r w:rsidRPr="00E72ABD">
        <w:t>, are also present. These are: unfavourable socio-economic condition</w:t>
      </w:r>
      <w:r w:rsidR="008F04E1" w:rsidRPr="00E72ABD">
        <w:t>s</w:t>
      </w:r>
      <w:r w:rsidRPr="00E72ABD">
        <w:t>; political and social exclusion (example of indicator: impunity, presence of long-standing rivalry between ethnic, religious, linguistic and cultural groups which have reached their apogee and have been materialised by violence during electoral periods); conflicts related to the evolution of power relations (example of indicator: a new Constitution which changes the relative power of political actors; lack of, or inefficient mechanisms to promote a culture of dialogue among political parties; lack of press freedom); gender-based discrimination and violence; presence of non-State armed actors; complaints of genocide, crimes against humanity and war crimes; human rights violations; unethical media exposure; a disputed electoral law (example of indicator; the compliance level to regional and international electoral standards and obligations; the level of confidence in the electoral law); poor performance of elections management bodies (OGE) (example of indicator; the level of confidence and reliability OGEs benefit from across the country; the degree of independence and composition of OGEs; the level of impartiality of OGEs; and the level of transparency in the activities of OGEs</w:t>
      </w:r>
      <w:r w:rsidR="00A55114">
        <w:t>)</w:t>
      </w:r>
      <w:r w:rsidRPr="00E72ABD">
        <w:t>; inadequate measures to guarantee elections are organized safely (example of indicator: the level of trust by populations in security agencies (ASS); the level of indebtedness of ASS; provocative and violent actions from political parties (example of indicator: intimidation, threats, destruction of properties, attacks on physical integrity, abductions, killings and other acts of violence perpetrated against electoral actors, journalists, potential registered voters and voters; psychological and physical violence against vulnerable social groups such as women, children, ethnic and religious minorities, etc.; and the condition under which perpetrators of violence associated to political parties are sued).</w:t>
      </w:r>
    </w:p>
    <w:p w14:paraId="51E3CB5F" w14:textId="13E09B53" w:rsidR="003D5320" w:rsidRPr="00E72ABD" w:rsidRDefault="003D5320" w:rsidP="003D5320">
      <w:pPr>
        <w:pStyle w:val="SingleTxtG"/>
      </w:pPr>
      <w:r w:rsidRPr="00E72ABD">
        <w:t>560.</w:t>
      </w:r>
      <w:r w:rsidRPr="00E72ABD">
        <w:tab/>
        <w:t>The Commission also took into consideration early indicators of conflict-related sexual violence identified in the matrix developed by UN Action against sexual violence in conflict (UN Action) in 2011</w:t>
      </w:r>
      <w:r w:rsidRPr="00E72ABD">
        <w:rPr>
          <w:rStyle w:val="FootnoteReference"/>
        </w:rPr>
        <w:footnoteReference w:id="501"/>
      </w:r>
      <w:r w:rsidRPr="00E72ABD">
        <w:t>. The objective of this matrix is to help protection actors to adjust their intervention strategies by taking proactive rather than reactive steps to prevent sexual violence, including in a context of political unrest</w:t>
      </w:r>
      <w:r w:rsidR="008F04E1" w:rsidRPr="00E72ABD">
        <w:t>.</w:t>
      </w:r>
      <w:r w:rsidRPr="00E72ABD">
        <w:rPr>
          <w:rStyle w:val="FootnoteReference"/>
        </w:rPr>
        <w:footnoteReference w:id="502"/>
      </w:r>
    </w:p>
    <w:p w14:paraId="2AFDD32E" w14:textId="25C01164" w:rsidR="003D5320" w:rsidRPr="00E72ABD" w:rsidRDefault="003D5320" w:rsidP="003D5320">
      <w:pPr>
        <w:pStyle w:val="SingleTxtG"/>
      </w:pPr>
      <w:r w:rsidRPr="00E72ABD">
        <w:t>561.</w:t>
      </w:r>
      <w:r w:rsidRPr="00E72ABD">
        <w:tab/>
        <w:t>The Commission notes that these early indicators of sexual violence are present in the context currently prevailing in Burundi: women have been victims of intimidation or physical violence, particularly sexual violence, for their (actual or perceived) participation in political activities related to the electoral process. This violence had as objective to punish them for their (actual or perceived) participation in an electoral process or in political activities. Moreover, the Commission also observes that there is a political context and a legal framework which provide enabling circumstances for sexual violence as indicated by the following indicators: cases of gender-based intimidation and electoral violence, inequality before the law related to the status and rights of women, and a discrepancy between law and practice regarding the security of women</w:t>
      </w:r>
      <w:r w:rsidR="00C6327D">
        <w:t>.</w:t>
      </w:r>
      <w:r w:rsidRPr="00E72ABD">
        <w:rPr>
          <w:rStyle w:val="FootnoteReference"/>
        </w:rPr>
        <w:footnoteReference w:id="503"/>
      </w:r>
      <w:r w:rsidRPr="00E72ABD">
        <w:t xml:space="preserve"> The matrix further emphasises that: </w:t>
      </w:r>
      <w:r w:rsidRPr="00E72ABD">
        <w:rPr>
          <w:cs/>
        </w:rPr>
        <w:t>“</w:t>
      </w:r>
      <w:r w:rsidRPr="00E72ABD">
        <w:t>The risk of conflict-related sexual violence will be particularly acute in a context of collapse of rule of law, where there is a history of impunity for sexual violence and where the structures that exist to protect the population and deter sexual violence are held in abeyance. Impunity/increased acceptance of sexual violence gives abusers a sense that, like the perpetrators of past crimes, they will go unpunished</w:t>
      </w:r>
      <w:r w:rsidRPr="00E72ABD">
        <w:rPr>
          <w:cs/>
        </w:rPr>
        <w:t>”</w:t>
      </w:r>
      <w:r w:rsidR="00A55114">
        <w:rPr>
          <w:rFonts w:hint="cs"/>
          <w:cs/>
        </w:rPr>
        <w:t>,</w:t>
      </w:r>
      <w:r w:rsidRPr="00E72ABD">
        <w:rPr>
          <w:cs/>
        </w:rPr>
        <w:t xml:space="preserve"> </w:t>
      </w:r>
      <w:r w:rsidR="00A55114">
        <w:t>as it</w:t>
      </w:r>
      <w:r w:rsidRPr="00E72ABD">
        <w:t xml:space="preserve"> is the case in Burundi since 2015.</w:t>
      </w:r>
      <w:r w:rsidRPr="00E72ABD">
        <w:rPr>
          <w:rStyle w:val="FootnoteReference"/>
        </w:rPr>
        <w:footnoteReference w:id="504"/>
      </w:r>
    </w:p>
    <w:p w14:paraId="497ED7D2" w14:textId="46854F82" w:rsidR="004F3AB9" w:rsidRPr="00E72ABD" w:rsidRDefault="003D5320" w:rsidP="004F3AB9">
      <w:pPr>
        <w:pStyle w:val="SingleTxtG"/>
        <w:rPr>
          <w:lang w:val="en-US"/>
        </w:rPr>
      </w:pPr>
      <w:r w:rsidRPr="00E72ABD">
        <w:t>562.</w:t>
      </w:r>
      <w:r w:rsidRPr="00E72ABD">
        <w:tab/>
      </w:r>
      <w:r w:rsidR="004F3AB9" w:rsidRPr="00E72ABD">
        <w:rPr>
          <w:lang w:val="en-US"/>
        </w:rPr>
        <w:t>The eight common risk factors identified in the Framework of Analysis for Atrocity Crimes are clearly present in Burundi, and there is a significant number of indicators for each of them.</w:t>
      </w:r>
      <w:r w:rsidRPr="00E72ABD">
        <w:t xml:space="preserve"> This also applies to violence factors during electoral processes and indicators of sexual violence. </w:t>
      </w:r>
      <w:r w:rsidR="004F3AB9" w:rsidRPr="00E72ABD">
        <w:rPr>
          <w:lang w:val="en-US"/>
        </w:rPr>
        <w:t xml:space="preserve">Although the presence of those risk factors does not make it possible to draw conclusions about the likelihood of </w:t>
      </w:r>
      <w:r w:rsidR="00A55114">
        <w:rPr>
          <w:lang w:val="en-US"/>
        </w:rPr>
        <w:t xml:space="preserve">such </w:t>
      </w:r>
      <w:r w:rsidR="004F3AB9" w:rsidRPr="00E72ABD">
        <w:rPr>
          <w:lang w:val="en-US"/>
        </w:rPr>
        <w:t xml:space="preserve">atrocity crimes </w:t>
      </w:r>
      <w:r w:rsidR="00A55114">
        <w:rPr>
          <w:lang w:val="en-US"/>
        </w:rPr>
        <w:t xml:space="preserve">be committed, </w:t>
      </w:r>
      <w:r w:rsidR="009F5048">
        <w:rPr>
          <w:lang w:val="en-US"/>
        </w:rPr>
        <w:t xml:space="preserve">and if so, </w:t>
      </w:r>
      <w:r w:rsidR="004F3AB9" w:rsidRPr="00E72ABD">
        <w:rPr>
          <w:lang w:val="en-US"/>
        </w:rPr>
        <w:t xml:space="preserve">when </w:t>
      </w:r>
      <w:r w:rsidR="009F5048">
        <w:rPr>
          <w:lang w:val="en-US"/>
        </w:rPr>
        <w:t>or</w:t>
      </w:r>
      <w:r w:rsidR="004F3AB9" w:rsidRPr="00E72ABD">
        <w:rPr>
          <w:lang w:val="en-US"/>
        </w:rPr>
        <w:t xml:space="preserve"> in what way any such crimes </w:t>
      </w:r>
      <w:r w:rsidR="00A55114">
        <w:rPr>
          <w:lang w:val="en-US"/>
        </w:rPr>
        <w:t>could</w:t>
      </w:r>
      <w:r w:rsidR="004F3AB9" w:rsidRPr="00E72ABD">
        <w:rPr>
          <w:lang w:val="en-US"/>
        </w:rPr>
        <w:t xml:space="preserve"> be committed, it gives the international community an objective basis </w:t>
      </w:r>
      <w:r w:rsidR="009F5048">
        <w:rPr>
          <w:lang w:val="en-US"/>
        </w:rPr>
        <w:t>to grasp</w:t>
      </w:r>
      <w:r w:rsidR="004F3AB9" w:rsidRPr="00E72ABD">
        <w:rPr>
          <w:lang w:val="en-US"/>
        </w:rPr>
        <w:t xml:space="preserve"> the reality of the situation in Burundi and the possible risks facing </w:t>
      </w:r>
      <w:r w:rsidR="009F5048">
        <w:rPr>
          <w:lang w:val="en-US"/>
        </w:rPr>
        <w:t xml:space="preserve">the country. Finding that </w:t>
      </w:r>
      <w:r w:rsidR="004F3AB9" w:rsidRPr="00E72ABD">
        <w:rPr>
          <w:lang w:val="en-US"/>
        </w:rPr>
        <w:t xml:space="preserve">several risk factors </w:t>
      </w:r>
      <w:r w:rsidR="009F5048">
        <w:rPr>
          <w:lang w:val="en-US"/>
        </w:rPr>
        <w:t>indicating a possible degradation of the human rights situation in Burundi do exist, as well as risk factors of political violence, requires to keep a close scrutiny on the</w:t>
      </w:r>
      <w:r w:rsidR="004F3AB9" w:rsidRPr="00E72ABD">
        <w:rPr>
          <w:lang w:val="en-US"/>
        </w:rPr>
        <w:t xml:space="preserve"> developments in Burundi.</w:t>
      </w:r>
    </w:p>
    <w:p w14:paraId="2628DA92" w14:textId="5211A46D" w:rsidR="002F4A3D" w:rsidRPr="00E72ABD" w:rsidRDefault="002F4A3D" w:rsidP="002F4A3D">
      <w:pPr>
        <w:keepNext/>
        <w:keepLines/>
        <w:tabs>
          <w:tab w:val="right" w:pos="851"/>
        </w:tabs>
        <w:spacing w:before="360" w:after="240" w:line="300" w:lineRule="exact"/>
        <w:ind w:left="1134" w:right="1134" w:hanging="1134"/>
        <w:rPr>
          <w:b/>
          <w:sz w:val="28"/>
        </w:rPr>
      </w:pPr>
      <w:r w:rsidRPr="00E72ABD">
        <w:rPr>
          <w:b/>
          <w:sz w:val="28"/>
        </w:rPr>
        <w:tab/>
        <w:t>V.</w:t>
      </w:r>
      <w:r w:rsidRPr="00E72ABD">
        <w:rPr>
          <w:b/>
          <w:sz w:val="28"/>
        </w:rPr>
        <w:tab/>
        <w:t xml:space="preserve">Conclusions </w:t>
      </w:r>
      <w:r w:rsidR="00D8696D" w:rsidRPr="00E72ABD">
        <w:rPr>
          <w:b/>
          <w:sz w:val="28"/>
        </w:rPr>
        <w:t xml:space="preserve">and recommendations </w:t>
      </w:r>
    </w:p>
    <w:p w14:paraId="0855C71E" w14:textId="53B437A4" w:rsidR="002F4A3D" w:rsidRPr="00E72ABD" w:rsidRDefault="002F4A3D" w:rsidP="002F4A3D">
      <w:pPr>
        <w:spacing w:after="120"/>
        <w:ind w:left="1134" w:right="1134"/>
        <w:jc w:val="both"/>
        <w:rPr>
          <w:b/>
        </w:rPr>
      </w:pPr>
      <w:r w:rsidRPr="00E72ABD">
        <w:rPr>
          <w:b/>
        </w:rPr>
        <w:t>563.</w:t>
      </w:r>
      <w:r w:rsidRPr="00E72ABD">
        <w:rPr>
          <w:b/>
        </w:rPr>
        <w:tab/>
      </w:r>
      <w:r w:rsidR="00D8696D" w:rsidRPr="00E72ABD">
        <w:rPr>
          <w:b/>
        </w:rPr>
        <w:t>In the light of its investigations, the Commission concludes that serious human rights violations – including crimes against humanity – have continued to take place since May 2018, in particular violations of the right to life, arbitrary arrest and detention, torture and other forms of ill-treatment, sexual violence, and violations of economic and social rights, all in a general climate of impunity. Violations of civil liberties are also on the rise.</w:t>
      </w:r>
    </w:p>
    <w:p w14:paraId="5DC48697" w14:textId="1ED892B0" w:rsidR="002F4A3D" w:rsidRPr="00E72ABD" w:rsidRDefault="002F4A3D" w:rsidP="002F4A3D">
      <w:pPr>
        <w:spacing w:after="120"/>
        <w:ind w:left="1134" w:right="1134"/>
        <w:jc w:val="both"/>
        <w:rPr>
          <w:b/>
        </w:rPr>
      </w:pPr>
      <w:r w:rsidRPr="00E72ABD">
        <w:rPr>
          <w:b/>
        </w:rPr>
        <w:t>564.</w:t>
      </w:r>
      <w:r w:rsidRPr="00E72ABD">
        <w:rPr>
          <w:b/>
        </w:rPr>
        <w:tab/>
      </w:r>
      <w:r w:rsidR="00D8696D" w:rsidRPr="00E72ABD">
        <w:rPr>
          <w:b/>
        </w:rPr>
        <w:t>The Commission remains the only independent and objective mechanism that investigates, documents and informs the international community about human rights violations and abuses in Burundi.</w:t>
      </w:r>
    </w:p>
    <w:p w14:paraId="576C2DA3" w14:textId="1C9A17F2" w:rsidR="002F4A3D" w:rsidRPr="00E72ABD" w:rsidRDefault="002F4A3D" w:rsidP="002F4A3D">
      <w:pPr>
        <w:spacing w:after="120"/>
        <w:ind w:left="1134" w:right="1134"/>
        <w:jc w:val="both"/>
        <w:rPr>
          <w:b/>
          <w:bCs/>
        </w:rPr>
      </w:pPr>
      <w:r w:rsidRPr="00E72ABD">
        <w:rPr>
          <w:b/>
        </w:rPr>
        <w:t>565.</w:t>
      </w:r>
      <w:r w:rsidRPr="00E72ABD">
        <w:rPr>
          <w:b/>
        </w:rPr>
        <w:tab/>
      </w:r>
      <w:r w:rsidR="00D8696D" w:rsidRPr="00E72ABD">
        <w:rPr>
          <w:b/>
          <w:bCs/>
        </w:rPr>
        <w:t>The crisis has been ongoing for more than four years, with no real prospects for a resolution.</w:t>
      </w:r>
      <w:r w:rsidR="00D8696D" w:rsidRPr="00E72ABD">
        <w:rPr>
          <w:b/>
        </w:rPr>
        <w:t xml:space="preserve"> </w:t>
      </w:r>
      <w:r w:rsidR="00D8696D" w:rsidRPr="00E72ABD">
        <w:rPr>
          <w:b/>
          <w:bCs/>
        </w:rPr>
        <w:t xml:space="preserve">The daily living conditions of </w:t>
      </w:r>
      <w:r w:rsidR="002E6630">
        <w:rPr>
          <w:b/>
          <w:bCs/>
        </w:rPr>
        <w:t>Burundian</w:t>
      </w:r>
      <w:r w:rsidR="00D8696D" w:rsidRPr="00E72ABD">
        <w:rPr>
          <w:b/>
          <w:bCs/>
        </w:rPr>
        <w:t>s, in the country or not, are becoming worse and worse</w:t>
      </w:r>
      <w:r w:rsidRPr="00E72ABD">
        <w:rPr>
          <w:b/>
        </w:rPr>
        <w:t>.</w:t>
      </w:r>
    </w:p>
    <w:p w14:paraId="6C1FBDCC" w14:textId="21195CEB" w:rsidR="002F4A3D" w:rsidRPr="00E72ABD" w:rsidRDefault="002F4A3D" w:rsidP="002F4A3D">
      <w:pPr>
        <w:spacing w:after="120"/>
        <w:ind w:left="1134" w:right="1134"/>
        <w:jc w:val="both"/>
        <w:rPr>
          <w:b/>
        </w:rPr>
      </w:pPr>
      <w:r w:rsidRPr="00E72ABD">
        <w:rPr>
          <w:b/>
        </w:rPr>
        <w:t>566.</w:t>
      </w:r>
      <w:r w:rsidRPr="00E72ABD">
        <w:rPr>
          <w:b/>
        </w:rPr>
        <w:tab/>
      </w:r>
      <w:r w:rsidR="00D8696D" w:rsidRPr="00E72ABD">
        <w:rPr>
          <w:rFonts w:eastAsia="Calibri"/>
          <w:b/>
          <w:bCs/>
        </w:rPr>
        <w:t>The 2020 elections pose a major risk.</w:t>
      </w:r>
      <w:r w:rsidR="00D8696D" w:rsidRPr="00E72ABD">
        <w:rPr>
          <w:rFonts w:eastAsia="Calibri"/>
          <w:b/>
        </w:rPr>
        <w:t xml:space="preserve"> </w:t>
      </w:r>
      <w:r w:rsidR="00D8696D" w:rsidRPr="00E72ABD">
        <w:rPr>
          <w:rFonts w:eastAsia="Calibri"/>
          <w:b/>
          <w:bCs/>
        </w:rPr>
        <w:t xml:space="preserve">To ensure that they are peaceful, fair, free, transparent and credible, the Commission makes the following recommendations to the </w:t>
      </w:r>
      <w:r w:rsidR="002E6630">
        <w:rPr>
          <w:rFonts w:eastAsia="Calibri"/>
          <w:b/>
          <w:bCs/>
        </w:rPr>
        <w:t>Burundian</w:t>
      </w:r>
      <w:r w:rsidR="00D8696D" w:rsidRPr="00E72ABD">
        <w:rPr>
          <w:rFonts w:eastAsia="Calibri"/>
          <w:b/>
          <w:bCs/>
        </w:rPr>
        <w:t xml:space="preserve"> authorities</w:t>
      </w:r>
      <w:r w:rsidRPr="00E72ABD">
        <w:rPr>
          <w:b/>
        </w:rPr>
        <w:t>:</w:t>
      </w:r>
    </w:p>
    <w:p w14:paraId="18C1376B" w14:textId="00510A7A" w:rsidR="002F4A3D" w:rsidRPr="00E72ABD" w:rsidRDefault="002F4A3D" w:rsidP="002F4A3D">
      <w:pPr>
        <w:spacing w:after="120"/>
        <w:ind w:left="1134" w:right="1134" w:firstLine="567"/>
        <w:jc w:val="both"/>
        <w:rPr>
          <w:b/>
          <w:bCs/>
        </w:rPr>
      </w:pPr>
      <w:r w:rsidRPr="00E72ABD">
        <w:rPr>
          <w:b/>
          <w:bCs/>
        </w:rPr>
        <w:t>a)</w:t>
      </w:r>
      <w:r w:rsidRPr="00E72ABD">
        <w:rPr>
          <w:b/>
          <w:bCs/>
        </w:rPr>
        <w:tab/>
      </w:r>
      <w:r w:rsidR="00D8696D" w:rsidRPr="00E72ABD">
        <w:rPr>
          <w:b/>
          <w:bCs/>
        </w:rPr>
        <w:t>Give effect to all the Commission’s previous recommendations, which are more well-founded and relevant than ever, including those concerning priority measures to end human rights violations and international crimes, combat impunity and improve the human rights situation in the country and the medium- and longer-term recommendations on reforms to the legal framework and the judicial system;</w:t>
      </w:r>
      <w:r w:rsidR="00D8696D" w:rsidRPr="00E72ABD">
        <w:rPr>
          <w:rStyle w:val="FootnoteReference"/>
          <w:b/>
        </w:rPr>
        <w:footnoteReference w:id="505"/>
      </w:r>
    </w:p>
    <w:p w14:paraId="4777C489" w14:textId="09DD3776" w:rsidR="002F4A3D" w:rsidRPr="00E72ABD" w:rsidRDefault="002F4A3D" w:rsidP="002F4A3D">
      <w:pPr>
        <w:spacing w:after="120"/>
        <w:ind w:left="1134" w:right="1134" w:firstLine="567"/>
        <w:jc w:val="both"/>
        <w:rPr>
          <w:b/>
          <w:bCs/>
        </w:rPr>
      </w:pPr>
      <w:r w:rsidRPr="00E72ABD">
        <w:rPr>
          <w:b/>
          <w:bCs/>
        </w:rPr>
        <w:t>b)</w:t>
      </w:r>
      <w:r w:rsidRPr="00E72ABD">
        <w:rPr>
          <w:b/>
          <w:bCs/>
        </w:rPr>
        <w:tab/>
      </w:r>
      <w:r w:rsidR="00D8696D" w:rsidRPr="00E72ABD">
        <w:rPr>
          <w:b/>
          <w:bCs/>
        </w:rPr>
        <w:t>Conduct prompt, independent and effective investigations into the cases of violations documented by the Commission since 2015 with a view to creating a climate of trust and political tolerance conducive to inclusive participation in the electoral process</w:t>
      </w:r>
      <w:r w:rsidRPr="00E72ABD">
        <w:rPr>
          <w:b/>
          <w:bCs/>
        </w:rPr>
        <w:t>;</w:t>
      </w:r>
    </w:p>
    <w:p w14:paraId="58BB8C3E" w14:textId="27F3014E" w:rsidR="002F4A3D" w:rsidRPr="00E72ABD" w:rsidRDefault="002F4A3D" w:rsidP="002F4A3D">
      <w:pPr>
        <w:spacing w:after="120"/>
        <w:ind w:left="1134" w:right="1134" w:firstLine="567"/>
        <w:jc w:val="both"/>
        <w:rPr>
          <w:b/>
          <w:bCs/>
        </w:rPr>
      </w:pPr>
      <w:r w:rsidRPr="00E72ABD">
        <w:rPr>
          <w:b/>
          <w:bCs/>
        </w:rPr>
        <w:t>c)</w:t>
      </w:r>
      <w:r w:rsidRPr="00E72ABD">
        <w:rPr>
          <w:b/>
          <w:bCs/>
        </w:rPr>
        <w:tab/>
      </w:r>
      <w:r w:rsidR="00D8696D" w:rsidRPr="00E72ABD">
        <w:rPr>
          <w:b/>
          <w:bCs/>
        </w:rPr>
        <w:t>Re-engage constructively and cooperatively with all international and regional human rights mechanisms and the Office of the United Nations High Commissioner for Human Rights, enabling them to carry out their human rights monitoring mandates fully and freely</w:t>
      </w:r>
      <w:r w:rsidRPr="00E72ABD">
        <w:rPr>
          <w:b/>
          <w:bCs/>
        </w:rPr>
        <w:t>;</w:t>
      </w:r>
    </w:p>
    <w:p w14:paraId="2E000383" w14:textId="0ED0EA3F" w:rsidR="002F4A3D" w:rsidRPr="00E72ABD" w:rsidRDefault="002F4A3D" w:rsidP="002F4A3D">
      <w:pPr>
        <w:spacing w:after="120"/>
        <w:ind w:left="1134" w:right="1134" w:firstLine="567"/>
        <w:jc w:val="both"/>
        <w:rPr>
          <w:b/>
          <w:bCs/>
        </w:rPr>
      </w:pPr>
      <w:r w:rsidRPr="00E72ABD">
        <w:rPr>
          <w:b/>
          <w:bCs/>
        </w:rPr>
        <w:t>d)</w:t>
      </w:r>
      <w:r w:rsidRPr="00E72ABD">
        <w:rPr>
          <w:b/>
          <w:bCs/>
        </w:rPr>
        <w:tab/>
      </w:r>
      <w:r w:rsidR="00D8696D" w:rsidRPr="00E72ABD">
        <w:rPr>
          <w:b/>
          <w:bCs/>
        </w:rPr>
        <w:t>Ensure that national human rights mechanisms are institutionally and financially independent and build the capacity of their members</w:t>
      </w:r>
      <w:r w:rsidRPr="00E72ABD">
        <w:rPr>
          <w:b/>
          <w:bCs/>
        </w:rPr>
        <w:t>;</w:t>
      </w:r>
    </w:p>
    <w:p w14:paraId="51937C06" w14:textId="1713F40F" w:rsidR="002F4A3D" w:rsidRPr="00E72ABD" w:rsidRDefault="002F4A3D" w:rsidP="002F4A3D">
      <w:pPr>
        <w:spacing w:after="120"/>
        <w:ind w:left="1134" w:right="1134" w:firstLine="567"/>
        <w:jc w:val="both"/>
        <w:rPr>
          <w:b/>
          <w:bCs/>
        </w:rPr>
      </w:pPr>
      <w:r w:rsidRPr="00E72ABD">
        <w:rPr>
          <w:b/>
          <w:bCs/>
        </w:rPr>
        <w:t>e)</w:t>
      </w:r>
      <w:r w:rsidRPr="00E72ABD">
        <w:rPr>
          <w:b/>
          <w:bCs/>
        </w:rPr>
        <w:tab/>
      </w:r>
      <w:r w:rsidR="00D8696D" w:rsidRPr="00E72ABD">
        <w:rPr>
          <w:b/>
          <w:bCs/>
        </w:rPr>
        <w:t>Take the measures necessary to ensure that foreign and domestic NGOs can be freely established and organized and that they can operate freely, including by amending the laws regulating them</w:t>
      </w:r>
      <w:r w:rsidRPr="00E72ABD">
        <w:rPr>
          <w:b/>
          <w:bCs/>
        </w:rPr>
        <w:t>;</w:t>
      </w:r>
    </w:p>
    <w:p w14:paraId="2209DE4E" w14:textId="72E3DD0D" w:rsidR="002F4A3D" w:rsidRPr="00E72ABD" w:rsidRDefault="002F4A3D" w:rsidP="002F4A3D">
      <w:pPr>
        <w:spacing w:after="120"/>
        <w:ind w:left="1134" w:right="1134" w:firstLine="567"/>
        <w:jc w:val="both"/>
        <w:rPr>
          <w:b/>
          <w:bCs/>
        </w:rPr>
      </w:pPr>
      <w:r w:rsidRPr="00E72ABD">
        <w:rPr>
          <w:b/>
          <w:bCs/>
        </w:rPr>
        <w:t>f)</w:t>
      </w:r>
      <w:r w:rsidRPr="00E72ABD">
        <w:rPr>
          <w:b/>
          <w:bCs/>
        </w:rPr>
        <w:tab/>
      </w:r>
      <w:r w:rsidR="00D8696D" w:rsidRPr="00E72ABD">
        <w:rPr>
          <w:b/>
          <w:bCs/>
        </w:rPr>
        <w:t>Take the measures necessary to ensure freedom of information in the country and the right of local and international media to operate in accordance with international standards, including by amending the laws on the press and the National Communication Council</w:t>
      </w:r>
      <w:r w:rsidRPr="00E72ABD">
        <w:rPr>
          <w:b/>
          <w:bCs/>
        </w:rPr>
        <w:t>;</w:t>
      </w:r>
    </w:p>
    <w:p w14:paraId="6FA20DEE" w14:textId="58D78668" w:rsidR="002F4A3D" w:rsidRPr="00E72ABD" w:rsidRDefault="002F4A3D" w:rsidP="002F4A3D">
      <w:pPr>
        <w:spacing w:after="120"/>
        <w:ind w:left="1134" w:right="1134" w:firstLine="567"/>
        <w:jc w:val="both"/>
        <w:rPr>
          <w:b/>
          <w:bCs/>
        </w:rPr>
      </w:pPr>
      <w:r w:rsidRPr="00E72ABD">
        <w:rPr>
          <w:b/>
          <w:bCs/>
        </w:rPr>
        <w:t>g)</w:t>
      </w:r>
      <w:r w:rsidRPr="00E72ABD">
        <w:rPr>
          <w:b/>
          <w:bCs/>
        </w:rPr>
        <w:tab/>
      </w:r>
      <w:r w:rsidR="00D8696D" w:rsidRPr="00E72ABD">
        <w:rPr>
          <w:b/>
          <w:bCs/>
        </w:rPr>
        <w:t>Guarantee the effective enjoyment of civil liberties, including the freedoms of opinion, expression, access to information, association, assembly and religion, not least by ending all forced recruitment to the ruling party and its youth league;</w:t>
      </w:r>
    </w:p>
    <w:p w14:paraId="36FD5B1F" w14:textId="4ED07105" w:rsidR="002F4A3D" w:rsidRPr="00E72ABD" w:rsidRDefault="002F4A3D" w:rsidP="002F4A3D">
      <w:pPr>
        <w:spacing w:after="120"/>
        <w:ind w:left="1134" w:right="1134" w:firstLine="567"/>
        <w:jc w:val="both"/>
        <w:rPr>
          <w:b/>
          <w:bCs/>
        </w:rPr>
      </w:pPr>
      <w:r w:rsidRPr="00E72ABD">
        <w:rPr>
          <w:b/>
          <w:bCs/>
        </w:rPr>
        <w:t>h)</w:t>
      </w:r>
      <w:r w:rsidRPr="00E72ABD">
        <w:rPr>
          <w:b/>
          <w:bCs/>
        </w:rPr>
        <w:tab/>
      </w:r>
      <w:r w:rsidR="00D8696D" w:rsidRPr="00E72ABD">
        <w:rPr>
          <w:b/>
          <w:bCs/>
        </w:rPr>
        <w:t>Follow the Guidelines on Access to Information and Elections in Africa and the Guidelines on Freedom of Association and Assembly of the African Commission on Human and Peoples’ Rights</w:t>
      </w:r>
      <w:r w:rsidRPr="00E72ABD">
        <w:rPr>
          <w:b/>
          <w:bCs/>
        </w:rPr>
        <w:t>;</w:t>
      </w:r>
    </w:p>
    <w:p w14:paraId="309D9140" w14:textId="0D88F4CC" w:rsidR="002F4A3D" w:rsidRPr="00E72ABD" w:rsidRDefault="002F4A3D" w:rsidP="002F4A3D">
      <w:pPr>
        <w:spacing w:after="120"/>
        <w:ind w:left="1134" w:right="1134" w:firstLine="567"/>
        <w:jc w:val="both"/>
        <w:rPr>
          <w:b/>
          <w:bCs/>
        </w:rPr>
      </w:pPr>
      <w:r w:rsidRPr="00E72ABD">
        <w:rPr>
          <w:b/>
          <w:bCs/>
        </w:rPr>
        <w:t>i)</w:t>
      </w:r>
      <w:r w:rsidRPr="00E72ABD">
        <w:rPr>
          <w:b/>
          <w:bCs/>
        </w:rPr>
        <w:tab/>
      </w:r>
      <w:r w:rsidR="00D8696D" w:rsidRPr="00E72ABD">
        <w:rPr>
          <w:b/>
          <w:bCs/>
        </w:rPr>
        <w:t>Ensure that all political parties can engage in legitimate activities in complete freedom and security, in an environment of political tolerance, including by punishing any incitement to hatred and calls for violence against other political parties and their members</w:t>
      </w:r>
      <w:r w:rsidRPr="00E72ABD">
        <w:rPr>
          <w:b/>
          <w:bCs/>
        </w:rPr>
        <w:t>;</w:t>
      </w:r>
    </w:p>
    <w:p w14:paraId="27DA07B0" w14:textId="4E303C81" w:rsidR="002F4A3D" w:rsidRPr="00E72ABD" w:rsidRDefault="002F4A3D" w:rsidP="002F4A3D">
      <w:pPr>
        <w:spacing w:after="120"/>
        <w:ind w:left="1134" w:right="1134" w:firstLine="567"/>
        <w:jc w:val="both"/>
        <w:rPr>
          <w:b/>
          <w:bCs/>
        </w:rPr>
      </w:pPr>
      <w:r w:rsidRPr="00E72ABD">
        <w:rPr>
          <w:b/>
          <w:bCs/>
        </w:rPr>
        <w:t>j)</w:t>
      </w:r>
      <w:r w:rsidRPr="00E72ABD">
        <w:rPr>
          <w:b/>
          <w:bCs/>
        </w:rPr>
        <w:tab/>
      </w:r>
      <w:r w:rsidR="00D8696D" w:rsidRPr="00E72ABD">
        <w:rPr>
          <w:b/>
          <w:bCs/>
        </w:rPr>
        <w:t>Ensure, in practice, the right to participate in the conduct of public affairs without discrimination, in particular by amending the Electoral Code</w:t>
      </w:r>
      <w:r w:rsidRPr="00E72ABD">
        <w:rPr>
          <w:b/>
          <w:bCs/>
        </w:rPr>
        <w:t>;</w:t>
      </w:r>
    </w:p>
    <w:p w14:paraId="7265B0B1" w14:textId="7D30FFAC" w:rsidR="002F4A3D" w:rsidRPr="00E72ABD" w:rsidRDefault="002F4A3D" w:rsidP="002F4A3D">
      <w:pPr>
        <w:spacing w:after="120"/>
        <w:ind w:left="1134" w:right="1134" w:firstLine="567"/>
        <w:jc w:val="both"/>
        <w:rPr>
          <w:b/>
          <w:bCs/>
        </w:rPr>
      </w:pPr>
      <w:r w:rsidRPr="00E72ABD">
        <w:rPr>
          <w:b/>
          <w:bCs/>
        </w:rPr>
        <w:t>k)</w:t>
      </w:r>
      <w:r w:rsidRPr="00E72ABD">
        <w:rPr>
          <w:b/>
          <w:bCs/>
        </w:rPr>
        <w:tab/>
      </w:r>
      <w:r w:rsidR="00D8696D" w:rsidRPr="00E72ABD">
        <w:rPr>
          <w:b/>
          <w:bCs/>
        </w:rPr>
        <w:t>Ensure, in practice, the institutional independence of the Independent National Electoral Commission, including by amending the decree governing it to make certain that its composition is inclusive and balanced, and strengthen the capacity of its members at the municipal and provincial levels</w:t>
      </w:r>
      <w:r w:rsidRPr="00E72ABD">
        <w:rPr>
          <w:b/>
          <w:bCs/>
        </w:rPr>
        <w:t>;</w:t>
      </w:r>
    </w:p>
    <w:p w14:paraId="42387AA0" w14:textId="056C42F5" w:rsidR="002F4A3D" w:rsidRPr="00E72ABD" w:rsidRDefault="002F4A3D" w:rsidP="002F4A3D">
      <w:pPr>
        <w:spacing w:after="120"/>
        <w:ind w:left="1134" w:right="1134" w:firstLine="567"/>
        <w:jc w:val="both"/>
        <w:rPr>
          <w:b/>
          <w:bCs/>
        </w:rPr>
      </w:pPr>
      <w:r w:rsidRPr="00E72ABD">
        <w:rPr>
          <w:b/>
          <w:bCs/>
        </w:rPr>
        <w:t>l)</w:t>
      </w:r>
      <w:r w:rsidRPr="00E72ABD">
        <w:rPr>
          <w:b/>
          <w:bCs/>
        </w:rPr>
        <w:tab/>
      </w:r>
      <w:r w:rsidR="00E746A0" w:rsidRPr="00E72ABD">
        <w:rPr>
          <w:b/>
          <w:bCs/>
        </w:rPr>
        <w:t>Provide access to independent international and regional election observers and ensure that they and national observers from civil society or political parties enjoy freedom of movement and action before, during and after the elections</w:t>
      </w:r>
      <w:r w:rsidRPr="00E72ABD">
        <w:rPr>
          <w:b/>
          <w:bCs/>
        </w:rPr>
        <w:t>;</w:t>
      </w:r>
    </w:p>
    <w:p w14:paraId="0BC51D93" w14:textId="223B1770" w:rsidR="002F4A3D" w:rsidRPr="00E72ABD" w:rsidRDefault="002F4A3D" w:rsidP="002F4A3D">
      <w:pPr>
        <w:spacing w:after="120"/>
        <w:ind w:left="1134" w:right="1134" w:firstLine="567"/>
        <w:jc w:val="both"/>
        <w:rPr>
          <w:b/>
          <w:bCs/>
        </w:rPr>
      </w:pPr>
      <w:r w:rsidRPr="00E72ABD">
        <w:rPr>
          <w:b/>
          <w:bCs/>
        </w:rPr>
        <w:t>m)</w:t>
      </w:r>
      <w:r w:rsidRPr="00E72ABD">
        <w:rPr>
          <w:b/>
          <w:bCs/>
        </w:rPr>
        <w:tab/>
      </w:r>
      <w:r w:rsidR="00E746A0" w:rsidRPr="00E72ABD">
        <w:rPr>
          <w:b/>
          <w:bCs/>
        </w:rPr>
        <w:t>Follow the Guidelines for African Union Electoral Observation and Monitoring Missions</w:t>
      </w:r>
      <w:r w:rsidRPr="00E72ABD">
        <w:rPr>
          <w:b/>
          <w:bCs/>
        </w:rPr>
        <w:t>;</w:t>
      </w:r>
    </w:p>
    <w:p w14:paraId="240C54E4" w14:textId="1BBB9EC4" w:rsidR="002F4A3D" w:rsidRPr="00E72ABD" w:rsidRDefault="002F4A3D" w:rsidP="002F4A3D">
      <w:pPr>
        <w:spacing w:after="120"/>
        <w:ind w:left="1134" w:right="1134" w:firstLine="567"/>
        <w:jc w:val="both"/>
        <w:rPr>
          <w:b/>
          <w:bCs/>
        </w:rPr>
      </w:pPr>
      <w:r w:rsidRPr="00E72ABD">
        <w:rPr>
          <w:b/>
          <w:bCs/>
        </w:rPr>
        <w:t>n)</w:t>
      </w:r>
      <w:r w:rsidRPr="00E72ABD">
        <w:rPr>
          <w:b/>
          <w:bCs/>
        </w:rPr>
        <w:tab/>
      </w:r>
      <w:r w:rsidR="00E746A0" w:rsidRPr="00E72ABD">
        <w:rPr>
          <w:b/>
          <w:bCs/>
        </w:rPr>
        <w:t>Allow political opponents to return from exile to participate in the 2020 elections and guarantee their freedom and security, including by revoking warrants for the arrest of those who have not used or advocated violence</w:t>
      </w:r>
      <w:r w:rsidRPr="00E72ABD">
        <w:rPr>
          <w:b/>
          <w:bCs/>
        </w:rPr>
        <w:t>;</w:t>
      </w:r>
    </w:p>
    <w:p w14:paraId="0821630F" w14:textId="72656EC2" w:rsidR="002F4A3D" w:rsidRPr="00E72ABD" w:rsidRDefault="002F4A3D" w:rsidP="002F4A3D">
      <w:pPr>
        <w:spacing w:after="120"/>
        <w:ind w:left="1134" w:right="1134" w:firstLine="567"/>
        <w:jc w:val="both"/>
        <w:rPr>
          <w:b/>
          <w:bCs/>
        </w:rPr>
      </w:pPr>
      <w:r w:rsidRPr="00E72ABD">
        <w:rPr>
          <w:b/>
          <w:bCs/>
        </w:rPr>
        <w:t>o)</w:t>
      </w:r>
      <w:r w:rsidRPr="00E72ABD">
        <w:rPr>
          <w:b/>
          <w:bCs/>
        </w:rPr>
        <w:tab/>
      </w:r>
      <w:r w:rsidR="00E746A0" w:rsidRPr="00E72ABD">
        <w:rPr>
          <w:b/>
          <w:bCs/>
        </w:rPr>
        <w:t>Immediately release all political prisoners arrested and detained in connection with the exercise of their democratic rights</w:t>
      </w:r>
      <w:r w:rsidRPr="00E72ABD">
        <w:rPr>
          <w:b/>
          <w:bCs/>
        </w:rPr>
        <w:t>;</w:t>
      </w:r>
    </w:p>
    <w:p w14:paraId="03E1DAB8" w14:textId="7DEB7F83" w:rsidR="002F4A3D" w:rsidRPr="00E72ABD" w:rsidRDefault="002F4A3D" w:rsidP="002F4A3D">
      <w:pPr>
        <w:spacing w:after="120"/>
        <w:ind w:left="1134" w:right="1134" w:firstLine="567"/>
        <w:jc w:val="both"/>
        <w:rPr>
          <w:b/>
          <w:bCs/>
        </w:rPr>
      </w:pPr>
      <w:r w:rsidRPr="00E72ABD">
        <w:rPr>
          <w:b/>
          <w:bCs/>
        </w:rPr>
        <w:t>p)</w:t>
      </w:r>
      <w:r w:rsidRPr="00E72ABD">
        <w:rPr>
          <w:b/>
          <w:bCs/>
        </w:rPr>
        <w:tab/>
      </w:r>
      <w:r w:rsidR="00E746A0" w:rsidRPr="00E72ABD">
        <w:rPr>
          <w:b/>
          <w:bCs/>
        </w:rPr>
        <w:t>Make the training provided to law enforcement agencies more robust to avoid ill-treatment and ensure the peaceful control of crowds</w:t>
      </w:r>
      <w:r w:rsidRPr="00E72ABD">
        <w:rPr>
          <w:b/>
          <w:bCs/>
        </w:rPr>
        <w:t>;</w:t>
      </w:r>
    </w:p>
    <w:p w14:paraId="0A907507" w14:textId="2E8FD6D8" w:rsidR="002F4A3D" w:rsidRPr="00E72ABD" w:rsidRDefault="002F4A3D" w:rsidP="002F4A3D">
      <w:pPr>
        <w:spacing w:after="120"/>
        <w:ind w:left="1134" w:right="1134" w:firstLine="567"/>
        <w:jc w:val="both"/>
        <w:rPr>
          <w:b/>
          <w:bCs/>
        </w:rPr>
      </w:pPr>
      <w:r w:rsidRPr="00E72ABD">
        <w:rPr>
          <w:b/>
          <w:bCs/>
        </w:rPr>
        <w:t>q)</w:t>
      </w:r>
      <w:r w:rsidRPr="00E72ABD">
        <w:rPr>
          <w:b/>
          <w:bCs/>
        </w:rPr>
        <w:tab/>
      </w:r>
      <w:r w:rsidR="00E746A0" w:rsidRPr="00E72ABD">
        <w:rPr>
          <w:b/>
          <w:bCs/>
        </w:rPr>
        <w:t>Follow the Guidelines for the Policing of Assemblies by Law Enforcement Officials in Africa and the related training manual, both developed by the African Commission on Human and Peoples’ Rights</w:t>
      </w:r>
      <w:r w:rsidRPr="00E72ABD">
        <w:rPr>
          <w:b/>
          <w:bCs/>
        </w:rPr>
        <w:t>;</w:t>
      </w:r>
    </w:p>
    <w:p w14:paraId="62E63926" w14:textId="3721FC4C" w:rsidR="002F4A3D" w:rsidRPr="00E72ABD" w:rsidRDefault="002F4A3D" w:rsidP="002F4A3D">
      <w:pPr>
        <w:spacing w:after="120"/>
        <w:ind w:left="1134" w:right="1134" w:firstLine="567"/>
        <w:jc w:val="both"/>
        <w:rPr>
          <w:b/>
          <w:bCs/>
        </w:rPr>
      </w:pPr>
      <w:r w:rsidRPr="00E72ABD">
        <w:rPr>
          <w:b/>
          <w:bCs/>
        </w:rPr>
        <w:t>r)</w:t>
      </w:r>
      <w:r w:rsidRPr="00E72ABD">
        <w:rPr>
          <w:b/>
          <w:bCs/>
        </w:rPr>
        <w:tab/>
      </w:r>
      <w:r w:rsidR="00E746A0" w:rsidRPr="00E72ABD">
        <w:rPr>
          <w:b/>
          <w:bCs/>
        </w:rPr>
        <w:t>End the impunity of the Imbonerakure by exercising control over them so as to ensure that the functions of the security forces or the judiciary are not usurped and put an end to their repressive activities and shows of force in the hills</w:t>
      </w:r>
      <w:r w:rsidRPr="00E72ABD">
        <w:rPr>
          <w:b/>
          <w:bCs/>
        </w:rPr>
        <w:t>;</w:t>
      </w:r>
    </w:p>
    <w:p w14:paraId="352B5C12" w14:textId="11583C72" w:rsidR="002F4A3D" w:rsidRPr="00E72ABD" w:rsidRDefault="002F4A3D" w:rsidP="002F4A3D">
      <w:pPr>
        <w:spacing w:after="120"/>
        <w:ind w:left="1134" w:right="1134" w:firstLine="567"/>
        <w:jc w:val="both"/>
        <w:rPr>
          <w:b/>
          <w:bCs/>
        </w:rPr>
      </w:pPr>
      <w:r w:rsidRPr="00E72ABD">
        <w:rPr>
          <w:b/>
          <w:bCs/>
        </w:rPr>
        <w:t>s)</w:t>
      </w:r>
      <w:r w:rsidRPr="00E72ABD">
        <w:rPr>
          <w:b/>
          <w:bCs/>
        </w:rPr>
        <w:tab/>
      </w:r>
      <w:r w:rsidR="00E746A0" w:rsidRPr="00E72ABD">
        <w:rPr>
          <w:b/>
          <w:bCs/>
        </w:rPr>
        <w:t>End all illegal contributions</w:t>
      </w:r>
      <w:r w:rsidRPr="00E72ABD">
        <w:rPr>
          <w:b/>
          <w:bCs/>
        </w:rPr>
        <w:t>.</w:t>
      </w:r>
    </w:p>
    <w:p w14:paraId="5B77DC47" w14:textId="16C7E457" w:rsidR="002F4A3D" w:rsidRPr="00E72ABD" w:rsidRDefault="002F4A3D" w:rsidP="002F4A3D">
      <w:pPr>
        <w:spacing w:after="120"/>
        <w:ind w:left="1134" w:right="1134"/>
        <w:jc w:val="both"/>
        <w:rPr>
          <w:b/>
        </w:rPr>
      </w:pPr>
      <w:r w:rsidRPr="00E72ABD">
        <w:rPr>
          <w:b/>
        </w:rPr>
        <w:t>567.</w:t>
      </w:r>
      <w:r w:rsidRPr="00E72ABD">
        <w:rPr>
          <w:b/>
        </w:rPr>
        <w:tab/>
      </w:r>
      <w:r w:rsidR="00E746A0" w:rsidRPr="00E72ABD">
        <w:rPr>
          <w:b/>
          <w:bCs/>
        </w:rPr>
        <w:t>The Commission recommends that, whether they participate in the elections or not, all political parties in Burundi refrain from violence and incitement to hatred or violence, particularly against the backdrop of the 2020 elections</w:t>
      </w:r>
      <w:r w:rsidRPr="00E72ABD">
        <w:rPr>
          <w:b/>
        </w:rPr>
        <w:t>.</w:t>
      </w:r>
    </w:p>
    <w:p w14:paraId="204A8369" w14:textId="19E096BE" w:rsidR="002F4A3D" w:rsidRPr="00E72ABD" w:rsidRDefault="002F4A3D" w:rsidP="002F4A3D">
      <w:pPr>
        <w:spacing w:after="120"/>
        <w:ind w:left="1134" w:right="1134"/>
        <w:jc w:val="both"/>
        <w:rPr>
          <w:b/>
        </w:rPr>
      </w:pPr>
      <w:r w:rsidRPr="00E72ABD">
        <w:rPr>
          <w:b/>
        </w:rPr>
        <w:t>568.</w:t>
      </w:r>
      <w:r w:rsidRPr="00E72ABD">
        <w:rPr>
          <w:b/>
        </w:rPr>
        <w:tab/>
      </w:r>
      <w:r w:rsidR="00E746A0" w:rsidRPr="00E72ABD">
        <w:rPr>
          <w:b/>
          <w:bCs/>
        </w:rPr>
        <w:t>The Commission recommends that opposition rebel groups refrain from violence and incitement to hatred or violence</w:t>
      </w:r>
      <w:r w:rsidRPr="00E72ABD">
        <w:rPr>
          <w:b/>
          <w:bCs/>
        </w:rPr>
        <w:t>.</w:t>
      </w:r>
    </w:p>
    <w:p w14:paraId="65A01109" w14:textId="3C381791" w:rsidR="002F4A3D" w:rsidRPr="00E72ABD" w:rsidRDefault="002F4A3D" w:rsidP="002F4A3D">
      <w:pPr>
        <w:spacing w:after="120"/>
        <w:ind w:left="1134" w:right="1134"/>
        <w:jc w:val="both"/>
        <w:rPr>
          <w:b/>
        </w:rPr>
      </w:pPr>
      <w:r w:rsidRPr="00E72ABD">
        <w:rPr>
          <w:b/>
        </w:rPr>
        <w:t>569.</w:t>
      </w:r>
      <w:r w:rsidRPr="00E72ABD">
        <w:rPr>
          <w:b/>
        </w:rPr>
        <w:tab/>
      </w:r>
      <w:r w:rsidR="00E746A0" w:rsidRPr="00E72ABD">
        <w:rPr>
          <w:b/>
          <w:bCs/>
        </w:rPr>
        <w:t>For the international community, including the African Union and the United Nations system, the Commission has the following recommendations</w:t>
      </w:r>
      <w:r w:rsidRPr="00E72ABD">
        <w:rPr>
          <w:b/>
        </w:rPr>
        <w:t>:</w:t>
      </w:r>
    </w:p>
    <w:p w14:paraId="48BA6175" w14:textId="7073A50E" w:rsidR="002F4A3D" w:rsidRPr="00E72ABD" w:rsidRDefault="002F4A3D" w:rsidP="002F4A3D">
      <w:pPr>
        <w:spacing w:after="120"/>
        <w:ind w:left="1134" w:right="1134" w:firstLine="567"/>
        <w:jc w:val="both"/>
        <w:rPr>
          <w:b/>
          <w:bCs/>
        </w:rPr>
      </w:pPr>
      <w:r w:rsidRPr="00E72ABD">
        <w:rPr>
          <w:b/>
          <w:bCs/>
        </w:rPr>
        <w:t>a)</w:t>
      </w:r>
      <w:r w:rsidRPr="00E72ABD">
        <w:rPr>
          <w:b/>
          <w:bCs/>
        </w:rPr>
        <w:tab/>
      </w:r>
      <w:r w:rsidR="00E746A0" w:rsidRPr="00E72ABD">
        <w:rPr>
          <w:b/>
          <w:bCs/>
        </w:rPr>
        <w:t>Renew the mandate of the Commission for an additional year</w:t>
      </w:r>
      <w:r w:rsidRPr="00E72ABD">
        <w:rPr>
          <w:b/>
          <w:bCs/>
        </w:rPr>
        <w:t>;</w:t>
      </w:r>
    </w:p>
    <w:p w14:paraId="3139A184" w14:textId="25511178" w:rsidR="002F4A3D" w:rsidRPr="00E72ABD" w:rsidRDefault="002F4A3D" w:rsidP="002F4A3D">
      <w:pPr>
        <w:spacing w:after="120"/>
        <w:ind w:left="1134" w:right="1134" w:firstLine="567"/>
        <w:jc w:val="both"/>
        <w:rPr>
          <w:b/>
          <w:bCs/>
        </w:rPr>
      </w:pPr>
      <w:r w:rsidRPr="00E72ABD">
        <w:rPr>
          <w:b/>
          <w:bCs/>
        </w:rPr>
        <w:t>b)</w:t>
      </w:r>
      <w:r w:rsidRPr="00E72ABD">
        <w:rPr>
          <w:b/>
          <w:bCs/>
        </w:rPr>
        <w:tab/>
      </w:r>
      <w:r w:rsidR="00E746A0" w:rsidRPr="00E72ABD">
        <w:rPr>
          <w:b/>
          <w:bCs/>
        </w:rPr>
        <w:t>Continue to monitor developments in the human rights situation in Burundi in the context of the 2020 elections and, in accordance with the principles of prevention and early warning, carry out regular risk assessments to enable the development and use of appropriate response strategies in the event of deterioration</w:t>
      </w:r>
      <w:r w:rsidRPr="00E72ABD">
        <w:rPr>
          <w:b/>
          <w:bCs/>
        </w:rPr>
        <w:t>;</w:t>
      </w:r>
    </w:p>
    <w:p w14:paraId="0AF620E5" w14:textId="760BE59E" w:rsidR="002F4A3D" w:rsidRPr="00E72ABD" w:rsidRDefault="002F4A3D" w:rsidP="002F4A3D">
      <w:pPr>
        <w:spacing w:after="120"/>
        <w:ind w:left="1134" w:right="1134" w:firstLine="567"/>
        <w:jc w:val="both"/>
        <w:rPr>
          <w:b/>
          <w:bCs/>
        </w:rPr>
      </w:pPr>
      <w:r w:rsidRPr="00E72ABD">
        <w:rPr>
          <w:b/>
          <w:bCs/>
        </w:rPr>
        <w:t>c)</w:t>
      </w:r>
      <w:r w:rsidRPr="00E72ABD">
        <w:rPr>
          <w:b/>
          <w:bCs/>
        </w:rPr>
        <w:tab/>
      </w:r>
      <w:r w:rsidR="00E746A0" w:rsidRPr="00E72ABD">
        <w:rPr>
          <w:b/>
          <w:bCs/>
        </w:rPr>
        <w:t>Make every effort to ensure that an inclusive inter-Burundi dialogue is held to resolve the political crisis</w:t>
      </w:r>
      <w:r w:rsidRPr="00E72ABD">
        <w:rPr>
          <w:b/>
          <w:bCs/>
        </w:rPr>
        <w:t>;</w:t>
      </w:r>
    </w:p>
    <w:p w14:paraId="1F589FCD" w14:textId="24EBEC63" w:rsidR="002F4A3D" w:rsidRPr="00E72ABD" w:rsidRDefault="002F4A3D" w:rsidP="002F4A3D">
      <w:pPr>
        <w:spacing w:after="120"/>
        <w:ind w:left="1134" w:right="1134" w:firstLine="567"/>
        <w:jc w:val="both"/>
        <w:rPr>
          <w:b/>
          <w:bCs/>
        </w:rPr>
      </w:pPr>
      <w:r w:rsidRPr="00E72ABD">
        <w:rPr>
          <w:b/>
          <w:bCs/>
        </w:rPr>
        <w:t>d)</w:t>
      </w:r>
      <w:r w:rsidRPr="00E72ABD">
        <w:rPr>
          <w:b/>
          <w:bCs/>
        </w:rPr>
        <w:tab/>
      </w:r>
      <w:r w:rsidR="00E746A0" w:rsidRPr="00E72ABD">
        <w:rPr>
          <w:b/>
          <w:bCs/>
        </w:rPr>
        <w:t>Support capacity-building for international, regional and national election observers</w:t>
      </w:r>
      <w:r w:rsidRPr="00E72ABD">
        <w:rPr>
          <w:b/>
          <w:bCs/>
        </w:rPr>
        <w:t>;</w:t>
      </w:r>
    </w:p>
    <w:p w14:paraId="25F72E33" w14:textId="44905102" w:rsidR="002F4A3D" w:rsidRPr="00E72ABD" w:rsidRDefault="002F4A3D" w:rsidP="002F4A3D">
      <w:pPr>
        <w:spacing w:after="120"/>
        <w:ind w:left="1134" w:right="1134" w:firstLine="567"/>
        <w:jc w:val="both"/>
        <w:rPr>
          <w:b/>
          <w:bCs/>
        </w:rPr>
      </w:pPr>
      <w:r w:rsidRPr="00E72ABD">
        <w:rPr>
          <w:b/>
          <w:bCs/>
        </w:rPr>
        <w:t>e)</w:t>
      </w:r>
      <w:r w:rsidRPr="00E72ABD">
        <w:rPr>
          <w:b/>
          <w:bCs/>
        </w:rPr>
        <w:tab/>
      </w:r>
      <w:r w:rsidR="00E746A0" w:rsidRPr="00E72ABD">
        <w:rPr>
          <w:b/>
          <w:bCs/>
        </w:rPr>
        <w:t>Send regional or international observers only if their freedom of action is guaranteed in practice</w:t>
      </w:r>
      <w:r w:rsidRPr="00E72ABD">
        <w:rPr>
          <w:b/>
          <w:bCs/>
        </w:rPr>
        <w:t>;</w:t>
      </w:r>
    </w:p>
    <w:p w14:paraId="16B4333F" w14:textId="1E8A9C27" w:rsidR="002F4A3D" w:rsidRPr="00E72ABD" w:rsidRDefault="002F4A3D" w:rsidP="002F4A3D">
      <w:pPr>
        <w:spacing w:after="120"/>
        <w:ind w:left="1134" w:right="1134" w:firstLine="567"/>
        <w:jc w:val="both"/>
        <w:rPr>
          <w:b/>
          <w:bCs/>
        </w:rPr>
      </w:pPr>
      <w:r w:rsidRPr="00E72ABD">
        <w:rPr>
          <w:b/>
          <w:bCs/>
        </w:rPr>
        <w:t>f)</w:t>
      </w:r>
      <w:r w:rsidRPr="00E72ABD">
        <w:rPr>
          <w:b/>
          <w:bCs/>
        </w:rPr>
        <w:tab/>
      </w:r>
      <w:r w:rsidR="00C65AD7" w:rsidRPr="00E72ABD">
        <w:rPr>
          <w:b/>
          <w:bCs/>
        </w:rPr>
        <w:t>Ensure that all humanitarian aid reaches the population</w:t>
      </w:r>
      <w:r w:rsidRPr="00E72ABD">
        <w:rPr>
          <w:b/>
          <w:bCs/>
        </w:rPr>
        <w:t>;</w:t>
      </w:r>
    </w:p>
    <w:p w14:paraId="1A1EADC3" w14:textId="331C2AEF" w:rsidR="002F4A3D" w:rsidRPr="00E72ABD" w:rsidRDefault="002F4A3D" w:rsidP="002F4A3D">
      <w:pPr>
        <w:spacing w:after="120"/>
        <w:ind w:left="1134" w:right="1134" w:firstLine="567"/>
        <w:jc w:val="both"/>
        <w:rPr>
          <w:b/>
          <w:bCs/>
        </w:rPr>
      </w:pPr>
      <w:r w:rsidRPr="00E72ABD">
        <w:rPr>
          <w:b/>
          <w:bCs/>
        </w:rPr>
        <w:t>g)</w:t>
      </w:r>
      <w:r w:rsidRPr="00E72ABD">
        <w:rPr>
          <w:b/>
          <w:bCs/>
        </w:rPr>
        <w:tab/>
      </w:r>
      <w:r w:rsidR="00C65AD7" w:rsidRPr="00E72ABD">
        <w:rPr>
          <w:b/>
          <w:bCs/>
        </w:rPr>
        <w:t>Respond to the appeal made by the Office of the United Nations High Commissioner for Refugees for funds for Burundi refugees</w:t>
      </w:r>
      <w:r w:rsidRPr="00E72ABD">
        <w:rPr>
          <w:b/>
          <w:bCs/>
        </w:rPr>
        <w:t>;</w:t>
      </w:r>
    </w:p>
    <w:p w14:paraId="25FCDC52" w14:textId="07D36585" w:rsidR="002F4A3D" w:rsidRPr="00E72ABD" w:rsidRDefault="002F4A3D" w:rsidP="002F4A3D">
      <w:pPr>
        <w:spacing w:after="120"/>
        <w:ind w:left="1134" w:right="1134" w:firstLine="567"/>
        <w:jc w:val="both"/>
        <w:rPr>
          <w:b/>
          <w:bCs/>
        </w:rPr>
      </w:pPr>
      <w:r w:rsidRPr="00E72ABD">
        <w:rPr>
          <w:b/>
          <w:bCs/>
        </w:rPr>
        <w:t>h)</w:t>
      </w:r>
      <w:r w:rsidRPr="00E72ABD">
        <w:rPr>
          <w:b/>
          <w:bCs/>
        </w:rPr>
        <w:tab/>
      </w:r>
      <w:r w:rsidR="00C65AD7" w:rsidRPr="00E72ABD">
        <w:rPr>
          <w:b/>
          <w:bCs/>
        </w:rPr>
        <w:t>Ensure that returnees are monitored in a sustained and more regular and transparent manner</w:t>
      </w:r>
      <w:r w:rsidRPr="00E72ABD">
        <w:rPr>
          <w:b/>
          <w:bCs/>
        </w:rPr>
        <w:t>.</w:t>
      </w:r>
    </w:p>
    <w:p w14:paraId="709CFE64" w14:textId="29D859A6" w:rsidR="002F4A3D" w:rsidRPr="00E72ABD" w:rsidRDefault="002F4A3D" w:rsidP="002F4A3D">
      <w:pPr>
        <w:spacing w:after="120"/>
        <w:ind w:left="1134" w:right="1134"/>
        <w:jc w:val="both"/>
        <w:rPr>
          <w:b/>
        </w:rPr>
      </w:pPr>
      <w:r w:rsidRPr="00E72ABD">
        <w:rPr>
          <w:b/>
        </w:rPr>
        <w:t>570.</w:t>
      </w:r>
      <w:r w:rsidRPr="00E72ABD">
        <w:rPr>
          <w:b/>
        </w:rPr>
        <w:tab/>
      </w:r>
      <w:r w:rsidR="00C65AD7" w:rsidRPr="00E72ABD">
        <w:rPr>
          <w:b/>
          <w:bCs/>
        </w:rPr>
        <w:t>In particular, the Commission recommends that the United Nations system, in accordance with the initiative Human Rights Up Front, take stronger measures to promote human rights, under the mandates of the relevant agencies and programmes, and to collect and publish objective and reliable data on the situation in Burundi</w:t>
      </w:r>
      <w:r w:rsidRPr="00E72ABD">
        <w:rPr>
          <w:b/>
        </w:rPr>
        <w:t>.</w:t>
      </w:r>
    </w:p>
    <w:p w14:paraId="51D842E8" w14:textId="3D5D48C8" w:rsidR="002F4A3D" w:rsidRPr="00E72ABD" w:rsidRDefault="002F4A3D" w:rsidP="002F4A3D">
      <w:pPr>
        <w:spacing w:after="120"/>
        <w:ind w:left="1134" w:right="1134"/>
        <w:jc w:val="both"/>
        <w:rPr>
          <w:b/>
        </w:rPr>
      </w:pPr>
      <w:r w:rsidRPr="00E72ABD">
        <w:rPr>
          <w:b/>
        </w:rPr>
        <w:t>571.</w:t>
      </w:r>
      <w:r w:rsidRPr="00E72ABD">
        <w:rPr>
          <w:b/>
        </w:rPr>
        <w:tab/>
      </w:r>
      <w:r w:rsidR="00C65AD7" w:rsidRPr="00E72ABD">
        <w:rPr>
          <w:b/>
          <w:bCs/>
        </w:rPr>
        <w:t>In view of the risk factors that have been identified, the Commission recommends that the States members of the Security Council keep Burundi on the Council’s programme of work and that the Council invite the Commission to report to it on its conclusions</w:t>
      </w:r>
      <w:r w:rsidRPr="00E72ABD">
        <w:rPr>
          <w:b/>
        </w:rPr>
        <w:t>.</w:t>
      </w:r>
    </w:p>
    <w:p w14:paraId="3CF68001" w14:textId="728E0FD8" w:rsidR="003D5320" w:rsidRPr="00E72ABD" w:rsidRDefault="003D5320" w:rsidP="003D5320">
      <w:pPr>
        <w:spacing w:after="120"/>
        <w:ind w:left="1134" w:right="1134"/>
        <w:jc w:val="both"/>
        <w:rPr>
          <w:b/>
        </w:rPr>
      </w:pPr>
      <w:r w:rsidRPr="00E72ABD">
        <w:rPr>
          <w:b/>
          <w:bCs/>
        </w:rPr>
        <w:t>572.</w:t>
      </w:r>
      <w:r w:rsidRPr="00E72ABD">
        <w:rPr>
          <w:b/>
          <w:bCs/>
        </w:rPr>
        <w:tab/>
        <w:t>In view of the persistence of human rights violations in Burundi, the Commission recommends that Member States</w:t>
      </w:r>
      <w:r w:rsidRPr="00E72ABD" w:rsidDel="009D2855">
        <w:rPr>
          <w:b/>
          <w:bCs/>
        </w:rPr>
        <w:t xml:space="preserve"> </w:t>
      </w:r>
      <w:r w:rsidRPr="00E72ABD">
        <w:rPr>
          <w:b/>
          <w:bCs/>
        </w:rPr>
        <w:t xml:space="preserve">grant </w:t>
      </w:r>
      <w:r w:rsidRPr="00E72ABD">
        <w:rPr>
          <w:b/>
          <w:bCs/>
          <w:i/>
        </w:rPr>
        <w:t>prima facie</w:t>
      </w:r>
      <w:r w:rsidRPr="00E72ABD">
        <w:rPr>
          <w:b/>
          <w:bCs/>
        </w:rPr>
        <w:t xml:space="preserve"> refugee status to </w:t>
      </w:r>
      <w:r w:rsidR="002E6630">
        <w:rPr>
          <w:b/>
          <w:bCs/>
        </w:rPr>
        <w:t>Burundian</w:t>
      </w:r>
      <w:r w:rsidRPr="00E72ABD">
        <w:rPr>
          <w:b/>
          <w:bCs/>
        </w:rPr>
        <w:t xml:space="preserve"> asylum seekers and to ensure strict compliance with the principle of non-refoulement and protection of refugees.</w:t>
      </w:r>
    </w:p>
    <w:p w14:paraId="60D67E31" w14:textId="77777777" w:rsidR="002F4A3D" w:rsidRPr="00E72ABD" w:rsidRDefault="002F4A3D" w:rsidP="00D4626F">
      <w:pPr>
        <w:pStyle w:val="SingleTxtG"/>
        <w:rPr>
          <w:color w:val="7030A0"/>
        </w:rPr>
      </w:pPr>
    </w:p>
    <w:p w14:paraId="3E3AB1CA" w14:textId="77777777" w:rsidR="00D4626F" w:rsidRPr="00E72ABD" w:rsidRDefault="00D4626F" w:rsidP="00D4626F">
      <w:pPr>
        <w:rPr>
          <w:color w:val="7030A0"/>
        </w:rPr>
      </w:pPr>
    </w:p>
    <w:p w14:paraId="773C9E05" w14:textId="77777777" w:rsidR="001A1D29" w:rsidRPr="00E72ABD" w:rsidRDefault="001A1D29" w:rsidP="001A1D29">
      <w:pPr>
        <w:pStyle w:val="HChG"/>
      </w:pPr>
      <w:r w:rsidRPr="00E72ABD">
        <w:tab/>
        <w:t>Annexes</w:t>
      </w:r>
    </w:p>
    <w:p w14:paraId="6B87148F" w14:textId="4A83912D" w:rsidR="001A1D29" w:rsidRPr="00E72ABD" w:rsidRDefault="001A1D29" w:rsidP="001A1D29">
      <w:pPr>
        <w:pStyle w:val="H1G"/>
      </w:pPr>
      <w:r w:rsidRPr="00E72ABD">
        <w:tab/>
      </w:r>
      <w:r w:rsidRPr="00E72ABD">
        <w:tab/>
        <w:t>Annex I</w:t>
      </w:r>
    </w:p>
    <w:p w14:paraId="382C9DC6" w14:textId="784F4110" w:rsidR="001A1D29" w:rsidRPr="00E72ABD" w:rsidRDefault="001A1D29" w:rsidP="001A1D29">
      <w:pPr>
        <w:pStyle w:val="H23G"/>
      </w:pPr>
      <w:r w:rsidRPr="00E72ABD">
        <w:tab/>
      </w:r>
      <w:r w:rsidRPr="00E72ABD">
        <w:tab/>
      </w:r>
      <w:r w:rsidR="00A73C08" w:rsidRPr="00E72ABD">
        <w:t>Map of Burundi</w:t>
      </w:r>
    </w:p>
    <w:p w14:paraId="22AD7718" w14:textId="77777777" w:rsidR="001A1D29" w:rsidRPr="00E72ABD" w:rsidRDefault="001A1D29" w:rsidP="00A3232A">
      <w:pPr>
        <w:pStyle w:val="SingleTxtG"/>
        <w:jc w:val="left"/>
      </w:pPr>
      <w:r w:rsidRPr="00E72ABD">
        <w:rPr>
          <w:rFonts w:eastAsia="Calibri"/>
          <w:noProof/>
          <w:lang w:eastAsia="en-GB"/>
        </w:rPr>
        <w:drawing>
          <wp:inline distT="0" distB="0" distL="0" distR="0" wp14:anchorId="73BE961A" wp14:editId="71916119">
            <wp:extent cx="5585460" cy="69088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1405" cy="6965631"/>
                    </a:xfrm>
                    <a:prstGeom prst="rect">
                      <a:avLst/>
                    </a:prstGeom>
                    <a:noFill/>
                    <a:ln>
                      <a:noFill/>
                    </a:ln>
                  </pic:spPr>
                </pic:pic>
              </a:graphicData>
            </a:graphic>
          </wp:inline>
        </w:drawing>
      </w:r>
    </w:p>
    <w:p w14:paraId="6CC36D91" w14:textId="748D431A" w:rsidR="001A1D29" w:rsidRPr="00E72ABD" w:rsidRDefault="001A1D29">
      <w:pPr>
        <w:suppressAutoHyphens w:val="0"/>
        <w:spacing w:line="240" w:lineRule="auto"/>
        <w:rPr>
          <w:color w:val="7030A0"/>
        </w:rPr>
      </w:pPr>
      <w:r w:rsidRPr="00E72ABD">
        <w:rPr>
          <w:color w:val="7030A0"/>
        </w:rPr>
        <w:br w:type="page"/>
      </w:r>
    </w:p>
    <w:p w14:paraId="0935DF4A" w14:textId="55936697" w:rsidR="001A1D29" w:rsidRPr="00E72ABD" w:rsidRDefault="001A1D29" w:rsidP="001A1D29">
      <w:pPr>
        <w:pStyle w:val="H1G"/>
        <w:rPr>
          <w:lang w:eastAsia="en-GB"/>
        </w:rPr>
      </w:pPr>
      <w:r w:rsidRPr="00E72ABD">
        <w:rPr>
          <w:lang w:val="fr-CH" w:eastAsia="en-GB"/>
        </w:rPr>
        <w:tab/>
      </w:r>
      <w:r w:rsidRPr="00E72ABD">
        <w:rPr>
          <w:lang w:val="fr-CH" w:eastAsia="en-GB"/>
        </w:rPr>
        <w:tab/>
      </w:r>
      <w:r w:rsidRPr="00E72ABD">
        <w:rPr>
          <w:lang w:val="fr-CH" w:eastAsia="en-GB"/>
        </w:rPr>
        <w:tab/>
      </w:r>
      <w:r w:rsidRPr="00E72ABD">
        <w:rPr>
          <w:lang w:eastAsia="en-GB"/>
        </w:rPr>
        <w:t>Annex III</w:t>
      </w:r>
    </w:p>
    <w:p w14:paraId="25960D58" w14:textId="3EF2B679" w:rsidR="001A1D29" w:rsidRPr="00E72ABD" w:rsidRDefault="001A1D29" w:rsidP="001A1D29">
      <w:pPr>
        <w:pStyle w:val="H23G"/>
        <w:rPr>
          <w:lang w:eastAsia="en-GB"/>
        </w:rPr>
      </w:pPr>
      <w:r w:rsidRPr="00E72ABD">
        <w:rPr>
          <w:lang w:eastAsia="en-GB"/>
        </w:rPr>
        <w:tab/>
      </w:r>
      <w:r w:rsidRPr="00E72ABD">
        <w:rPr>
          <w:lang w:eastAsia="en-GB"/>
        </w:rPr>
        <w:tab/>
        <w:t>Previous R</w:t>
      </w:r>
      <w:r w:rsidR="00A73C08" w:rsidRPr="00E72ABD">
        <w:rPr>
          <w:lang w:eastAsia="en-GB"/>
        </w:rPr>
        <w:t>ecomme</w:t>
      </w:r>
      <w:r w:rsidRPr="00E72ABD">
        <w:rPr>
          <w:lang w:eastAsia="en-GB"/>
        </w:rPr>
        <w:t>ndations made by the Commission</w:t>
      </w:r>
    </w:p>
    <w:p w14:paraId="1BC1BD60" w14:textId="09BD43BA" w:rsidR="00E90412" w:rsidRPr="00E72ABD" w:rsidRDefault="00E90412" w:rsidP="00E90412">
      <w:pPr>
        <w:pStyle w:val="H23G"/>
        <w:rPr>
          <w:lang w:eastAsia="en-GB"/>
        </w:rPr>
      </w:pPr>
      <w:r w:rsidRPr="00E72ABD">
        <w:rPr>
          <w:lang w:eastAsia="en-GB"/>
        </w:rPr>
        <w:tab/>
        <w:t>1.</w:t>
      </w:r>
      <w:r w:rsidRPr="00E72ABD">
        <w:rPr>
          <w:lang w:eastAsia="en-GB"/>
        </w:rPr>
        <w:tab/>
        <w:t>Recomm</w:t>
      </w:r>
      <w:r w:rsidR="00A73C08" w:rsidRPr="00E72ABD">
        <w:rPr>
          <w:lang w:eastAsia="en-GB"/>
        </w:rPr>
        <w:t>e</w:t>
      </w:r>
      <w:r w:rsidRPr="00E72ABD">
        <w:rPr>
          <w:lang w:eastAsia="en-GB"/>
        </w:rPr>
        <w:t xml:space="preserve">ndations </w:t>
      </w:r>
      <w:r w:rsidRPr="00E72ABD">
        <w:t>made in</w:t>
      </w:r>
      <w:r w:rsidRPr="00E72ABD">
        <w:rPr>
          <w:lang w:eastAsia="en-GB"/>
        </w:rPr>
        <w:t xml:space="preserve"> 2018</w:t>
      </w:r>
    </w:p>
    <w:p w14:paraId="44E7238F" w14:textId="77777777" w:rsidR="001A1D29" w:rsidRPr="00E72ABD" w:rsidRDefault="001A1D29" w:rsidP="001A1D29">
      <w:pPr>
        <w:rPr>
          <w:lang w:eastAsia="en-GB"/>
        </w:rPr>
      </w:pPr>
    </w:p>
    <w:p w14:paraId="4C80BAC2" w14:textId="3050EFF5" w:rsidR="001A1D29" w:rsidRPr="00E72ABD" w:rsidRDefault="001A1D29" w:rsidP="001A1D29">
      <w:pPr>
        <w:pStyle w:val="SingleTxtG"/>
        <w:rPr>
          <w:lang w:val="en-US" w:eastAsia="en-GB"/>
        </w:rPr>
      </w:pPr>
      <w:r w:rsidRPr="00E72ABD">
        <w:rPr>
          <w:lang w:val="en-US" w:eastAsia="en-GB"/>
        </w:rPr>
        <w:t>106.</w:t>
      </w:r>
      <w:r w:rsidRPr="00E72ABD">
        <w:rPr>
          <w:lang w:val="en-US" w:eastAsia="en-GB"/>
        </w:rPr>
        <w:tab/>
        <w:t xml:space="preserve">The Commission recommends that the </w:t>
      </w:r>
      <w:r w:rsidR="007F5B89">
        <w:rPr>
          <w:lang w:val="en-US" w:eastAsia="en-GB"/>
        </w:rPr>
        <w:t>Government</w:t>
      </w:r>
      <w:r w:rsidRPr="00E72ABD">
        <w:rPr>
          <w:lang w:val="en-US" w:eastAsia="en-GB"/>
        </w:rPr>
        <w:t xml:space="preserve"> of Burundi take the following measures as a matter of priority: </w:t>
      </w:r>
    </w:p>
    <w:p w14:paraId="018977BA" w14:textId="77777777" w:rsidR="001A1D29" w:rsidRPr="00E72ABD" w:rsidRDefault="001A1D29" w:rsidP="001A1D29">
      <w:pPr>
        <w:pStyle w:val="SingleTxtG"/>
        <w:rPr>
          <w:lang w:val="en-US" w:eastAsia="en-GB"/>
        </w:rPr>
      </w:pPr>
      <w:r w:rsidRPr="00E72ABD">
        <w:rPr>
          <w:lang w:eastAsia="en-GB"/>
        </w:rPr>
        <w:tab/>
      </w:r>
      <w:r w:rsidRPr="00E72ABD">
        <w:rPr>
          <w:lang w:val="en-US" w:eastAsia="en-GB"/>
        </w:rPr>
        <w:t>(a)</w:t>
      </w:r>
      <w:r w:rsidRPr="00E72ABD">
        <w:rPr>
          <w:lang w:eastAsia="en-GB"/>
        </w:rPr>
        <w:tab/>
      </w:r>
      <w:r w:rsidRPr="00E72ABD">
        <w:rPr>
          <w:lang w:val="en-US" w:eastAsia="en-GB"/>
        </w:rPr>
        <w:t>Put an immediate end to the gross human rights violations being committed by agents of the State and Imbonerakure;</w:t>
      </w:r>
    </w:p>
    <w:p w14:paraId="11C2C67B" w14:textId="77777777" w:rsidR="001A1D29" w:rsidRPr="00E72ABD" w:rsidRDefault="001A1D29" w:rsidP="001A1D29">
      <w:pPr>
        <w:pStyle w:val="SingleTxtG"/>
        <w:rPr>
          <w:lang w:val="en-US" w:eastAsia="en-GB"/>
        </w:rPr>
      </w:pPr>
      <w:r w:rsidRPr="00E72ABD">
        <w:rPr>
          <w:lang w:eastAsia="en-GB"/>
        </w:rPr>
        <w:tab/>
      </w:r>
      <w:r w:rsidRPr="00E72ABD">
        <w:rPr>
          <w:lang w:val="en-US" w:eastAsia="en-GB"/>
        </w:rPr>
        <w:t>(b)</w:t>
      </w:r>
      <w:r w:rsidRPr="00E72ABD">
        <w:rPr>
          <w:lang w:eastAsia="en-GB"/>
        </w:rPr>
        <w:tab/>
      </w:r>
      <w:r w:rsidRPr="00E72ABD">
        <w:rPr>
          <w:lang w:val="en-US" w:eastAsia="en-GB"/>
        </w:rPr>
        <w:t>With the support of the international community, establish ad hoc mechanisms with a mandate to investigate human rights violations and to prosecute perpetrators of international crimes that are not being investigated by the International Criminal Court;</w:t>
      </w:r>
    </w:p>
    <w:p w14:paraId="78452117" w14:textId="77777777" w:rsidR="001A1D29" w:rsidRPr="00E72ABD" w:rsidRDefault="001A1D29" w:rsidP="001A1D29">
      <w:pPr>
        <w:pStyle w:val="SingleTxtG"/>
        <w:rPr>
          <w:lang w:val="en-US" w:eastAsia="en-GB"/>
        </w:rPr>
      </w:pPr>
      <w:r w:rsidRPr="00E72ABD">
        <w:rPr>
          <w:lang w:eastAsia="en-GB"/>
        </w:rPr>
        <w:tab/>
      </w:r>
      <w:r w:rsidRPr="00E72ABD">
        <w:rPr>
          <w:lang w:val="en-US" w:eastAsia="en-GB"/>
        </w:rPr>
        <w:t>(c)</w:t>
      </w:r>
      <w:r w:rsidRPr="00E72ABD">
        <w:rPr>
          <w:lang w:eastAsia="en-GB"/>
        </w:rPr>
        <w:tab/>
      </w:r>
      <w:r w:rsidRPr="00E72ABD">
        <w:rPr>
          <w:lang w:val="en-US" w:eastAsia="en-GB"/>
        </w:rPr>
        <w:t>With the support of the international community, establish an independent body with a mandate to investigate the cases of disappearance reported since April 2015, locate potential mass graves, and exhume and identify the remains;</w:t>
      </w:r>
    </w:p>
    <w:p w14:paraId="0F1374D8" w14:textId="77777777" w:rsidR="001A1D29" w:rsidRPr="00E72ABD" w:rsidRDefault="001A1D29" w:rsidP="001A1D29">
      <w:pPr>
        <w:pStyle w:val="SingleTxtG"/>
        <w:rPr>
          <w:lang w:val="en-US" w:eastAsia="en-GB"/>
        </w:rPr>
      </w:pPr>
      <w:r w:rsidRPr="00E72ABD">
        <w:rPr>
          <w:lang w:eastAsia="en-GB"/>
        </w:rPr>
        <w:tab/>
      </w:r>
      <w:r w:rsidRPr="00E72ABD">
        <w:rPr>
          <w:lang w:val="en-US" w:eastAsia="en-GB"/>
        </w:rPr>
        <w:t>(d)</w:t>
      </w:r>
      <w:r w:rsidRPr="00E72ABD">
        <w:rPr>
          <w:lang w:eastAsia="en-GB"/>
        </w:rPr>
        <w:tab/>
      </w:r>
      <w:r w:rsidRPr="00E72ABD">
        <w:rPr>
          <w:lang w:val="en-US" w:eastAsia="en-GB"/>
        </w:rPr>
        <w:t>Take measures to ensure that victims of torture and women survivors of sexual violence have access to appropriate care, including free access to all sexual and reproductive health services and to psychological support;</w:t>
      </w:r>
    </w:p>
    <w:p w14:paraId="7876398A" w14:textId="77777777" w:rsidR="001A1D29" w:rsidRPr="00E72ABD" w:rsidRDefault="001A1D29" w:rsidP="001A1D29">
      <w:pPr>
        <w:pStyle w:val="SingleTxtG"/>
        <w:rPr>
          <w:lang w:val="en-US" w:eastAsia="en-GB"/>
        </w:rPr>
      </w:pPr>
      <w:r w:rsidRPr="00E72ABD">
        <w:rPr>
          <w:lang w:eastAsia="en-GB"/>
        </w:rPr>
        <w:tab/>
      </w:r>
      <w:r w:rsidRPr="00E72ABD">
        <w:rPr>
          <w:lang w:val="en-US" w:eastAsia="en-GB"/>
        </w:rPr>
        <w:t>(e)</w:t>
      </w:r>
      <w:r w:rsidRPr="00E72ABD">
        <w:rPr>
          <w:lang w:val="en-US" w:eastAsia="en-GB"/>
        </w:rPr>
        <w:tab/>
        <w:t>Implement the Guidelines on Combating Sexual Violence and its Consequences in Africa adopted by the African Commission on Human and Peoples’ Rights;</w:t>
      </w:r>
    </w:p>
    <w:p w14:paraId="6A8A5060" w14:textId="77777777" w:rsidR="001A1D29" w:rsidRPr="00E72ABD" w:rsidRDefault="001A1D29" w:rsidP="001A1D29">
      <w:pPr>
        <w:pStyle w:val="SingleTxtG"/>
        <w:rPr>
          <w:lang w:val="en-US" w:eastAsia="en-GB"/>
        </w:rPr>
      </w:pPr>
      <w:r w:rsidRPr="00E72ABD">
        <w:rPr>
          <w:lang w:eastAsia="en-GB"/>
        </w:rPr>
        <w:tab/>
      </w:r>
      <w:r w:rsidRPr="00E72ABD">
        <w:rPr>
          <w:lang w:val="en-US" w:eastAsia="en-GB"/>
        </w:rPr>
        <w:t>(f)</w:t>
      </w:r>
      <w:r w:rsidRPr="00E72ABD">
        <w:rPr>
          <w:lang w:eastAsia="en-GB"/>
        </w:rPr>
        <w:tab/>
      </w:r>
      <w:r w:rsidRPr="00E72ABD">
        <w:rPr>
          <w:lang w:val="en-US" w:eastAsia="en-GB"/>
        </w:rPr>
        <w:t>Control price increases, in particular by reviewing duty and tax increases that are undermining the population’s right to an adequate standard of living and by abolishing contributions that disproportionately affect the poorest sectors;</w:t>
      </w:r>
    </w:p>
    <w:p w14:paraId="573A6CC8" w14:textId="77777777" w:rsidR="001A1D29" w:rsidRPr="00E72ABD" w:rsidRDefault="001A1D29" w:rsidP="001A1D29">
      <w:pPr>
        <w:pStyle w:val="SingleTxtG"/>
        <w:rPr>
          <w:lang w:val="en-US" w:eastAsia="en-GB"/>
        </w:rPr>
      </w:pPr>
      <w:r w:rsidRPr="00E72ABD">
        <w:rPr>
          <w:lang w:eastAsia="en-GB"/>
        </w:rPr>
        <w:tab/>
      </w:r>
      <w:r w:rsidRPr="00E72ABD">
        <w:rPr>
          <w:lang w:val="en-US" w:eastAsia="en-GB"/>
        </w:rPr>
        <w:t>(g)</w:t>
      </w:r>
      <w:r w:rsidRPr="00E72ABD">
        <w:rPr>
          <w:lang w:val="en-US" w:eastAsia="en-GB"/>
        </w:rPr>
        <w:tab/>
        <w:t>Cooperate with international human rights mechanisms, in particular by:</w:t>
      </w:r>
    </w:p>
    <w:p w14:paraId="776C22CC" w14:textId="77777777" w:rsidR="001A1D29" w:rsidRPr="00E72ABD" w:rsidRDefault="001A1D29" w:rsidP="001A1D29">
      <w:pPr>
        <w:pStyle w:val="SingleTxtG"/>
        <w:ind w:left="2268"/>
        <w:rPr>
          <w:lang w:val="en-US" w:eastAsia="en-GB"/>
        </w:rPr>
      </w:pPr>
      <w:r w:rsidRPr="00E72ABD">
        <w:rPr>
          <w:rFonts w:ascii="Symbol" w:hAnsi="Symbol"/>
          <w:lang w:val="en-US" w:eastAsia="en-GB"/>
        </w:rPr>
        <w:t></w:t>
      </w:r>
      <w:r w:rsidRPr="00E72ABD">
        <w:rPr>
          <w:rFonts w:ascii="Symbol" w:hAnsi="Symbol"/>
          <w:lang w:val="en-US" w:eastAsia="en-GB"/>
        </w:rPr>
        <w:tab/>
      </w:r>
      <w:r w:rsidRPr="00E72ABD">
        <w:rPr>
          <w:lang w:val="en-US" w:eastAsia="en-GB"/>
        </w:rPr>
        <w:t>i)</w:t>
      </w:r>
      <w:r w:rsidRPr="00E72ABD">
        <w:rPr>
          <w:lang w:val="en-US" w:eastAsia="en-GB"/>
        </w:rPr>
        <w:tab/>
        <w:t>Resuming the practice of allowing special procedures mandate holders to conduct missions to Burundi;</w:t>
      </w:r>
    </w:p>
    <w:p w14:paraId="0A7FECC4" w14:textId="77777777" w:rsidR="001A1D29" w:rsidRPr="00E72ABD" w:rsidRDefault="001A1D29" w:rsidP="001A1D29">
      <w:pPr>
        <w:pStyle w:val="SingleTxtG"/>
        <w:ind w:left="2268"/>
        <w:rPr>
          <w:lang w:val="en-US" w:eastAsia="en-GB"/>
        </w:rPr>
      </w:pPr>
      <w:r w:rsidRPr="00E72ABD">
        <w:rPr>
          <w:rFonts w:ascii="Symbol" w:hAnsi="Symbol"/>
          <w:lang w:val="en-US" w:eastAsia="en-GB"/>
        </w:rPr>
        <w:t></w:t>
      </w:r>
      <w:r w:rsidRPr="00E72ABD">
        <w:rPr>
          <w:rFonts w:ascii="Symbol" w:hAnsi="Symbol"/>
          <w:lang w:val="en-US" w:eastAsia="en-GB"/>
        </w:rPr>
        <w:tab/>
      </w:r>
      <w:proofErr w:type="gramStart"/>
      <w:r w:rsidRPr="00E72ABD">
        <w:rPr>
          <w:lang w:val="en-US" w:eastAsia="en-GB"/>
        </w:rPr>
        <w:t>ii</w:t>
      </w:r>
      <w:proofErr w:type="gramEnd"/>
      <w:r w:rsidRPr="00E72ABD">
        <w:rPr>
          <w:lang w:val="en-US" w:eastAsia="en-GB"/>
        </w:rPr>
        <w:t>)</w:t>
      </w:r>
      <w:r w:rsidRPr="00E72ABD">
        <w:rPr>
          <w:lang w:val="en-US" w:eastAsia="en-GB"/>
        </w:rPr>
        <w:tab/>
        <w:t>Implementing the recommendations of the universal periodic review, treaty bodies and special procedures, including by establishing a national mechanism for reporting and follow-up.</w:t>
      </w:r>
    </w:p>
    <w:p w14:paraId="68AACA08" w14:textId="77777777" w:rsidR="001A1D29" w:rsidRPr="00E72ABD" w:rsidRDefault="001A1D29" w:rsidP="001A1D29">
      <w:pPr>
        <w:pStyle w:val="SingleTxtG"/>
        <w:rPr>
          <w:lang w:val="en-US" w:eastAsia="en-GB"/>
        </w:rPr>
      </w:pPr>
      <w:r w:rsidRPr="00E72ABD">
        <w:rPr>
          <w:lang w:eastAsia="en-GB"/>
        </w:rPr>
        <w:tab/>
      </w:r>
      <w:r w:rsidRPr="00E72ABD">
        <w:rPr>
          <w:lang w:val="en-US" w:eastAsia="en-GB"/>
        </w:rPr>
        <w:t>(h)</w:t>
      </w:r>
      <w:r w:rsidRPr="00E72ABD">
        <w:rPr>
          <w:lang w:eastAsia="en-GB"/>
        </w:rPr>
        <w:tab/>
      </w:r>
      <w:r w:rsidRPr="00E72ABD">
        <w:rPr>
          <w:lang w:val="en-US" w:eastAsia="en-GB"/>
        </w:rPr>
        <w:t>Authorize the Office of the United Nations High Commissioner for Human Rights to resume all its activities in Burundi without hindrance;</w:t>
      </w:r>
    </w:p>
    <w:p w14:paraId="7B1582E6" w14:textId="77777777" w:rsidR="001A1D29" w:rsidRPr="00E72ABD" w:rsidRDefault="001A1D29" w:rsidP="001A1D29">
      <w:pPr>
        <w:pStyle w:val="SingleTxtG"/>
        <w:rPr>
          <w:lang w:val="en-US" w:eastAsia="en-GB"/>
        </w:rPr>
      </w:pPr>
      <w:r w:rsidRPr="00E72ABD">
        <w:rPr>
          <w:lang w:eastAsia="en-GB"/>
        </w:rPr>
        <w:tab/>
      </w:r>
      <w:r w:rsidRPr="00E72ABD">
        <w:rPr>
          <w:lang w:val="en-US" w:eastAsia="en-GB"/>
        </w:rPr>
        <w:t>(i)</w:t>
      </w:r>
      <w:r w:rsidRPr="00E72ABD">
        <w:rPr>
          <w:lang w:val="en-US" w:eastAsia="en-GB"/>
        </w:rPr>
        <w:tab/>
        <w:t>Sign and implement the memorandum of understanding with the African Union and permit the full deployment of the 100 human rights observers provided for therein.</w:t>
      </w:r>
    </w:p>
    <w:p w14:paraId="034BA446" w14:textId="56AD1CBD" w:rsidR="001A1D29" w:rsidRPr="00E72ABD" w:rsidRDefault="001A1D29" w:rsidP="001A1D29">
      <w:pPr>
        <w:pStyle w:val="SingleTxtG"/>
        <w:rPr>
          <w:lang w:val="en-US" w:eastAsia="en-GB"/>
        </w:rPr>
      </w:pPr>
      <w:r w:rsidRPr="00E72ABD">
        <w:rPr>
          <w:lang w:val="en-US" w:eastAsia="en-GB"/>
        </w:rPr>
        <w:t>107.</w:t>
      </w:r>
      <w:r w:rsidRPr="00E72ABD">
        <w:rPr>
          <w:lang w:val="en-US" w:eastAsia="en-GB"/>
        </w:rPr>
        <w:tab/>
        <w:t xml:space="preserve">For the medium and longer terms, the Commission also recommends that the </w:t>
      </w:r>
      <w:r w:rsidR="007F5B89">
        <w:rPr>
          <w:lang w:val="en-US" w:eastAsia="en-GB"/>
        </w:rPr>
        <w:t>Government</w:t>
      </w:r>
      <w:r w:rsidRPr="00E72ABD">
        <w:rPr>
          <w:lang w:val="en-US" w:eastAsia="en-GB"/>
        </w:rPr>
        <w:t xml:space="preserve"> of Burundi:</w:t>
      </w:r>
    </w:p>
    <w:p w14:paraId="07E9C881" w14:textId="77777777" w:rsidR="001A1D29" w:rsidRPr="00E72ABD" w:rsidRDefault="001A1D29" w:rsidP="001A1D29">
      <w:pPr>
        <w:pStyle w:val="SingleTxtG"/>
        <w:rPr>
          <w:lang w:val="en-US" w:eastAsia="en-GB"/>
        </w:rPr>
      </w:pPr>
      <w:r w:rsidRPr="00E72ABD">
        <w:rPr>
          <w:lang w:eastAsia="en-GB"/>
        </w:rPr>
        <w:tab/>
      </w:r>
      <w:r w:rsidRPr="00E72ABD">
        <w:rPr>
          <w:lang w:val="en-US" w:eastAsia="en-GB"/>
        </w:rPr>
        <w:t>(a)</w:t>
      </w:r>
      <w:r w:rsidRPr="00E72ABD">
        <w:rPr>
          <w:lang w:val="en-US" w:eastAsia="en-GB"/>
        </w:rPr>
        <w:tab/>
        <w:t xml:space="preserve">Amend the Organization Act of 8 March 2018 amending Act No. 01/03 of 24 January 2013 on the mandate, composition, </w:t>
      </w:r>
      <w:proofErr w:type="gramStart"/>
      <w:r w:rsidRPr="00E72ABD">
        <w:rPr>
          <w:lang w:val="en-US" w:eastAsia="en-GB"/>
        </w:rPr>
        <w:t>organization</w:t>
      </w:r>
      <w:proofErr w:type="gramEnd"/>
      <w:r w:rsidRPr="00E72ABD">
        <w:rPr>
          <w:lang w:val="en-US" w:eastAsia="en-GB"/>
        </w:rPr>
        <w:t xml:space="preserve"> and functioning of the National Communication Council with a view to ensuring the latter’s independence;</w:t>
      </w:r>
    </w:p>
    <w:p w14:paraId="2EBDC3C0" w14:textId="77777777" w:rsidR="001A1D29" w:rsidRPr="00E72ABD" w:rsidRDefault="001A1D29" w:rsidP="001A1D29">
      <w:pPr>
        <w:pStyle w:val="SingleTxtG"/>
        <w:rPr>
          <w:lang w:val="en-US" w:eastAsia="en-GB"/>
        </w:rPr>
      </w:pPr>
      <w:r w:rsidRPr="00E72ABD">
        <w:rPr>
          <w:lang w:eastAsia="en-GB"/>
        </w:rPr>
        <w:tab/>
      </w:r>
      <w:r w:rsidRPr="00E72ABD">
        <w:rPr>
          <w:lang w:val="en-US" w:eastAsia="en-GB"/>
        </w:rPr>
        <w:t>(b)</w:t>
      </w:r>
      <w:r w:rsidRPr="00E72ABD">
        <w:rPr>
          <w:lang w:eastAsia="en-GB"/>
        </w:rPr>
        <w:tab/>
      </w:r>
      <w:r w:rsidRPr="00E72ABD">
        <w:rPr>
          <w:lang w:val="en-US" w:eastAsia="en-GB"/>
        </w:rPr>
        <w:t>Ratify the International Convention for the Protection of All Persons from Enforced Disappearance;</w:t>
      </w:r>
    </w:p>
    <w:p w14:paraId="410B60C7" w14:textId="77777777" w:rsidR="001A1D29" w:rsidRPr="00E72ABD" w:rsidRDefault="001A1D29" w:rsidP="001A1D29">
      <w:pPr>
        <w:pStyle w:val="SingleTxtG"/>
        <w:rPr>
          <w:lang w:val="en-US" w:eastAsia="en-GB"/>
        </w:rPr>
      </w:pPr>
      <w:r w:rsidRPr="00E72ABD">
        <w:rPr>
          <w:lang w:eastAsia="en-GB"/>
        </w:rPr>
        <w:tab/>
      </w:r>
      <w:r w:rsidRPr="00E72ABD">
        <w:rPr>
          <w:lang w:val="en-US" w:eastAsia="en-GB"/>
        </w:rPr>
        <w:t>(c)</w:t>
      </w:r>
      <w:r w:rsidRPr="00E72ABD">
        <w:rPr>
          <w:lang w:val="en-US" w:eastAsia="en-GB"/>
        </w:rPr>
        <w:tab/>
        <w:t xml:space="preserve">Amend the Code of Criminal Procedure to align its provisions with international standards, in particular the provisions on time limits for police custody and on oversight of detention, night-time and warrantless searches, the </w:t>
      </w:r>
      <w:r w:rsidRPr="00E72ABD">
        <w:rPr>
          <w:i/>
          <w:iCs/>
          <w:lang w:val="en-US" w:eastAsia="en-GB"/>
        </w:rPr>
        <w:t xml:space="preserve">flagrante delicto </w:t>
      </w:r>
      <w:r w:rsidRPr="00E72ABD">
        <w:rPr>
          <w:lang w:val="en-US" w:eastAsia="en-GB"/>
        </w:rPr>
        <w:t>procedure and the offence of “undermining the internal security of the State”, and provisions that grant de jure impunity to judges and to officers of the criminal investigation police (</w:t>
      </w:r>
      <w:r w:rsidRPr="00E72ABD">
        <w:rPr>
          <w:i/>
          <w:iCs/>
          <w:lang w:val="en-US" w:eastAsia="en-GB"/>
        </w:rPr>
        <w:t>police judiciaire</w:t>
      </w:r>
      <w:r w:rsidRPr="00E72ABD">
        <w:rPr>
          <w:lang w:val="en-US" w:eastAsia="en-GB"/>
        </w:rPr>
        <w:t>);</w:t>
      </w:r>
    </w:p>
    <w:p w14:paraId="6C8C7A2F" w14:textId="77777777" w:rsidR="001A1D29" w:rsidRPr="00E72ABD" w:rsidRDefault="001A1D29" w:rsidP="001A1D29">
      <w:pPr>
        <w:pStyle w:val="SingleTxtG"/>
        <w:rPr>
          <w:lang w:val="en-US" w:eastAsia="en-GB"/>
        </w:rPr>
      </w:pPr>
      <w:r w:rsidRPr="00E72ABD">
        <w:rPr>
          <w:lang w:eastAsia="en-GB"/>
        </w:rPr>
        <w:tab/>
      </w:r>
      <w:r w:rsidRPr="00E72ABD">
        <w:rPr>
          <w:lang w:val="en-US" w:eastAsia="en-GB"/>
        </w:rPr>
        <w:t>(d)</w:t>
      </w:r>
      <w:r w:rsidRPr="00E72ABD">
        <w:rPr>
          <w:lang w:val="en-US" w:eastAsia="en-GB"/>
        </w:rPr>
        <w:tab/>
        <w:t>Put an end to arbitrary detention and improve conditions of detention by:</w:t>
      </w:r>
    </w:p>
    <w:p w14:paraId="643854F5" w14:textId="77777777" w:rsidR="001A1D29" w:rsidRPr="00E72ABD" w:rsidRDefault="001A1D29" w:rsidP="001A1D29">
      <w:pPr>
        <w:pStyle w:val="SingleTxtG"/>
        <w:ind w:left="2268"/>
        <w:rPr>
          <w:lang w:val="en-US" w:eastAsia="en-GB"/>
        </w:rPr>
      </w:pPr>
      <w:r w:rsidRPr="00E72ABD">
        <w:rPr>
          <w:rFonts w:ascii="Symbol" w:hAnsi="Symbol"/>
          <w:lang w:val="en-US" w:eastAsia="en-GB"/>
        </w:rPr>
        <w:t></w:t>
      </w:r>
      <w:r w:rsidRPr="00E72ABD">
        <w:rPr>
          <w:rFonts w:ascii="Symbol" w:hAnsi="Symbol"/>
          <w:lang w:val="en-US" w:eastAsia="en-GB"/>
        </w:rPr>
        <w:tab/>
      </w:r>
      <w:r w:rsidRPr="00E72ABD">
        <w:rPr>
          <w:lang w:val="en-US" w:eastAsia="en-GB"/>
        </w:rPr>
        <w:t>i)</w:t>
      </w:r>
      <w:r w:rsidRPr="00E72ABD">
        <w:rPr>
          <w:lang w:val="en-US" w:eastAsia="en-GB"/>
        </w:rPr>
        <w:tab/>
        <w:t>Implementing the Guidelines on the Conditions of Arrest, Police Custody and Pre-Trial Detention in Africa adopted by the African Commission on Human and Peoples’ Rights;</w:t>
      </w:r>
    </w:p>
    <w:p w14:paraId="60202CD1" w14:textId="77777777" w:rsidR="001A1D29" w:rsidRPr="00E72ABD" w:rsidRDefault="001A1D29" w:rsidP="001A1D29">
      <w:pPr>
        <w:pStyle w:val="SingleTxtG"/>
        <w:ind w:left="2268"/>
        <w:rPr>
          <w:lang w:val="en-US" w:eastAsia="en-GB"/>
        </w:rPr>
      </w:pPr>
      <w:r w:rsidRPr="00E72ABD">
        <w:rPr>
          <w:rFonts w:ascii="Symbol" w:hAnsi="Symbol"/>
          <w:lang w:val="en-US" w:eastAsia="en-GB"/>
        </w:rPr>
        <w:t></w:t>
      </w:r>
      <w:r w:rsidRPr="00E72ABD">
        <w:rPr>
          <w:rFonts w:ascii="Symbol" w:hAnsi="Symbol"/>
          <w:lang w:val="en-US" w:eastAsia="en-GB"/>
        </w:rPr>
        <w:tab/>
      </w:r>
      <w:proofErr w:type="gramStart"/>
      <w:r w:rsidRPr="00E72ABD">
        <w:rPr>
          <w:lang w:val="en-US" w:eastAsia="en-GB"/>
        </w:rPr>
        <w:t>ii</w:t>
      </w:r>
      <w:proofErr w:type="gramEnd"/>
      <w:r w:rsidRPr="00E72ABD">
        <w:rPr>
          <w:lang w:val="en-US" w:eastAsia="en-GB"/>
        </w:rPr>
        <w:t>)</w:t>
      </w:r>
      <w:r w:rsidRPr="00E72ABD">
        <w:rPr>
          <w:lang w:val="en-US" w:eastAsia="en-GB"/>
        </w:rPr>
        <w:tab/>
        <w:t>Ensuring that detention is subject to oversight measures for assessing its legality and compatibility with human rights.</w:t>
      </w:r>
    </w:p>
    <w:p w14:paraId="4D644AC1" w14:textId="77777777" w:rsidR="001A1D29" w:rsidRPr="00E72ABD" w:rsidRDefault="001A1D29" w:rsidP="001A1D29">
      <w:pPr>
        <w:pStyle w:val="SingleTxtG"/>
        <w:rPr>
          <w:lang w:val="en-US" w:eastAsia="en-GB"/>
        </w:rPr>
      </w:pPr>
      <w:r w:rsidRPr="00E72ABD">
        <w:rPr>
          <w:lang w:eastAsia="en-GB"/>
        </w:rPr>
        <w:tab/>
      </w:r>
      <w:r w:rsidRPr="00E72ABD">
        <w:rPr>
          <w:lang w:val="en-US" w:eastAsia="en-GB"/>
        </w:rPr>
        <w:t>(e)</w:t>
      </w:r>
      <w:r w:rsidRPr="00E72ABD">
        <w:rPr>
          <w:lang w:val="en-US" w:eastAsia="en-GB"/>
        </w:rPr>
        <w:tab/>
        <w:t xml:space="preserve"> In the absence of an independent and efficient judicial system, cooperate fully with the International Criminal Court in the investigation opened on 25 October 2017;</w:t>
      </w:r>
    </w:p>
    <w:p w14:paraId="1B94BF7B" w14:textId="77777777" w:rsidR="001A1D29" w:rsidRPr="00E72ABD" w:rsidRDefault="001A1D29" w:rsidP="001A1D29">
      <w:pPr>
        <w:pStyle w:val="SingleTxtG"/>
        <w:rPr>
          <w:lang w:val="en-US" w:eastAsia="en-GB"/>
        </w:rPr>
      </w:pPr>
      <w:r w:rsidRPr="00E72ABD">
        <w:rPr>
          <w:lang w:eastAsia="en-GB"/>
        </w:rPr>
        <w:tab/>
      </w:r>
      <w:r w:rsidRPr="00E72ABD">
        <w:rPr>
          <w:lang w:val="en-US" w:eastAsia="en-GB"/>
        </w:rPr>
        <w:t>(f)</w:t>
      </w:r>
      <w:r w:rsidRPr="00E72ABD">
        <w:rPr>
          <w:lang w:val="en-US" w:eastAsia="en-GB"/>
        </w:rPr>
        <w:tab/>
        <w:t>Undertake an in-depth reform of the judicial system to ensure its independence, impartiality and effectiveness, including by:</w:t>
      </w:r>
    </w:p>
    <w:p w14:paraId="3482A4B5" w14:textId="77777777" w:rsidR="001A1D29" w:rsidRPr="00E72ABD" w:rsidRDefault="001A1D29" w:rsidP="001A1D29">
      <w:pPr>
        <w:pStyle w:val="SingleTxtG"/>
        <w:ind w:left="2268"/>
        <w:rPr>
          <w:lang w:val="en-US" w:eastAsia="en-GB"/>
        </w:rPr>
      </w:pPr>
      <w:r w:rsidRPr="00E72ABD">
        <w:rPr>
          <w:rFonts w:ascii="Symbol" w:hAnsi="Symbol"/>
          <w:lang w:val="en-US" w:eastAsia="en-GB"/>
        </w:rPr>
        <w:t></w:t>
      </w:r>
      <w:r w:rsidRPr="00E72ABD">
        <w:rPr>
          <w:rFonts w:ascii="Symbol" w:hAnsi="Symbol"/>
          <w:lang w:val="en-US" w:eastAsia="en-GB"/>
        </w:rPr>
        <w:tab/>
      </w:r>
      <w:r w:rsidRPr="00E72ABD">
        <w:rPr>
          <w:lang w:val="en-US" w:eastAsia="en-GB"/>
        </w:rPr>
        <w:t>i)</w:t>
      </w:r>
      <w:r w:rsidRPr="00E72ABD">
        <w:rPr>
          <w:lang w:val="en-US" w:eastAsia="en-GB"/>
        </w:rPr>
        <w:tab/>
        <w:t>Implementing the Principles and Guidelines on the Right to a Fair Trial and Legal Assistance in Africa adopted by the African Commission on Human and Peoples’ Rights;</w:t>
      </w:r>
    </w:p>
    <w:p w14:paraId="12F57120" w14:textId="77777777" w:rsidR="001A1D29" w:rsidRPr="00E72ABD" w:rsidRDefault="001A1D29" w:rsidP="001A1D29">
      <w:pPr>
        <w:pStyle w:val="SingleTxtG"/>
        <w:ind w:left="2268"/>
        <w:rPr>
          <w:lang w:val="en-US" w:eastAsia="en-GB"/>
        </w:rPr>
      </w:pPr>
      <w:r w:rsidRPr="00E72ABD">
        <w:rPr>
          <w:rFonts w:ascii="Symbol" w:hAnsi="Symbol"/>
          <w:lang w:val="en-US" w:eastAsia="en-GB"/>
        </w:rPr>
        <w:t></w:t>
      </w:r>
      <w:r w:rsidRPr="00E72ABD">
        <w:rPr>
          <w:rFonts w:ascii="Symbol" w:hAnsi="Symbol"/>
          <w:lang w:val="en-US" w:eastAsia="en-GB"/>
        </w:rPr>
        <w:tab/>
      </w:r>
      <w:proofErr w:type="gramStart"/>
      <w:r w:rsidRPr="00E72ABD">
        <w:rPr>
          <w:lang w:val="en-US" w:eastAsia="en-GB"/>
        </w:rPr>
        <w:t>ii</w:t>
      </w:r>
      <w:proofErr w:type="gramEnd"/>
      <w:r w:rsidRPr="00E72ABD">
        <w:rPr>
          <w:lang w:val="en-US" w:eastAsia="en-GB"/>
        </w:rPr>
        <w:t>)</w:t>
      </w:r>
      <w:r w:rsidRPr="00E72ABD">
        <w:rPr>
          <w:lang w:val="en-US" w:eastAsia="en-GB"/>
        </w:rPr>
        <w:tab/>
        <w:t>Publishing the conclusions of the national forum on the justice system held in 2013 and convening a meeting of justice-sector stakeholders and international partners to discuss follow-up action;</w:t>
      </w:r>
    </w:p>
    <w:p w14:paraId="6D018308" w14:textId="77777777" w:rsidR="001A1D29" w:rsidRPr="00E72ABD" w:rsidRDefault="001A1D29" w:rsidP="001A1D29">
      <w:pPr>
        <w:pStyle w:val="SingleTxtG"/>
        <w:ind w:left="2268"/>
        <w:rPr>
          <w:lang w:val="en-US" w:eastAsia="en-GB"/>
        </w:rPr>
      </w:pPr>
      <w:r w:rsidRPr="00E72ABD">
        <w:rPr>
          <w:rFonts w:ascii="Symbol" w:hAnsi="Symbol"/>
          <w:lang w:val="en-US" w:eastAsia="en-GB"/>
        </w:rPr>
        <w:t></w:t>
      </w:r>
      <w:r w:rsidRPr="00E72ABD">
        <w:rPr>
          <w:rFonts w:ascii="Symbol" w:hAnsi="Symbol"/>
          <w:lang w:val="en-US" w:eastAsia="en-GB"/>
        </w:rPr>
        <w:tab/>
      </w:r>
      <w:proofErr w:type="gramStart"/>
      <w:r w:rsidRPr="00E72ABD">
        <w:rPr>
          <w:lang w:val="en-US" w:eastAsia="en-GB"/>
        </w:rPr>
        <w:t>iii</w:t>
      </w:r>
      <w:proofErr w:type="gramEnd"/>
      <w:r w:rsidRPr="00E72ABD">
        <w:rPr>
          <w:lang w:val="en-US" w:eastAsia="en-GB"/>
        </w:rPr>
        <w:t>)</w:t>
      </w:r>
      <w:r w:rsidRPr="00E72ABD">
        <w:rPr>
          <w:lang w:val="en-US" w:eastAsia="en-GB"/>
        </w:rPr>
        <w:tab/>
        <w:t>Increasing the budget for the justice sector and ensuring that it is managed autonomously;</w:t>
      </w:r>
    </w:p>
    <w:p w14:paraId="6E0CC2C3" w14:textId="77777777" w:rsidR="001A1D29" w:rsidRPr="00E72ABD" w:rsidRDefault="001A1D29" w:rsidP="001A1D29">
      <w:pPr>
        <w:pStyle w:val="SingleTxtG"/>
        <w:ind w:left="2268"/>
        <w:rPr>
          <w:lang w:val="en-US" w:eastAsia="en-GB"/>
        </w:rPr>
      </w:pPr>
      <w:r w:rsidRPr="00E72ABD">
        <w:rPr>
          <w:rFonts w:ascii="Symbol" w:hAnsi="Symbol"/>
          <w:lang w:val="en-US" w:eastAsia="en-GB"/>
        </w:rPr>
        <w:t></w:t>
      </w:r>
      <w:r w:rsidRPr="00E72ABD">
        <w:rPr>
          <w:rFonts w:ascii="Symbol" w:hAnsi="Symbol"/>
          <w:lang w:val="en-US" w:eastAsia="en-GB"/>
        </w:rPr>
        <w:tab/>
      </w:r>
      <w:proofErr w:type="gramStart"/>
      <w:r w:rsidRPr="00E72ABD">
        <w:rPr>
          <w:lang w:val="en-US" w:eastAsia="en-GB"/>
        </w:rPr>
        <w:t>iv</w:t>
      </w:r>
      <w:proofErr w:type="gramEnd"/>
      <w:r w:rsidRPr="00E72ABD">
        <w:rPr>
          <w:lang w:val="en-US" w:eastAsia="en-GB"/>
        </w:rPr>
        <w:t>)</w:t>
      </w:r>
      <w:r w:rsidRPr="00E72ABD">
        <w:rPr>
          <w:lang w:val="en-US" w:eastAsia="en-GB"/>
        </w:rPr>
        <w:tab/>
        <w:t>Raising the pay levels of judges in the ordinary courts and increasing the resources and facilities available to them;</w:t>
      </w:r>
    </w:p>
    <w:p w14:paraId="7A98B297" w14:textId="77777777" w:rsidR="001A1D29" w:rsidRPr="00E72ABD" w:rsidRDefault="001A1D29" w:rsidP="001A1D29">
      <w:pPr>
        <w:pStyle w:val="SingleTxtG"/>
        <w:ind w:left="2268"/>
        <w:rPr>
          <w:lang w:val="en-US" w:eastAsia="en-GB"/>
        </w:rPr>
      </w:pPr>
      <w:r w:rsidRPr="00E72ABD">
        <w:rPr>
          <w:rFonts w:ascii="Symbol" w:hAnsi="Symbol"/>
          <w:lang w:val="en-US" w:eastAsia="en-GB"/>
        </w:rPr>
        <w:t></w:t>
      </w:r>
      <w:r w:rsidRPr="00E72ABD">
        <w:rPr>
          <w:rFonts w:ascii="Symbol" w:hAnsi="Symbol"/>
          <w:lang w:val="en-US" w:eastAsia="en-GB"/>
        </w:rPr>
        <w:tab/>
      </w:r>
      <w:r w:rsidRPr="00E72ABD">
        <w:rPr>
          <w:lang w:val="en-US" w:eastAsia="en-GB"/>
        </w:rPr>
        <w:t>v)</w:t>
      </w:r>
      <w:r w:rsidRPr="00E72ABD">
        <w:rPr>
          <w:lang w:val="en-US" w:eastAsia="en-GB"/>
        </w:rPr>
        <w:tab/>
        <w:t>Computerizing court registries;</w:t>
      </w:r>
    </w:p>
    <w:p w14:paraId="4F083F85" w14:textId="77777777" w:rsidR="001A1D29" w:rsidRPr="00E72ABD" w:rsidRDefault="001A1D29" w:rsidP="001A1D29">
      <w:pPr>
        <w:pStyle w:val="SingleTxtG"/>
        <w:ind w:left="2268"/>
        <w:rPr>
          <w:lang w:val="en-US" w:eastAsia="en-GB"/>
        </w:rPr>
      </w:pPr>
      <w:r w:rsidRPr="00E72ABD">
        <w:rPr>
          <w:rFonts w:ascii="Symbol" w:hAnsi="Symbol"/>
          <w:lang w:val="en-US" w:eastAsia="en-GB"/>
        </w:rPr>
        <w:t></w:t>
      </w:r>
      <w:r w:rsidRPr="00E72ABD">
        <w:rPr>
          <w:rFonts w:ascii="Symbol" w:hAnsi="Symbol"/>
          <w:lang w:val="en-US" w:eastAsia="en-GB"/>
        </w:rPr>
        <w:tab/>
      </w:r>
      <w:proofErr w:type="gramStart"/>
      <w:r w:rsidRPr="00E72ABD">
        <w:rPr>
          <w:lang w:val="en-US" w:eastAsia="en-GB"/>
        </w:rPr>
        <w:t>vi</w:t>
      </w:r>
      <w:proofErr w:type="gramEnd"/>
      <w:r w:rsidRPr="00E72ABD">
        <w:rPr>
          <w:lang w:val="en-US" w:eastAsia="en-GB"/>
        </w:rPr>
        <w:t>)</w:t>
      </w:r>
      <w:r w:rsidRPr="00E72ABD">
        <w:rPr>
          <w:lang w:val="en-US" w:eastAsia="en-GB"/>
        </w:rPr>
        <w:tab/>
        <w:t>Reviewing the composition of the Judicial Service Commission to ensure that the majority of its members are appointed by their peers;</w:t>
      </w:r>
    </w:p>
    <w:p w14:paraId="0A79A41E" w14:textId="77777777" w:rsidR="001A1D29" w:rsidRPr="00E72ABD" w:rsidRDefault="001A1D29" w:rsidP="001A1D29">
      <w:pPr>
        <w:pStyle w:val="SingleTxtG"/>
        <w:ind w:left="2268"/>
        <w:rPr>
          <w:lang w:val="en-US" w:eastAsia="en-GB"/>
        </w:rPr>
      </w:pPr>
      <w:r w:rsidRPr="00E72ABD">
        <w:rPr>
          <w:rFonts w:ascii="Symbol" w:hAnsi="Symbol"/>
          <w:lang w:val="en-US" w:eastAsia="en-GB"/>
        </w:rPr>
        <w:t></w:t>
      </w:r>
      <w:r w:rsidRPr="00E72ABD">
        <w:rPr>
          <w:rFonts w:ascii="Symbol" w:hAnsi="Symbol"/>
          <w:lang w:val="en-US" w:eastAsia="en-GB"/>
        </w:rPr>
        <w:tab/>
      </w:r>
      <w:proofErr w:type="gramStart"/>
      <w:r w:rsidRPr="00E72ABD">
        <w:rPr>
          <w:lang w:val="en-US" w:eastAsia="en-GB"/>
        </w:rPr>
        <w:t>vii</w:t>
      </w:r>
      <w:proofErr w:type="gramEnd"/>
      <w:r w:rsidRPr="00E72ABD">
        <w:rPr>
          <w:lang w:val="en-US" w:eastAsia="en-GB"/>
        </w:rPr>
        <w:t>)</w:t>
      </w:r>
      <w:r w:rsidRPr="00E72ABD">
        <w:rPr>
          <w:lang w:val="en-US" w:eastAsia="en-GB"/>
        </w:rPr>
        <w:tab/>
        <w:t>Reviewing procedures for the appointment, assignment, evaluation and promotion of judges to ensure that such procedures are not dependent on the executive branch;</w:t>
      </w:r>
    </w:p>
    <w:p w14:paraId="7799BB5B" w14:textId="77777777" w:rsidR="001A1D29" w:rsidRPr="00E72ABD" w:rsidRDefault="001A1D29" w:rsidP="001A1D29">
      <w:pPr>
        <w:pStyle w:val="SingleTxtG"/>
        <w:ind w:left="2268"/>
        <w:rPr>
          <w:lang w:val="en-US" w:eastAsia="en-GB"/>
        </w:rPr>
      </w:pPr>
      <w:r w:rsidRPr="00E72ABD">
        <w:rPr>
          <w:rFonts w:ascii="Symbol" w:hAnsi="Symbol"/>
          <w:lang w:val="en-US" w:eastAsia="en-GB"/>
        </w:rPr>
        <w:t></w:t>
      </w:r>
      <w:r w:rsidRPr="00E72ABD">
        <w:rPr>
          <w:rFonts w:ascii="Symbol" w:hAnsi="Symbol"/>
          <w:lang w:val="en-US" w:eastAsia="en-GB"/>
        </w:rPr>
        <w:tab/>
      </w:r>
      <w:proofErr w:type="gramStart"/>
      <w:r w:rsidRPr="00E72ABD">
        <w:rPr>
          <w:lang w:val="en-US" w:eastAsia="en-GB"/>
        </w:rPr>
        <w:t>viii</w:t>
      </w:r>
      <w:proofErr w:type="gramEnd"/>
      <w:r w:rsidRPr="00E72ABD">
        <w:rPr>
          <w:lang w:val="en-US" w:eastAsia="en-GB"/>
        </w:rPr>
        <w:t>)</w:t>
      </w:r>
      <w:r w:rsidRPr="00E72ABD">
        <w:rPr>
          <w:lang w:val="en-US" w:eastAsia="en-GB"/>
        </w:rPr>
        <w:tab/>
        <w:t>Ensuring strict observance of the principle that judges should have security of tenure;</w:t>
      </w:r>
    </w:p>
    <w:p w14:paraId="5FB5958E" w14:textId="54C99CF5" w:rsidR="001A1D29" w:rsidRPr="00E72ABD" w:rsidRDefault="001A1D29" w:rsidP="001A1D29">
      <w:pPr>
        <w:pStyle w:val="SingleTxtG"/>
        <w:ind w:left="2268"/>
        <w:rPr>
          <w:lang w:val="en-US" w:eastAsia="en-GB"/>
        </w:rPr>
      </w:pPr>
      <w:r w:rsidRPr="00E72ABD">
        <w:rPr>
          <w:rFonts w:ascii="Symbol" w:hAnsi="Symbol"/>
          <w:lang w:val="en-US" w:eastAsia="en-GB"/>
        </w:rPr>
        <w:t></w:t>
      </w:r>
      <w:r w:rsidRPr="00E72ABD">
        <w:rPr>
          <w:rFonts w:ascii="Symbol" w:hAnsi="Symbol"/>
          <w:lang w:val="en-US" w:eastAsia="en-GB"/>
        </w:rPr>
        <w:tab/>
      </w:r>
      <w:r w:rsidRPr="00E72ABD">
        <w:rPr>
          <w:lang w:val="en-US" w:eastAsia="en-GB"/>
        </w:rPr>
        <w:t>ix)</w:t>
      </w:r>
      <w:r w:rsidRPr="00E72ABD">
        <w:rPr>
          <w:lang w:val="en-US" w:eastAsia="en-GB"/>
        </w:rPr>
        <w:tab/>
        <w:t xml:space="preserve">Protecting and safeguarding the independence of the judiciary by prohibiting any interference in the administration of justice by </w:t>
      </w:r>
      <w:r w:rsidR="007F5B89">
        <w:rPr>
          <w:lang w:val="en-US" w:eastAsia="en-GB"/>
        </w:rPr>
        <w:t>Government</w:t>
      </w:r>
      <w:r w:rsidRPr="00E72ABD">
        <w:rPr>
          <w:lang w:val="en-US" w:eastAsia="en-GB"/>
        </w:rPr>
        <w:t xml:space="preserve"> authorities, members of the ruling party or members of the </w:t>
      </w:r>
      <w:r w:rsidR="00D1497B" w:rsidRPr="00E72ABD">
        <w:rPr>
          <w:lang w:val="en-US" w:eastAsia="en-GB"/>
        </w:rPr>
        <w:t>defense</w:t>
      </w:r>
      <w:r w:rsidRPr="00E72ABD">
        <w:rPr>
          <w:lang w:val="en-US" w:eastAsia="en-GB"/>
        </w:rPr>
        <w:t xml:space="preserve"> and security forces, and imposing penalties on anyone who influences or seeks to influence the administration of justice;</w:t>
      </w:r>
    </w:p>
    <w:p w14:paraId="54376065" w14:textId="77777777" w:rsidR="001A1D29" w:rsidRPr="00E72ABD" w:rsidRDefault="001A1D29" w:rsidP="001A1D29">
      <w:pPr>
        <w:pStyle w:val="SingleTxtG"/>
        <w:ind w:left="2268"/>
        <w:rPr>
          <w:lang w:val="en-US" w:eastAsia="en-GB"/>
        </w:rPr>
      </w:pPr>
      <w:r w:rsidRPr="00E72ABD">
        <w:rPr>
          <w:rFonts w:ascii="Symbol" w:hAnsi="Symbol"/>
          <w:lang w:val="en-US" w:eastAsia="en-GB"/>
        </w:rPr>
        <w:t></w:t>
      </w:r>
      <w:r w:rsidRPr="00E72ABD">
        <w:rPr>
          <w:rFonts w:ascii="Symbol" w:hAnsi="Symbol"/>
          <w:lang w:val="en-US" w:eastAsia="en-GB"/>
        </w:rPr>
        <w:tab/>
      </w:r>
      <w:r w:rsidRPr="00E72ABD">
        <w:rPr>
          <w:lang w:val="en-US" w:eastAsia="en-GB"/>
        </w:rPr>
        <w:t>x)</w:t>
      </w:r>
      <w:r w:rsidRPr="00E72ABD">
        <w:rPr>
          <w:lang w:val="en-US" w:eastAsia="en-GB"/>
        </w:rPr>
        <w:tab/>
      </w:r>
      <w:proofErr w:type="gramStart"/>
      <w:r w:rsidRPr="00E72ABD">
        <w:rPr>
          <w:lang w:val="en-US" w:eastAsia="en-GB"/>
        </w:rPr>
        <w:t>Developing</w:t>
      </w:r>
      <w:proofErr w:type="gramEnd"/>
      <w:r w:rsidRPr="00E72ABD">
        <w:rPr>
          <w:lang w:val="en-US" w:eastAsia="en-GB"/>
        </w:rPr>
        <w:t xml:space="preserve"> legal aid programmes for persons belonging to the most vulnerable groups;</w:t>
      </w:r>
    </w:p>
    <w:p w14:paraId="6B79ED89" w14:textId="77777777" w:rsidR="001A1D29" w:rsidRPr="00E72ABD" w:rsidRDefault="001A1D29" w:rsidP="001A1D29">
      <w:pPr>
        <w:pStyle w:val="SingleTxtG"/>
        <w:ind w:left="2268"/>
        <w:rPr>
          <w:lang w:val="en-US" w:eastAsia="en-GB"/>
        </w:rPr>
      </w:pPr>
      <w:r w:rsidRPr="00E72ABD">
        <w:rPr>
          <w:rFonts w:ascii="Symbol" w:hAnsi="Symbol"/>
          <w:lang w:val="en-US" w:eastAsia="en-GB"/>
        </w:rPr>
        <w:t></w:t>
      </w:r>
      <w:r w:rsidRPr="00E72ABD">
        <w:rPr>
          <w:rFonts w:ascii="Symbol" w:hAnsi="Symbol"/>
          <w:lang w:val="en-US" w:eastAsia="en-GB"/>
        </w:rPr>
        <w:tab/>
      </w:r>
      <w:proofErr w:type="gramStart"/>
      <w:r w:rsidRPr="00E72ABD">
        <w:rPr>
          <w:lang w:val="en-US" w:eastAsia="en-GB"/>
        </w:rPr>
        <w:t>xi</w:t>
      </w:r>
      <w:proofErr w:type="gramEnd"/>
      <w:r w:rsidRPr="00E72ABD">
        <w:rPr>
          <w:lang w:val="en-US" w:eastAsia="en-GB"/>
        </w:rPr>
        <w:t>)</w:t>
      </w:r>
      <w:r w:rsidRPr="00E72ABD">
        <w:rPr>
          <w:lang w:val="en-US" w:eastAsia="en-GB"/>
        </w:rPr>
        <w:tab/>
        <w:t>Strengthening victim and witness protection mechanisms and improving their effectiveness in order to restore public trust and encourage witnesses to come forward without fear for their safety.</w:t>
      </w:r>
    </w:p>
    <w:p w14:paraId="3F9AA1B9" w14:textId="77777777" w:rsidR="001A1D29" w:rsidRPr="00E72ABD" w:rsidRDefault="001A1D29" w:rsidP="001A1D29">
      <w:pPr>
        <w:pStyle w:val="SingleTxtG"/>
        <w:rPr>
          <w:lang w:val="en-US" w:eastAsia="en-GB"/>
        </w:rPr>
      </w:pPr>
      <w:r w:rsidRPr="00E72ABD">
        <w:rPr>
          <w:lang w:eastAsia="en-GB"/>
        </w:rPr>
        <w:tab/>
      </w:r>
      <w:r w:rsidRPr="00E72ABD">
        <w:rPr>
          <w:lang w:val="en-US" w:eastAsia="en-GB"/>
        </w:rPr>
        <w:t>(g)</w:t>
      </w:r>
      <w:r w:rsidRPr="00E72ABD">
        <w:rPr>
          <w:lang w:val="en-US" w:eastAsia="en-GB"/>
        </w:rPr>
        <w:tab/>
        <w:t>In consultation with the beneficiaries, establish a reparations programme for victims of human rights violations, ensuring that material, symbolic, individual and collective reparations are made available regardless of whether or not the perpetrators are convicted;</w:t>
      </w:r>
    </w:p>
    <w:p w14:paraId="2A3B00EA" w14:textId="77777777" w:rsidR="001A1D29" w:rsidRPr="00E72ABD" w:rsidRDefault="001A1D29" w:rsidP="001A1D29">
      <w:pPr>
        <w:pStyle w:val="SingleTxtG"/>
        <w:rPr>
          <w:lang w:val="en-US" w:eastAsia="en-GB"/>
        </w:rPr>
      </w:pPr>
      <w:r w:rsidRPr="00E72ABD">
        <w:rPr>
          <w:lang w:eastAsia="en-GB"/>
        </w:rPr>
        <w:tab/>
      </w:r>
      <w:r w:rsidRPr="00E72ABD">
        <w:rPr>
          <w:lang w:val="en-US" w:eastAsia="en-GB"/>
        </w:rPr>
        <w:t>(h)</w:t>
      </w:r>
      <w:r w:rsidRPr="00E72ABD">
        <w:rPr>
          <w:lang w:eastAsia="en-GB"/>
        </w:rPr>
        <w:tab/>
      </w:r>
      <w:r w:rsidRPr="00E72ABD">
        <w:rPr>
          <w:lang w:val="en-US" w:eastAsia="en-GB"/>
        </w:rPr>
        <w:t>Establish the State fund for victims of torture provided for by law, in conformity with general comment No. 4 on the African Charter on Human and Peoples’ Rights, adopted by the African Commission on Human and Peoples’ Rights, concerning the right to redress for victims of torture and other cruel, inhuman or degrading punishment or treatment (art. 5);</w:t>
      </w:r>
    </w:p>
    <w:p w14:paraId="349EC828" w14:textId="77777777" w:rsidR="001A1D29" w:rsidRPr="00E72ABD" w:rsidRDefault="001A1D29" w:rsidP="001A1D29">
      <w:pPr>
        <w:pStyle w:val="SingleTxtG"/>
        <w:rPr>
          <w:lang w:val="en-US" w:eastAsia="en-GB"/>
        </w:rPr>
      </w:pPr>
      <w:r w:rsidRPr="00E72ABD">
        <w:rPr>
          <w:lang w:eastAsia="en-GB"/>
        </w:rPr>
        <w:tab/>
      </w:r>
      <w:r w:rsidRPr="00E72ABD">
        <w:rPr>
          <w:lang w:val="en-US" w:eastAsia="en-GB"/>
        </w:rPr>
        <w:t>(</w:t>
      </w:r>
      <w:proofErr w:type="gramStart"/>
      <w:r w:rsidRPr="00E72ABD">
        <w:rPr>
          <w:lang w:val="en-US" w:eastAsia="en-GB"/>
        </w:rPr>
        <w:t>i</w:t>
      </w:r>
      <w:proofErr w:type="gramEnd"/>
      <w:r w:rsidRPr="00E72ABD">
        <w:rPr>
          <w:lang w:val="en-US" w:eastAsia="en-GB"/>
        </w:rPr>
        <w:t>)</w:t>
      </w:r>
      <w:r w:rsidRPr="00E72ABD">
        <w:rPr>
          <w:lang w:val="en-US" w:eastAsia="en-GB"/>
        </w:rPr>
        <w:tab/>
        <w:t>Establish a compensation fund for victims of arbitrary and unlawful detention;</w:t>
      </w:r>
    </w:p>
    <w:p w14:paraId="4A717462" w14:textId="77777777" w:rsidR="001A1D29" w:rsidRPr="00E72ABD" w:rsidRDefault="001A1D29" w:rsidP="001A1D29">
      <w:pPr>
        <w:pStyle w:val="SingleTxtG"/>
        <w:rPr>
          <w:lang w:val="en-US" w:eastAsia="en-GB"/>
        </w:rPr>
      </w:pPr>
      <w:r w:rsidRPr="00E72ABD">
        <w:rPr>
          <w:lang w:eastAsia="en-GB"/>
        </w:rPr>
        <w:tab/>
      </w:r>
      <w:r w:rsidRPr="00E72ABD">
        <w:rPr>
          <w:lang w:val="en-US" w:eastAsia="en-GB"/>
        </w:rPr>
        <w:t>(j)</w:t>
      </w:r>
      <w:r w:rsidRPr="00E72ABD">
        <w:rPr>
          <w:lang w:val="en-US" w:eastAsia="en-GB"/>
        </w:rPr>
        <w:tab/>
        <w:t>Reform the security sector by:</w:t>
      </w:r>
    </w:p>
    <w:p w14:paraId="7D8AA2DF" w14:textId="37BB1774" w:rsidR="001A1D29" w:rsidRPr="00E72ABD" w:rsidRDefault="001A1D29" w:rsidP="001A1D29">
      <w:pPr>
        <w:pStyle w:val="SingleTxtG"/>
        <w:ind w:left="2268"/>
        <w:rPr>
          <w:lang w:val="en-US" w:eastAsia="en-GB"/>
        </w:rPr>
      </w:pPr>
      <w:r w:rsidRPr="00E72ABD">
        <w:rPr>
          <w:rFonts w:ascii="Symbol" w:hAnsi="Symbol"/>
          <w:lang w:val="en-US" w:eastAsia="en-GB"/>
        </w:rPr>
        <w:t></w:t>
      </w:r>
      <w:r w:rsidRPr="00E72ABD">
        <w:rPr>
          <w:rFonts w:ascii="Symbol" w:hAnsi="Symbol"/>
          <w:lang w:val="en-US" w:eastAsia="en-GB"/>
        </w:rPr>
        <w:tab/>
      </w:r>
      <w:r w:rsidRPr="00E72ABD">
        <w:rPr>
          <w:lang w:val="en-US" w:eastAsia="en-GB"/>
        </w:rPr>
        <w:t>i)</w:t>
      </w:r>
      <w:r w:rsidRPr="00E72ABD">
        <w:rPr>
          <w:lang w:val="en-US" w:eastAsia="en-GB"/>
        </w:rPr>
        <w:tab/>
        <w:t xml:space="preserve">Ensuring that outsiders are not involved in </w:t>
      </w:r>
      <w:r w:rsidR="00D1497B" w:rsidRPr="00E72ABD">
        <w:rPr>
          <w:lang w:val="en-US" w:eastAsia="en-GB"/>
        </w:rPr>
        <w:t>defense</w:t>
      </w:r>
      <w:r w:rsidRPr="00E72ABD">
        <w:rPr>
          <w:lang w:val="en-US" w:eastAsia="en-GB"/>
        </w:rPr>
        <w:t xml:space="preserve"> or security activities;</w:t>
      </w:r>
    </w:p>
    <w:p w14:paraId="4A974BF5" w14:textId="22377D61" w:rsidR="001A1D29" w:rsidRPr="00E72ABD" w:rsidRDefault="001A1D29" w:rsidP="001A1D29">
      <w:pPr>
        <w:pStyle w:val="SingleTxtG"/>
        <w:ind w:left="2268"/>
        <w:rPr>
          <w:lang w:val="en-US" w:eastAsia="en-GB"/>
        </w:rPr>
      </w:pPr>
      <w:r w:rsidRPr="00E72ABD">
        <w:rPr>
          <w:rFonts w:ascii="Symbol" w:hAnsi="Symbol"/>
          <w:lang w:val="en-US" w:eastAsia="en-GB"/>
        </w:rPr>
        <w:t></w:t>
      </w:r>
      <w:r w:rsidRPr="00E72ABD">
        <w:rPr>
          <w:rFonts w:ascii="Symbol" w:hAnsi="Symbol"/>
          <w:lang w:val="en-US" w:eastAsia="en-GB"/>
        </w:rPr>
        <w:tab/>
      </w:r>
      <w:proofErr w:type="gramStart"/>
      <w:r w:rsidRPr="00E72ABD">
        <w:rPr>
          <w:lang w:val="en-US" w:eastAsia="en-GB"/>
        </w:rPr>
        <w:t>ii</w:t>
      </w:r>
      <w:proofErr w:type="gramEnd"/>
      <w:r w:rsidRPr="00E72ABD">
        <w:rPr>
          <w:lang w:val="en-US" w:eastAsia="en-GB"/>
        </w:rPr>
        <w:t>)</w:t>
      </w:r>
      <w:r w:rsidRPr="00E72ABD">
        <w:rPr>
          <w:lang w:val="en-US" w:eastAsia="en-GB"/>
        </w:rPr>
        <w:tab/>
        <w:t xml:space="preserve">Clearly defining the roles of the various </w:t>
      </w:r>
      <w:r w:rsidR="00D1497B" w:rsidRPr="00E72ABD">
        <w:rPr>
          <w:lang w:val="en-US" w:eastAsia="en-GB"/>
        </w:rPr>
        <w:t>defense</w:t>
      </w:r>
      <w:r w:rsidRPr="00E72ABD">
        <w:rPr>
          <w:lang w:val="en-US" w:eastAsia="en-GB"/>
        </w:rPr>
        <w:t xml:space="preserve"> and security forces, in particular the National Intelligence Service;</w:t>
      </w:r>
    </w:p>
    <w:p w14:paraId="2949D517" w14:textId="3670EBCB" w:rsidR="001A1D29" w:rsidRPr="00E72ABD" w:rsidRDefault="001A1D29" w:rsidP="001A1D29">
      <w:pPr>
        <w:pStyle w:val="SingleTxtG"/>
        <w:ind w:left="2268"/>
        <w:rPr>
          <w:lang w:val="en-US" w:eastAsia="en-GB"/>
        </w:rPr>
      </w:pPr>
      <w:r w:rsidRPr="00E72ABD">
        <w:rPr>
          <w:rFonts w:ascii="Symbol" w:hAnsi="Symbol"/>
          <w:lang w:val="en-US" w:eastAsia="en-GB"/>
        </w:rPr>
        <w:t></w:t>
      </w:r>
      <w:r w:rsidRPr="00E72ABD">
        <w:rPr>
          <w:rFonts w:ascii="Symbol" w:hAnsi="Symbol"/>
          <w:lang w:val="en-US" w:eastAsia="en-GB"/>
        </w:rPr>
        <w:tab/>
      </w:r>
      <w:proofErr w:type="gramStart"/>
      <w:r w:rsidRPr="00E72ABD">
        <w:rPr>
          <w:lang w:val="en-US" w:eastAsia="en-GB"/>
        </w:rPr>
        <w:t>iii</w:t>
      </w:r>
      <w:proofErr w:type="gramEnd"/>
      <w:r w:rsidRPr="00E72ABD">
        <w:rPr>
          <w:lang w:val="en-US" w:eastAsia="en-GB"/>
        </w:rPr>
        <w:t>)</w:t>
      </w:r>
      <w:r w:rsidRPr="00E72ABD">
        <w:rPr>
          <w:lang w:val="en-US" w:eastAsia="en-GB"/>
        </w:rPr>
        <w:tab/>
        <w:t xml:space="preserve">Suspending members of the </w:t>
      </w:r>
      <w:r w:rsidR="00D1497B" w:rsidRPr="00E72ABD">
        <w:rPr>
          <w:lang w:val="en-US" w:eastAsia="en-GB"/>
        </w:rPr>
        <w:t>defense</w:t>
      </w:r>
      <w:r w:rsidRPr="00E72ABD">
        <w:rPr>
          <w:lang w:val="en-US" w:eastAsia="en-GB"/>
        </w:rPr>
        <w:t xml:space="preserve"> and security forces who are suspected of involvement in human rights violations until the relevant investigations and judicial proceedings have concluded;</w:t>
      </w:r>
    </w:p>
    <w:p w14:paraId="10809A17" w14:textId="77777777" w:rsidR="001A1D29" w:rsidRPr="00E72ABD" w:rsidRDefault="001A1D29" w:rsidP="001A1D29">
      <w:pPr>
        <w:pStyle w:val="SingleTxtG"/>
        <w:ind w:left="2268"/>
        <w:rPr>
          <w:lang w:val="en-US" w:eastAsia="en-GB"/>
        </w:rPr>
      </w:pPr>
      <w:r w:rsidRPr="00E72ABD">
        <w:rPr>
          <w:rFonts w:ascii="Symbol" w:hAnsi="Symbol"/>
          <w:lang w:val="en-US" w:eastAsia="en-GB"/>
        </w:rPr>
        <w:t></w:t>
      </w:r>
      <w:r w:rsidRPr="00E72ABD">
        <w:rPr>
          <w:rFonts w:ascii="Symbol" w:hAnsi="Symbol"/>
          <w:lang w:val="en-US" w:eastAsia="en-GB"/>
        </w:rPr>
        <w:tab/>
      </w:r>
      <w:proofErr w:type="gramStart"/>
      <w:r w:rsidRPr="00E72ABD">
        <w:rPr>
          <w:lang w:val="en-US" w:eastAsia="en-GB"/>
        </w:rPr>
        <w:t>iv</w:t>
      </w:r>
      <w:proofErr w:type="gramEnd"/>
      <w:r w:rsidRPr="00E72ABD">
        <w:rPr>
          <w:lang w:val="en-US" w:eastAsia="en-GB"/>
        </w:rPr>
        <w:t>)</w:t>
      </w:r>
      <w:r w:rsidRPr="00E72ABD">
        <w:rPr>
          <w:lang w:val="en-US" w:eastAsia="en-GB"/>
        </w:rPr>
        <w:tab/>
        <w:t>Establishing rigorous and transparent selection procedures that include vetting mechanisms;</w:t>
      </w:r>
    </w:p>
    <w:p w14:paraId="30A429D1" w14:textId="73C0D409" w:rsidR="001A1D29" w:rsidRPr="00E72ABD" w:rsidRDefault="001A1D29" w:rsidP="001A1D29">
      <w:pPr>
        <w:pStyle w:val="SingleTxtG"/>
        <w:ind w:left="2268"/>
        <w:rPr>
          <w:lang w:val="en-US" w:eastAsia="en-GB"/>
        </w:rPr>
      </w:pPr>
      <w:r w:rsidRPr="00E72ABD">
        <w:rPr>
          <w:rFonts w:ascii="Symbol" w:hAnsi="Symbol"/>
          <w:lang w:val="en-US" w:eastAsia="en-GB"/>
        </w:rPr>
        <w:t></w:t>
      </w:r>
      <w:r w:rsidRPr="00E72ABD">
        <w:rPr>
          <w:rFonts w:ascii="Symbol" w:hAnsi="Symbol"/>
          <w:lang w:val="en-US" w:eastAsia="en-GB"/>
        </w:rPr>
        <w:tab/>
      </w:r>
      <w:r w:rsidRPr="00E72ABD">
        <w:rPr>
          <w:lang w:val="en-US" w:eastAsia="en-GB"/>
        </w:rPr>
        <w:t>v)</w:t>
      </w:r>
      <w:r w:rsidRPr="00E72ABD">
        <w:rPr>
          <w:lang w:val="en-US" w:eastAsia="en-GB"/>
        </w:rPr>
        <w:tab/>
        <w:t xml:space="preserve">Strengthening democratic civilian control over the </w:t>
      </w:r>
      <w:r w:rsidR="00D1497B" w:rsidRPr="00E72ABD">
        <w:rPr>
          <w:lang w:val="en-US" w:eastAsia="en-GB"/>
        </w:rPr>
        <w:t>defense</w:t>
      </w:r>
      <w:r w:rsidRPr="00E72ABD">
        <w:rPr>
          <w:lang w:val="en-US" w:eastAsia="en-GB"/>
        </w:rPr>
        <w:t xml:space="preserve"> and security forces, in particular the National Intelligence Service.</w:t>
      </w:r>
    </w:p>
    <w:p w14:paraId="24E4F904" w14:textId="77777777" w:rsidR="001A1D29" w:rsidRPr="00E72ABD" w:rsidRDefault="001A1D29" w:rsidP="001A1D29">
      <w:pPr>
        <w:pStyle w:val="SingleTxtG"/>
        <w:rPr>
          <w:lang w:val="en-US" w:eastAsia="en-GB"/>
        </w:rPr>
      </w:pPr>
      <w:r w:rsidRPr="00E72ABD">
        <w:rPr>
          <w:lang w:eastAsia="en-GB"/>
        </w:rPr>
        <w:tab/>
      </w:r>
      <w:r w:rsidRPr="00E72ABD">
        <w:rPr>
          <w:lang w:val="en-US" w:eastAsia="en-GB"/>
        </w:rPr>
        <w:t>(k)</w:t>
      </w:r>
      <w:r w:rsidRPr="00E72ABD">
        <w:rPr>
          <w:lang w:eastAsia="en-GB"/>
        </w:rPr>
        <w:tab/>
      </w:r>
      <w:r w:rsidRPr="00E72ABD">
        <w:rPr>
          <w:lang w:val="en-US" w:eastAsia="en-GB"/>
        </w:rPr>
        <w:t>Meet its international obligations to respect, protect and fulfil economic and social rights by:</w:t>
      </w:r>
    </w:p>
    <w:p w14:paraId="7F31C9DE" w14:textId="77777777" w:rsidR="001A1D29" w:rsidRPr="00E72ABD" w:rsidRDefault="001A1D29" w:rsidP="001A1D29">
      <w:pPr>
        <w:pStyle w:val="SingleTxtG"/>
        <w:ind w:left="2268"/>
        <w:rPr>
          <w:lang w:val="en-US" w:eastAsia="en-GB"/>
        </w:rPr>
      </w:pPr>
      <w:r w:rsidRPr="00E72ABD">
        <w:rPr>
          <w:rFonts w:ascii="Symbol" w:hAnsi="Symbol"/>
          <w:lang w:val="en-US" w:eastAsia="en-GB"/>
        </w:rPr>
        <w:t></w:t>
      </w:r>
      <w:r w:rsidRPr="00E72ABD">
        <w:rPr>
          <w:rFonts w:ascii="Symbol" w:hAnsi="Symbol"/>
          <w:lang w:val="en-US" w:eastAsia="en-GB"/>
        </w:rPr>
        <w:tab/>
      </w:r>
      <w:r w:rsidRPr="00E72ABD">
        <w:rPr>
          <w:lang w:val="en-US" w:eastAsia="en-GB"/>
        </w:rPr>
        <w:t>i)</w:t>
      </w:r>
      <w:r w:rsidRPr="00E72ABD">
        <w:rPr>
          <w:lang w:val="en-US" w:eastAsia="en-GB"/>
        </w:rPr>
        <w:tab/>
        <w:t>Developing and implementing State budgets in such a way as to maximize the use of available resources to ensure that the human rights of the sectors impoverished by the political crisis are respected, in particular the rights to food, water and health care, and to develop indicators disaggregated by factors such as gender in order to better inform its policies;</w:t>
      </w:r>
    </w:p>
    <w:p w14:paraId="341A4B6D" w14:textId="77777777" w:rsidR="001A1D29" w:rsidRPr="00E72ABD" w:rsidRDefault="001A1D29" w:rsidP="001A1D29">
      <w:pPr>
        <w:pStyle w:val="SingleTxtG"/>
        <w:ind w:left="2268"/>
        <w:rPr>
          <w:lang w:val="en-US" w:eastAsia="en-GB"/>
        </w:rPr>
      </w:pPr>
      <w:r w:rsidRPr="00E72ABD">
        <w:rPr>
          <w:rFonts w:ascii="Symbol" w:hAnsi="Symbol"/>
          <w:lang w:val="en-US" w:eastAsia="en-GB"/>
        </w:rPr>
        <w:t></w:t>
      </w:r>
      <w:r w:rsidRPr="00E72ABD">
        <w:rPr>
          <w:rFonts w:ascii="Symbol" w:hAnsi="Symbol"/>
          <w:lang w:val="en-US" w:eastAsia="en-GB"/>
        </w:rPr>
        <w:tab/>
      </w:r>
      <w:r w:rsidRPr="00E72ABD">
        <w:rPr>
          <w:lang w:val="en-US" w:eastAsia="en-GB"/>
        </w:rPr>
        <w:t>ii)</w:t>
      </w:r>
      <w:r w:rsidRPr="00E72ABD">
        <w:rPr>
          <w:lang w:val="en-US" w:eastAsia="en-GB"/>
        </w:rPr>
        <w:tab/>
        <w:t>In consultation with population groups working in the agricultural sector, including women, undertaking reforms with the aim of better protecting women’s rights and making better use of land for agriculture, and developing employment opportunities outside the agricultural sector;</w:t>
      </w:r>
    </w:p>
    <w:p w14:paraId="6FCC5F26" w14:textId="77777777" w:rsidR="001A1D29" w:rsidRPr="00E72ABD" w:rsidRDefault="001A1D29" w:rsidP="001A1D29">
      <w:pPr>
        <w:pStyle w:val="SingleTxtG"/>
        <w:ind w:left="2268"/>
        <w:rPr>
          <w:lang w:val="en-US" w:eastAsia="en-GB"/>
        </w:rPr>
      </w:pPr>
      <w:r w:rsidRPr="00E72ABD">
        <w:rPr>
          <w:rFonts w:ascii="Symbol" w:hAnsi="Symbol"/>
          <w:lang w:val="en-US" w:eastAsia="en-GB"/>
        </w:rPr>
        <w:t></w:t>
      </w:r>
      <w:r w:rsidRPr="00E72ABD">
        <w:rPr>
          <w:rFonts w:ascii="Symbol" w:hAnsi="Symbol"/>
          <w:lang w:val="en-US" w:eastAsia="en-GB"/>
        </w:rPr>
        <w:tab/>
      </w:r>
      <w:proofErr w:type="gramStart"/>
      <w:r w:rsidRPr="00E72ABD">
        <w:rPr>
          <w:lang w:val="en-US" w:eastAsia="en-GB"/>
        </w:rPr>
        <w:t>iii</w:t>
      </w:r>
      <w:proofErr w:type="gramEnd"/>
      <w:r w:rsidRPr="00E72ABD">
        <w:rPr>
          <w:lang w:val="en-US" w:eastAsia="en-GB"/>
        </w:rPr>
        <w:t>)</w:t>
      </w:r>
      <w:r w:rsidRPr="00E72ABD">
        <w:rPr>
          <w:lang w:val="en-US" w:eastAsia="en-GB"/>
        </w:rPr>
        <w:tab/>
        <w:t>Taking a rights-based approach to the settlement of land conflicts, including those involving persons who fled Burundi either before or after 2015;</w:t>
      </w:r>
    </w:p>
    <w:p w14:paraId="0E6B2ABF" w14:textId="77777777" w:rsidR="001A1D29" w:rsidRPr="00E72ABD" w:rsidRDefault="001A1D29" w:rsidP="001A1D29">
      <w:pPr>
        <w:pStyle w:val="SingleTxtG"/>
        <w:ind w:left="2268"/>
        <w:rPr>
          <w:lang w:val="en-US" w:eastAsia="en-GB"/>
        </w:rPr>
      </w:pPr>
      <w:r w:rsidRPr="00E72ABD">
        <w:rPr>
          <w:rFonts w:ascii="Symbol" w:hAnsi="Symbol"/>
          <w:lang w:val="en-US" w:eastAsia="en-GB"/>
        </w:rPr>
        <w:t></w:t>
      </w:r>
      <w:r w:rsidRPr="00E72ABD">
        <w:rPr>
          <w:rFonts w:ascii="Symbol" w:hAnsi="Symbol"/>
          <w:lang w:val="en-US" w:eastAsia="en-GB"/>
        </w:rPr>
        <w:tab/>
      </w:r>
      <w:proofErr w:type="gramStart"/>
      <w:r w:rsidRPr="00E72ABD">
        <w:rPr>
          <w:lang w:val="en-US" w:eastAsia="en-GB"/>
        </w:rPr>
        <w:t>iv</w:t>
      </w:r>
      <w:proofErr w:type="gramEnd"/>
      <w:r w:rsidRPr="00E72ABD">
        <w:rPr>
          <w:lang w:val="en-US" w:eastAsia="en-GB"/>
        </w:rPr>
        <w:t>)</w:t>
      </w:r>
      <w:r w:rsidRPr="00E72ABD">
        <w:rPr>
          <w:lang w:val="en-US" w:eastAsia="en-GB"/>
        </w:rPr>
        <w:tab/>
        <w:t>Ending the inclusion of any political considerations in hiring processes for the civil service, State enterprises and public-private enterprises.</w:t>
      </w:r>
    </w:p>
    <w:p w14:paraId="40539144" w14:textId="3AE4BD37" w:rsidR="001A1D29" w:rsidRPr="00E72ABD" w:rsidRDefault="001A1D29" w:rsidP="001A1D29">
      <w:pPr>
        <w:pStyle w:val="SingleTxtG"/>
        <w:rPr>
          <w:lang w:val="en-US" w:eastAsia="en-GB"/>
        </w:rPr>
      </w:pPr>
      <w:r w:rsidRPr="00E72ABD">
        <w:rPr>
          <w:lang w:val="en-US" w:eastAsia="en-GB"/>
        </w:rPr>
        <w:t>108.</w:t>
      </w:r>
      <w:r w:rsidRPr="00E72ABD">
        <w:rPr>
          <w:lang w:val="en-US" w:eastAsia="en-GB"/>
        </w:rPr>
        <w:tab/>
        <w:t xml:space="preserve">The Commission recommends that political parties and armed opposition groups refrain from engaging in any attacks on </w:t>
      </w:r>
      <w:r w:rsidR="002E6630">
        <w:rPr>
          <w:lang w:val="en-US" w:eastAsia="en-GB"/>
        </w:rPr>
        <w:t>Burundian</w:t>
      </w:r>
      <w:r w:rsidRPr="00E72ABD">
        <w:rPr>
          <w:lang w:val="en-US" w:eastAsia="en-GB"/>
        </w:rPr>
        <w:t xml:space="preserve"> territory and from any speech calling for violence, and that they join the effort to find a lasting solution to the political crisis.</w:t>
      </w:r>
    </w:p>
    <w:p w14:paraId="60F8BA2A" w14:textId="77777777" w:rsidR="001A1D29" w:rsidRPr="00E72ABD" w:rsidRDefault="001A1D29" w:rsidP="001A1D29">
      <w:pPr>
        <w:pStyle w:val="SingleTxtG"/>
        <w:rPr>
          <w:lang w:val="en-US" w:eastAsia="en-GB"/>
        </w:rPr>
      </w:pPr>
      <w:r w:rsidRPr="00E72ABD">
        <w:rPr>
          <w:lang w:val="en-US" w:eastAsia="en-GB"/>
        </w:rPr>
        <w:t>109.</w:t>
      </w:r>
      <w:r w:rsidRPr="00E72ABD">
        <w:rPr>
          <w:lang w:val="en-US" w:eastAsia="en-GB"/>
        </w:rPr>
        <w:tab/>
        <w:t>The Commission recommends that the African Union, in its efforts to find a lasting solution to the crisis in Burundi, give priority to respect for human rights and the rejection of impunity, as provided for in its Constitutive Act.</w:t>
      </w:r>
    </w:p>
    <w:p w14:paraId="410ABCA4" w14:textId="77777777" w:rsidR="001A1D29" w:rsidRPr="00E72ABD" w:rsidRDefault="001A1D29" w:rsidP="001A1D29">
      <w:pPr>
        <w:pStyle w:val="SingleTxtG"/>
        <w:rPr>
          <w:lang w:val="en-US" w:eastAsia="en-GB"/>
        </w:rPr>
      </w:pPr>
      <w:r w:rsidRPr="00E72ABD">
        <w:rPr>
          <w:lang w:val="en-US" w:eastAsia="en-GB"/>
        </w:rPr>
        <w:t>110.</w:t>
      </w:r>
      <w:r w:rsidRPr="00E72ABD">
        <w:rPr>
          <w:lang w:val="en-US" w:eastAsia="en-GB"/>
        </w:rPr>
        <w:tab/>
        <w:t>The Commission recommends that the technical and financial partners of Burundi:</w:t>
      </w:r>
    </w:p>
    <w:p w14:paraId="53F3C22F" w14:textId="25CF5E9A" w:rsidR="001A1D29" w:rsidRPr="00E72ABD" w:rsidRDefault="001A1D29" w:rsidP="001A1D29">
      <w:pPr>
        <w:pStyle w:val="SingleTxtG"/>
        <w:rPr>
          <w:lang w:val="en-US" w:eastAsia="en-GB"/>
        </w:rPr>
      </w:pPr>
      <w:r w:rsidRPr="00E72ABD">
        <w:rPr>
          <w:lang w:eastAsia="en-GB"/>
        </w:rPr>
        <w:tab/>
      </w:r>
      <w:r w:rsidRPr="00E72ABD">
        <w:rPr>
          <w:lang w:val="en-US" w:eastAsia="en-GB"/>
        </w:rPr>
        <w:t>(a)</w:t>
      </w:r>
      <w:r w:rsidRPr="00E72ABD">
        <w:rPr>
          <w:lang w:val="en-US" w:eastAsia="en-GB"/>
        </w:rPr>
        <w:tab/>
        <w:t xml:space="preserve">Suspend, or maintain the suspension of, any direct budget support to the </w:t>
      </w:r>
      <w:r w:rsidR="007F5B89">
        <w:rPr>
          <w:lang w:val="en-US" w:eastAsia="en-GB"/>
        </w:rPr>
        <w:t>Government</w:t>
      </w:r>
      <w:r w:rsidRPr="00E72ABD">
        <w:rPr>
          <w:lang w:val="en-US" w:eastAsia="en-GB"/>
        </w:rPr>
        <w:t xml:space="preserve"> until such time as priority is given to the allocation of domestic resources for the fulfilment of the Sustainable Development Goals and the economic and social rights of the population, and effective measures are taken against corruption;</w:t>
      </w:r>
    </w:p>
    <w:p w14:paraId="496D6069" w14:textId="310837F8" w:rsidR="001A1D29" w:rsidRPr="00E72ABD" w:rsidRDefault="001A1D29" w:rsidP="001A1D29">
      <w:pPr>
        <w:pStyle w:val="SingleTxtG"/>
        <w:rPr>
          <w:lang w:val="en-US" w:eastAsia="en-GB"/>
        </w:rPr>
      </w:pPr>
      <w:r w:rsidRPr="00E72ABD">
        <w:rPr>
          <w:lang w:eastAsia="en-GB"/>
        </w:rPr>
        <w:tab/>
      </w:r>
      <w:r w:rsidRPr="00E72ABD">
        <w:rPr>
          <w:lang w:val="en-US" w:eastAsia="en-GB"/>
        </w:rPr>
        <w:t>(b)</w:t>
      </w:r>
      <w:r w:rsidRPr="00E72ABD">
        <w:rPr>
          <w:lang w:val="en-US" w:eastAsia="en-GB"/>
        </w:rPr>
        <w:tab/>
        <w:t xml:space="preserve">Ensure that grants and financing provided to the </w:t>
      </w:r>
      <w:r w:rsidR="007F5B89">
        <w:rPr>
          <w:lang w:val="en-US" w:eastAsia="en-GB"/>
        </w:rPr>
        <w:t>Government</w:t>
      </w:r>
      <w:r w:rsidRPr="00E72ABD">
        <w:rPr>
          <w:lang w:val="en-US" w:eastAsia="en-GB"/>
        </w:rPr>
        <w:t xml:space="preserve"> are earmarked for projects to meet the population’s needs, and ensure that such funding is managed effectively and transparently;</w:t>
      </w:r>
    </w:p>
    <w:p w14:paraId="04188619" w14:textId="77777777" w:rsidR="001A1D29" w:rsidRPr="00E72ABD" w:rsidRDefault="001A1D29" w:rsidP="001A1D29">
      <w:pPr>
        <w:pStyle w:val="SingleTxtG"/>
        <w:rPr>
          <w:lang w:val="en-US" w:eastAsia="en-GB"/>
        </w:rPr>
      </w:pPr>
      <w:r w:rsidRPr="00E72ABD">
        <w:rPr>
          <w:lang w:eastAsia="en-GB"/>
        </w:rPr>
        <w:tab/>
      </w:r>
      <w:r w:rsidRPr="00E72ABD">
        <w:rPr>
          <w:lang w:val="en-US" w:eastAsia="en-GB"/>
        </w:rPr>
        <w:t>(c)</w:t>
      </w:r>
      <w:r w:rsidRPr="00E72ABD">
        <w:rPr>
          <w:lang w:val="en-US" w:eastAsia="en-GB"/>
        </w:rPr>
        <w:tab/>
        <w:t>Regularly evaluate the impact of financial sanctions on the people of Burundi.</w:t>
      </w:r>
    </w:p>
    <w:p w14:paraId="3BDD1A6A" w14:textId="0D57DAE1" w:rsidR="001A1D29" w:rsidRPr="00E72ABD" w:rsidRDefault="001A1D29" w:rsidP="001A1D29">
      <w:pPr>
        <w:pStyle w:val="SingleTxtG"/>
        <w:rPr>
          <w:lang w:val="en-US" w:eastAsia="en-GB"/>
        </w:rPr>
      </w:pPr>
      <w:r w:rsidRPr="00E72ABD">
        <w:rPr>
          <w:lang w:val="en-US" w:eastAsia="en-GB"/>
        </w:rPr>
        <w:t>111.</w:t>
      </w:r>
      <w:r w:rsidRPr="00E72ABD">
        <w:rPr>
          <w:lang w:val="en-US" w:eastAsia="en-GB"/>
        </w:rPr>
        <w:tab/>
        <w:t>The Commission recommends that the guarantors of the Arusha Agreement, in their capacity as committed proponents of a lasting peace in Burundi, continue to seek a durable solution to the political and human rights crisis that will preserve and safeguard the achievements of the Arusha Agreement.</w:t>
      </w:r>
    </w:p>
    <w:p w14:paraId="7E749E1C" w14:textId="174770AA" w:rsidR="00E90412" w:rsidRPr="00E72ABD" w:rsidRDefault="00E90412">
      <w:pPr>
        <w:suppressAutoHyphens w:val="0"/>
        <w:spacing w:line="240" w:lineRule="auto"/>
        <w:rPr>
          <w:lang w:val="en-US" w:eastAsia="en-GB"/>
        </w:rPr>
      </w:pPr>
      <w:r w:rsidRPr="00E72ABD">
        <w:rPr>
          <w:lang w:val="en-US" w:eastAsia="en-GB"/>
        </w:rPr>
        <w:br w:type="page"/>
      </w:r>
    </w:p>
    <w:p w14:paraId="2AB9D4C5" w14:textId="77777777" w:rsidR="00E90412" w:rsidRPr="00E72ABD" w:rsidRDefault="00E90412" w:rsidP="001A1D29">
      <w:pPr>
        <w:pStyle w:val="SingleTxtG"/>
        <w:rPr>
          <w:lang w:val="en-US" w:eastAsia="en-GB"/>
        </w:rPr>
      </w:pPr>
    </w:p>
    <w:p w14:paraId="7ADF676D" w14:textId="508F8F8D" w:rsidR="00E90412" w:rsidRPr="00E72ABD" w:rsidRDefault="00E90412" w:rsidP="00E90412">
      <w:pPr>
        <w:pStyle w:val="H23G"/>
        <w:rPr>
          <w:lang w:eastAsia="en-GB"/>
        </w:rPr>
      </w:pPr>
      <w:r w:rsidRPr="00E72ABD">
        <w:rPr>
          <w:lang w:eastAsia="en-GB"/>
        </w:rPr>
        <w:tab/>
        <w:t>2.</w:t>
      </w:r>
      <w:r w:rsidRPr="00E72ABD">
        <w:rPr>
          <w:lang w:eastAsia="en-GB"/>
        </w:rPr>
        <w:tab/>
      </w:r>
      <w:r w:rsidR="00A73C08" w:rsidRPr="00E72ABD">
        <w:rPr>
          <w:lang w:eastAsia="en-GB"/>
        </w:rPr>
        <w:t>Recomme</w:t>
      </w:r>
      <w:r w:rsidRPr="00E72ABD">
        <w:rPr>
          <w:lang w:eastAsia="en-GB"/>
        </w:rPr>
        <w:t xml:space="preserve">ndations </w:t>
      </w:r>
      <w:r w:rsidRPr="00E72ABD">
        <w:t>made in</w:t>
      </w:r>
      <w:r w:rsidRPr="00E72ABD">
        <w:rPr>
          <w:lang w:eastAsia="en-GB"/>
        </w:rPr>
        <w:t xml:space="preserve"> 2017</w:t>
      </w:r>
    </w:p>
    <w:p w14:paraId="4BD542AA" w14:textId="308F8A6C" w:rsidR="00E90412" w:rsidRPr="00E72ABD" w:rsidRDefault="00E90412" w:rsidP="00E90412">
      <w:pPr>
        <w:keepNext/>
        <w:keepLines/>
        <w:tabs>
          <w:tab w:val="right" w:pos="851"/>
        </w:tabs>
        <w:spacing w:before="240" w:after="120" w:line="240" w:lineRule="exact"/>
        <w:ind w:left="1135" w:right="1134" w:hanging="284"/>
        <w:rPr>
          <w:b/>
          <w:lang w:val="en-US" w:eastAsia="en-GB"/>
        </w:rPr>
      </w:pPr>
      <w:r w:rsidRPr="00E72ABD">
        <w:rPr>
          <w:b/>
          <w:lang w:val="en-US" w:eastAsia="en-GB"/>
        </w:rPr>
        <w:t>1.</w:t>
      </w:r>
      <w:r w:rsidRPr="00E72ABD">
        <w:rPr>
          <w:b/>
          <w:lang w:val="en-US" w:eastAsia="en-GB"/>
        </w:rPr>
        <w:tab/>
        <w:t xml:space="preserve">The </w:t>
      </w:r>
      <w:r w:rsidR="002E6630">
        <w:rPr>
          <w:b/>
          <w:lang w:val="en-US" w:eastAsia="en-GB"/>
        </w:rPr>
        <w:t>Burundian</w:t>
      </w:r>
      <w:r w:rsidRPr="00E72ABD">
        <w:rPr>
          <w:b/>
          <w:lang w:val="en-US" w:eastAsia="en-GB"/>
        </w:rPr>
        <w:t xml:space="preserve"> authorities should:</w:t>
      </w:r>
    </w:p>
    <w:p w14:paraId="4F6B4128" w14:textId="77777777" w:rsidR="00E90412" w:rsidRPr="00E72ABD" w:rsidRDefault="00E90412" w:rsidP="00E90412">
      <w:pPr>
        <w:spacing w:after="120"/>
        <w:ind w:left="1134" w:right="1134"/>
        <w:jc w:val="both"/>
        <w:rPr>
          <w:lang w:val="en-US" w:eastAsia="en-GB"/>
        </w:rPr>
      </w:pPr>
      <w:r w:rsidRPr="00E72ABD">
        <w:rPr>
          <w:lang w:val="en-US" w:eastAsia="en-GB"/>
        </w:rPr>
        <w:t>144.</w:t>
      </w:r>
      <w:r w:rsidRPr="00E72ABD">
        <w:rPr>
          <w:lang w:val="en-US" w:eastAsia="en-GB"/>
        </w:rPr>
        <w:tab/>
        <w:t>Put an immediate end to the gross human rights violations being committed by agents of the State and Imbonerakure over which the State exercises control;</w:t>
      </w:r>
    </w:p>
    <w:p w14:paraId="60AF8DB8" w14:textId="77777777" w:rsidR="00E90412" w:rsidRPr="00E72ABD" w:rsidRDefault="00E90412" w:rsidP="00E90412">
      <w:pPr>
        <w:spacing w:after="120"/>
        <w:ind w:left="1134" w:right="1134"/>
        <w:jc w:val="both"/>
        <w:rPr>
          <w:lang w:val="en-US" w:eastAsia="en-GB"/>
        </w:rPr>
      </w:pPr>
      <w:r w:rsidRPr="00E72ABD">
        <w:rPr>
          <w:lang w:val="en-US" w:eastAsia="en-GB"/>
        </w:rPr>
        <w:t>145.</w:t>
      </w:r>
      <w:r w:rsidRPr="00E72ABD">
        <w:rPr>
          <w:lang w:val="en-US" w:eastAsia="en-GB"/>
        </w:rPr>
        <w:tab/>
        <w:t>Investigate these violations, ensure that the alleged perpetrators are prosecuted promptly in accordance with credible, independent and fair procedures, and that the victims obtain just reparation, and, where the alleged perpetrators are agents of the State, suspend them from their duties pending the completion of the investigation and the judicial proceedings;</w:t>
      </w:r>
    </w:p>
    <w:p w14:paraId="49DCC527" w14:textId="77777777" w:rsidR="00E90412" w:rsidRPr="00E72ABD" w:rsidRDefault="00E90412" w:rsidP="00E90412">
      <w:pPr>
        <w:spacing w:after="120"/>
        <w:ind w:left="1134" w:right="1134"/>
        <w:jc w:val="both"/>
        <w:rPr>
          <w:lang w:val="en-US" w:eastAsia="en-GB"/>
        </w:rPr>
      </w:pPr>
      <w:r w:rsidRPr="00E72ABD">
        <w:rPr>
          <w:lang w:val="en-US" w:eastAsia="en-GB"/>
        </w:rPr>
        <w:t>146.</w:t>
      </w:r>
      <w:r w:rsidRPr="00E72ABD">
        <w:rPr>
          <w:lang w:val="en-US" w:eastAsia="en-GB"/>
        </w:rPr>
        <w:tab/>
        <w:t>Take practical measures to bring about a rapid improvement of the human rights situation, in particular by:</w:t>
      </w:r>
    </w:p>
    <w:p w14:paraId="358445EE" w14:textId="77777777" w:rsidR="00E90412" w:rsidRPr="00E72ABD" w:rsidRDefault="00E90412" w:rsidP="00E90412">
      <w:pPr>
        <w:spacing w:after="120"/>
        <w:ind w:left="1701" w:right="1134"/>
        <w:jc w:val="both"/>
        <w:rPr>
          <w:lang w:val="en-US" w:eastAsia="en-GB"/>
        </w:rPr>
      </w:pPr>
      <w:r w:rsidRPr="00E72ABD">
        <w:rPr>
          <w:lang w:val="en-US" w:eastAsia="en-GB"/>
        </w:rPr>
        <w:t>•</w:t>
      </w:r>
      <w:r w:rsidRPr="00E72ABD">
        <w:rPr>
          <w:lang w:val="en-US" w:eastAsia="en-GB"/>
        </w:rPr>
        <w:tab/>
        <w:t>Withdrawing the warrants for the arrest of heads of media outlets, civil society organizations and political parties who have neither used nor advocated violence, and permitting their safe return to Burundi;</w:t>
      </w:r>
    </w:p>
    <w:p w14:paraId="2E7B905B" w14:textId="7E46F1BF" w:rsidR="00E90412" w:rsidRPr="00E72ABD" w:rsidRDefault="00E90412" w:rsidP="00E90412">
      <w:pPr>
        <w:spacing w:after="120"/>
        <w:ind w:left="1701" w:right="1134"/>
        <w:jc w:val="both"/>
        <w:rPr>
          <w:lang w:val="en-US" w:eastAsia="en-GB"/>
        </w:rPr>
      </w:pPr>
      <w:r w:rsidRPr="00E72ABD">
        <w:rPr>
          <w:lang w:val="en-US" w:eastAsia="en-GB"/>
        </w:rPr>
        <w:t>•</w:t>
      </w:r>
      <w:r w:rsidRPr="00E72ABD">
        <w:rPr>
          <w:lang w:val="en-US" w:eastAsia="en-GB"/>
        </w:rPr>
        <w:tab/>
        <w:t xml:space="preserve">Lifting the suspension and reversing the revocation of the </w:t>
      </w:r>
      <w:r w:rsidR="00D1497B" w:rsidRPr="00E72ABD">
        <w:rPr>
          <w:lang w:val="en-US" w:eastAsia="en-GB"/>
        </w:rPr>
        <w:t>licenses</w:t>
      </w:r>
      <w:r w:rsidRPr="00E72ABD">
        <w:rPr>
          <w:lang w:val="en-US" w:eastAsia="en-GB"/>
        </w:rPr>
        <w:t xml:space="preserve"> of media and civil society organizations, permitting them to resume their activities with complete independence and reviewing the laws adopted in 2017 concerning non-profit organizations and foreign non-</w:t>
      </w:r>
      <w:r w:rsidR="007F5B89">
        <w:rPr>
          <w:lang w:val="en-US" w:eastAsia="en-GB"/>
        </w:rPr>
        <w:t>Government</w:t>
      </w:r>
      <w:r w:rsidRPr="00E72ABD">
        <w:rPr>
          <w:lang w:val="en-US" w:eastAsia="en-GB"/>
        </w:rPr>
        <w:t>al organizations;</w:t>
      </w:r>
    </w:p>
    <w:p w14:paraId="555DC52E" w14:textId="77777777" w:rsidR="00E90412" w:rsidRPr="00E72ABD" w:rsidRDefault="00E90412" w:rsidP="00E90412">
      <w:pPr>
        <w:spacing w:after="120"/>
        <w:ind w:left="1701" w:right="1134"/>
        <w:jc w:val="both"/>
        <w:rPr>
          <w:lang w:val="en-US" w:eastAsia="en-GB"/>
        </w:rPr>
      </w:pPr>
      <w:r w:rsidRPr="00E72ABD">
        <w:rPr>
          <w:lang w:val="en-US" w:eastAsia="en-GB"/>
        </w:rPr>
        <w:t>•</w:t>
      </w:r>
      <w:r w:rsidRPr="00E72ABD">
        <w:rPr>
          <w:lang w:val="en-US" w:eastAsia="en-GB"/>
        </w:rPr>
        <w:tab/>
        <w:t>Immediately releasing all political prisoners;</w:t>
      </w:r>
    </w:p>
    <w:p w14:paraId="0962528D" w14:textId="77777777" w:rsidR="00E90412" w:rsidRPr="00E72ABD" w:rsidRDefault="00E90412" w:rsidP="00E90412">
      <w:pPr>
        <w:spacing w:after="120"/>
        <w:ind w:left="1701" w:right="1134"/>
        <w:jc w:val="both"/>
        <w:rPr>
          <w:lang w:val="en-US" w:eastAsia="en-GB"/>
        </w:rPr>
      </w:pPr>
      <w:r w:rsidRPr="00E72ABD">
        <w:rPr>
          <w:lang w:val="en-US" w:eastAsia="en-GB"/>
        </w:rPr>
        <w:t>•</w:t>
      </w:r>
      <w:r w:rsidRPr="00E72ABD">
        <w:rPr>
          <w:lang w:val="en-US" w:eastAsia="en-GB"/>
        </w:rPr>
        <w:tab/>
        <w:t>Ensuring that every person arrested is detained in an official place of detention and that national and international observers are allowed to visit them;</w:t>
      </w:r>
    </w:p>
    <w:p w14:paraId="1C05A0B9" w14:textId="77777777" w:rsidR="00E90412" w:rsidRPr="00E72ABD" w:rsidRDefault="00E90412" w:rsidP="00E90412">
      <w:pPr>
        <w:spacing w:after="120"/>
        <w:ind w:left="1701" w:right="1134"/>
        <w:jc w:val="both"/>
        <w:rPr>
          <w:lang w:val="en-US" w:eastAsia="en-GB"/>
        </w:rPr>
      </w:pPr>
      <w:r w:rsidRPr="00E72ABD">
        <w:rPr>
          <w:lang w:val="en-US" w:eastAsia="en-GB"/>
        </w:rPr>
        <w:t>•</w:t>
      </w:r>
      <w:r w:rsidRPr="00E72ABD">
        <w:rPr>
          <w:lang w:val="en-US" w:eastAsia="en-GB"/>
        </w:rPr>
        <w:tab/>
        <w:t>Ensure that criminal investigation officers (</w:t>
      </w:r>
      <w:r w:rsidRPr="00D1497B">
        <w:rPr>
          <w:i/>
          <w:lang w:val="en-US" w:eastAsia="en-GB"/>
        </w:rPr>
        <w:t>officiers de police judiciaire</w:t>
      </w:r>
      <w:r w:rsidRPr="00E72ABD">
        <w:rPr>
          <w:lang w:val="en-US" w:eastAsia="en-GB"/>
        </w:rPr>
        <w:t>) are not authorized to conduct searches without a warrant, including at night, as envisaged in the draft amendments to the Criminal Code and the Code of Criminal Procedure;</w:t>
      </w:r>
    </w:p>
    <w:p w14:paraId="1EF3A736" w14:textId="77777777" w:rsidR="00E90412" w:rsidRPr="00E72ABD" w:rsidRDefault="00E90412" w:rsidP="00E90412">
      <w:pPr>
        <w:spacing w:after="120"/>
        <w:ind w:left="1701" w:right="1134"/>
        <w:jc w:val="both"/>
        <w:rPr>
          <w:lang w:val="en-US" w:eastAsia="en-GB"/>
        </w:rPr>
      </w:pPr>
      <w:r w:rsidRPr="00E72ABD">
        <w:rPr>
          <w:lang w:val="en-US" w:eastAsia="en-GB"/>
        </w:rPr>
        <w:t>•</w:t>
      </w:r>
      <w:r w:rsidRPr="00E72ABD">
        <w:rPr>
          <w:lang w:val="en-US" w:eastAsia="en-GB"/>
        </w:rPr>
        <w:tab/>
        <w:t>Ensuring that individuals lacking legal authorization, particularly the Imbonerakure, do not perform or participate in law enforcement activities, including in places of detention, and do not wear military or police uniforms or possess weapons;</w:t>
      </w:r>
    </w:p>
    <w:p w14:paraId="04627978" w14:textId="77777777" w:rsidR="00E90412" w:rsidRPr="00E72ABD" w:rsidRDefault="00E90412" w:rsidP="00E90412">
      <w:pPr>
        <w:spacing w:after="120"/>
        <w:ind w:left="1701" w:right="1134"/>
        <w:jc w:val="both"/>
        <w:rPr>
          <w:lang w:val="en-US" w:eastAsia="en-GB"/>
        </w:rPr>
      </w:pPr>
      <w:r w:rsidRPr="00E72ABD">
        <w:rPr>
          <w:lang w:val="en-US" w:eastAsia="en-GB"/>
        </w:rPr>
        <w:t>•</w:t>
      </w:r>
      <w:r w:rsidRPr="00E72ABD">
        <w:rPr>
          <w:lang w:val="en-US" w:eastAsia="en-GB"/>
        </w:rPr>
        <w:tab/>
        <w:t>Prosecuting individuals who incite hatred or violence;</w:t>
      </w:r>
    </w:p>
    <w:p w14:paraId="50DAA292" w14:textId="77777777" w:rsidR="00E90412" w:rsidRPr="00E72ABD" w:rsidRDefault="00E90412" w:rsidP="00E90412">
      <w:pPr>
        <w:spacing w:after="120"/>
        <w:ind w:left="1701" w:right="1134"/>
        <w:jc w:val="both"/>
        <w:rPr>
          <w:lang w:val="en-US" w:eastAsia="en-GB"/>
        </w:rPr>
      </w:pPr>
      <w:r w:rsidRPr="00E72ABD">
        <w:rPr>
          <w:lang w:val="en-US" w:eastAsia="en-GB"/>
        </w:rPr>
        <w:t>•</w:t>
      </w:r>
      <w:r w:rsidRPr="00E72ABD">
        <w:rPr>
          <w:lang w:val="en-US" w:eastAsia="en-GB"/>
        </w:rPr>
        <w:tab/>
        <w:t>Putting an end to threats, intimidation and acts of extortion by State officials and the Imbonerakure;</w:t>
      </w:r>
    </w:p>
    <w:p w14:paraId="6E9B9ACB" w14:textId="77777777" w:rsidR="00E90412" w:rsidRPr="00E72ABD" w:rsidRDefault="00E90412" w:rsidP="00E90412">
      <w:pPr>
        <w:spacing w:after="120"/>
        <w:ind w:left="1701" w:right="1134"/>
        <w:jc w:val="both"/>
        <w:rPr>
          <w:lang w:val="en-US" w:eastAsia="en-GB"/>
        </w:rPr>
      </w:pPr>
      <w:r w:rsidRPr="00E72ABD">
        <w:rPr>
          <w:lang w:val="en-US" w:eastAsia="en-GB"/>
        </w:rPr>
        <w:t>•</w:t>
      </w:r>
      <w:r w:rsidRPr="00E72ABD">
        <w:rPr>
          <w:lang w:val="en-US" w:eastAsia="en-GB"/>
        </w:rPr>
        <w:tab/>
        <w:t>Giving victims of sexual violence and torture access to medical and psychosocial services.</w:t>
      </w:r>
    </w:p>
    <w:p w14:paraId="628E6331" w14:textId="77777777" w:rsidR="00E90412" w:rsidRPr="00E72ABD" w:rsidRDefault="00E90412" w:rsidP="00E90412">
      <w:pPr>
        <w:spacing w:after="120"/>
        <w:ind w:left="1134" w:right="1134"/>
        <w:jc w:val="both"/>
        <w:rPr>
          <w:lang w:val="en-US" w:eastAsia="en-GB"/>
        </w:rPr>
      </w:pPr>
      <w:r w:rsidRPr="00E72ABD">
        <w:rPr>
          <w:lang w:val="en-US" w:eastAsia="en-GB"/>
        </w:rPr>
        <w:t>147.</w:t>
      </w:r>
      <w:r w:rsidRPr="00E72ABD">
        <w:rPr>
          <w:lang w:val="en-US" w:eastAsia="en-GB"/>
        </w:rPr>
        <w:tab/>
        <w:t>Undertake a thorough reform of the judiciary, in particular by:</w:t>
      </w:r>
    </w:p>
    <w:p w14:paraId="0B803BFA" w14:textId="77777777" w:rsidR="00E90412" w:rsidRPr="00E72ABD" w:rsidRDefault="00E90412" w:rsidP="00E90412">
      <w:pPr>
        <w:spacing w:after="120"/>
        <w:ind w:left="1701" w:right="1134"/>
        <w:jc w:val="both"/>
        <w:rPr>
          <w:lang w:val="en-US" w:eastAsia="en-GB"/>
        </w:rPr>
      </w:pPr>
      <w:r w:rsidRPr="00E72ABD">
        <w:rPr>
          <w:lang w:val="en-US" w:eastAsia="en-GB"/>
        </w:rPr>
        <w:t>•</w:t>
      </w:r>
      <w:r w:rsidRPr="00E72ABD">
        <w:rPr>
          <w:lang w:val="en-US" w:eastAsia="en-GB"/>
        </w:rPr>
        <w:tab/>
        <w:t>Publishing the conclusions of the General Convention on the Judiciary (États généraux de la justice) held in Gitega in 2013;</w:t>
      </w:r>
    </w:p>
    <w:p w14:paraId="51898BE2" w14:textId="77777777" w:rsidR="00E90412" w:rsidRPr="00E72ABD" w:rsidRDefault="00E90412" w:rsidP="00E90412">
      <w:pPr>
        <w:spacing w:after="120"/>
        <w:ind w:left="1701" w:right="1134"/>
        <w:jc w:val="both"/>
        <w:rPr>
          <w:lang w:val="en-US" w:eastAsia="en-GB"/>
        </w:rPr>
      </w:pPr>
      <w:r w:rsidRPr="00E72ABD">
        <w:rPr>
          <w:lang w:val="en-US" w:eastAsia="en-GB"/>
        </w:rPr>
        <w:t>•</w:t>
      </w:r>
      <w:r w:rsidRPr="00E72ABD">
        <w:rPr>
          <w:lang w:val="en-US" w:eastAsia="en-GB"/>
        </w:rPr>
        <w:tab/>
        <w:t>Reviewing the composition of the Superior Council of Magistrates (Conseil supérieur de la magistrature) so that the majority of its members are designated by their peers;</w:t>
      </w:r>
    </w:p>
    <w:p w14:paraId="24C8416F" w14:textId="77777777" w:rsidR="00E90412" w:rsidRPr="00E72ABD" w:rsidRDefault="00E90412" w:rsidP="00E90412">
      <w:pPr>
        <w:spacing w:after="120"/>
        <w:ind w:left="1701" w:right="1134"/>
        <w:jc w:val="both"/>
        <w:rPr>
          <w:lang w:val="en-US" w:eastAsia="en-GB"/>
        </w:rPr>
      </w:pPr>
      <w:r w:rsidRPr="00E72ABD">
        <w:rPr>
          <w:lang w:val="en-US" w:eastAsia="en-GB"/>
        </w:rPr>
        <w:t>•</w:t>
      </w:r>
      <w:r w:rsidRPr="00E72ABD">
        <w:rPr>
          <w:lang w:val="en-US" w:eastAsia="en-GB"/>
        </w:rPr>
        <w:tab/>
        <w:t>Reviewing the nomination, posting, evaluation and promotion procedures of magistrates so that they do not depend of the executive;</w:t>
      </w:r>
    </w:p>
    <w:p w14:paraId="3182FB1E" w14:textId="77777777" w:rsidR="00E90412" w:rsidRPr="00E72ABD" w:rsidRDefault="00E90412" w:rsidP="00E90412">
      <w:pPr>
        <w:spacing w:after="120"/>
        <w:ind w:left="1701" w:right="1134"/>
        <w:jc w:val="both"/>
        <w:rPr>
          <w:lang w:val="en-US" w:eastAsia="en-GB"/>
        </w:rPr>
      </w:pPr>
      <w:r w:rsidRPr="00E72ABD">
        <w:rPr>
          <w:lang w:val="en-US" w:eastAsia="en-GB"/>
        </w:rPr>
        <w:t>•</w:t>
      </w:r>
      <w:r w:rsidRPr="00E72ABD">
        <w:rPr>
          <w:lang w:val="en-US" w:eastAsia="en-GB"/>
        </w:rPr>
        <w:tab/>
        <w:t>Ensuring the respect of the principle of security of tenure for judges;</w:t>
      </w:r>
    </w:p>
    <w:p w14:paraId="08E885CB" w14:textId="7CF4FDBB" w:rsidR="00E90412" w:rsidRPr="00E72ABD" w:rsidRDefault="00E90412" w:rsidP="00E90412">
      <w:pPr>
        <w:spacing w:after="120"/>
        <w:ind w:left="1701" w:right="1134"/>
        <w:jc w:val="both"/>
        <w:rPr>
          <w:lang w:val="en-US" w:eastAsia="en-GB"/>
        </w:rPr>
      </w:pPr>
      <w:r w:rsidRPr="00E72ABD">
        <w:rPr>
          <w:lang w:val="en-US" w:eastAsia="en-GB"/>
        </w:rPr>
        <w:t>•</w:t>
      </w:r>
      <w:r w:rsidRPr="00E72ABD">
        <w:rPr>
          <w:lang w:val="en-US" w:eastAsia="en-GB"/>
        </w:rPr>
        <w:tab/>
        <w:t xml:space="preserve">Protecting and guaranteeing the independence of the judiciary by prohibiting all interference in their functions by </w:t>
      </w:r>
      <w:r w:rsidR="007F5B89">
        <w:rPr>
          <w:lang w:val="en-US" w:eastAsia="en-GB"/>
        </w:rPr>
        <w:t>Government</w:t>
      </w:r>
      <w:r w:rsidRPr="00E72ABD">
        <w:rPr>
          <w:lang w:val="en-US" w:eastAsia="en-GB"/>
        </w:rPr>
        <w:t xml:space="preserve">al authorities, members of the ruling party or security and </w:t>
      </w:r>
      <w:r w:rsidR="00D1497B" w:rsidRPr="00E72ABD">
        <w:rPr>
          <w:lang w:val="en-US" w:eastAsia="en-GB"/>
        </w:rPr>
        <w:t>defense</w:t>
      </w:r>
      <w:r w:rsidRPr="00E72ABD">
        <w:rPr>
          <w:lang w:val="en-US" w:eastAsia="en-GB"/>
        </w:rPr>
        <w:t xml:space="preserve"> forces, and imposing sanctions on those who influence, or seek to influence, the functioning of the judiciary;</w:t>
      </w:r>
    </w:p>
    <w:p w14:paraId="5B6172B1" w14:textId="77777777" w:rsidR="00E90412" w:rsidRPr="00E72ABD" w:rsidRDefault="00E90412" w:rsidP="00E90412">
      <w:pPr>
        <w:spacing w:after="120"/>
        <w:ind w:left="1701" w:right="1134"/>
        <w:jc w:val="both"/>
        <w:rPr>
          <w:lang w:val="en-US" w:eastAsia="en-GB"/>
        </w:rPr>
      </w:pPr>
      <w:r w:rsidRPr="00E72ABD">
        <w:rPr>
          <w:lang w:val="en-US" w:eastAsia="en-GB"/>
        </w:rPr>
        <w:t>•</w:t>
      </w:r>
      <w:r w:rsidRPr="00E72ABD">
        <w:rPr>
          <w:lang w:val="en-US" w:eastAsia="en-GB"/>
        </w:rPr>
        <w:tab/>
        <w:t>Developing legal aid programmes for the most vulnerable;</w:t>
      </w:r>
    </w:p>
    <w:p w14:paraId="4479E81C" w14:textId="77777777" w:rsidR="00E90412" w:rsidRPr="00E72ABD" w:rsidRDefault="00E90412" w:rsidP="00E90412">
      <w:pPr>
        <w:spacing w:after="120"/>
        <w:ind w:left="1701" w:right="1134"/>
        <w:jc w:val="both"/>
        <w:rPr>
          <w:lang w:val="en-US" w:eastAsia="en-GB"/>
        </w:rPr>
      </w:pPr>
      <w:r w:rsidRPr="00E72ABD">
        <w:rPr>
          <w:lang w:val="en-US" w:eastAsia="en-GB"/>
        </w:rPr>
        <w:t>•</w:t>
      </w:r>
      <w:r w:rsidRPr="00E72ABD">
        <w:rPr>
          <w:lang w:val="en-US" w:eastAsia="en-GB"/>
        </w:rPr>
        <w:tab/>
        <w:t>Reinforcing the protection mechanisms for victims and witnesses, as well as their efficiency, in order to restore people’s confidence in the system and to encourage witnesses to testify without fear for their security.</w:t>
      </w:r>
    </w:p>
    <w:p w14:paraId="13CA6506" w14:textId="31FE6A36" w:rsidR="00E90412" w:rsidRPr="00E72ABD" w:rsidRDefault="00E90412" w:rsidP="00E90412">
      <w:pPr>
        <w:spacing w:after="120"/>
        <w:ind w:left="1134" w:right="1134"/>
        <w:jc w:val="both"/>
        <w:rPr>
          <w:lang w:val="en-US" w:eastAsia="en-GB"/>
        </w:rPr>
      </w:pPr>
      <w:r w:rsidRPr="00E72ABD">
        <w:rPr>
          <w:lang w:val="en-US" w:eastAsia="en-GB"/>
        </w:rPr>
        <w:t>148.</w:t>
      </w:r>
      <w:r w:rsidRPr="00E72ABD">
        <w:rPr>
          <w:lang w:val="en-US" w:eastAsia="en-GB"/>
        </w:rPr>
        <w:tab/>
        <w:t xml:space="preserve">Ensure that members of the </w:t>
      </w:r>
      <w:r w:rsidR="00D1497B" w:rsidRPr="00E72ABD">
        <w:rPr>
          <w:lang w:val="en-US" w:eastAsia="en-GB"/>
        </w:rPr>
        <w:t>defense</w:t>
      </w:r>
      <w:r w:rsidRPr="00E72ABD">
        <w:rPr>
          <w:lang w:val="en-US" w:eastAsia="en-GB"/>
        </w:rPr>
        <w:t xml:space="preserve"> and security forces respect human rights in all circumstances and serve the interests of the population as a whole, not solely those of the ruling party, in particular by:</w:t>
      </w:r>
    </w:p>
    <w:p w14:paraId="56924B67" w14:textId="77777777" w:rsidR="00E90412" w:rsidRPr="00E72ABD" w:rsidRDefault="00E90412" w:rsidP="00E90412">
      <w:pPr>
        <w:spacing w:after="120"/>
        <w:ind w:left="1701" w:right="1134"/>
        <w:jc w:val="both"/>
        <w:rPr>
          <w:lang w:val="en-US" w:eastAsia="en-GB"/>
        </w:rPr>
      </w:pPr>
      <w:r w:rsidRPr="00E72ABD">
        <w:rPr>
          <w:lang w:val="en-US" w:eastAsia="en-GB"/>
        </w:rPr>
        <w:t>•</w:t>
      </w:r>
      <w:r w:rsidRPr="00E72ABD">
        <w:rPr>
          <w:lang w:val="en-US" w:eastAsia="en-GB"/>
        </w:rPr>
        <w:tab/>
        <w:t>Reinforcing civilian control over the military and the independence of the competent organs created by the Constitution to supervise this control, in particular the Parliament, the National Human Rights Commission and the Ombudsman;</w:t>
      </w:r>
    </w:p>
    <w:p w14:paraId="45639F69" w14:textId="77777777" w:rsidR="00E90412" w:rsidRPr="00E72ABD" w:rsidRDefault="00E90412" w:rsidP="00E90412">
      <w:pPr>
        <w:spacing w:after="120"/>
        <w:ind w:left="1701" w:right="1134"/>
        <w:jc w:val="both"/>
        <w:rPr>
          <w:lang w:val="en-US" w:eastAsia="en-GB"/>
        </w:rPr>
      </w:pPr>
      <w:r w:rsidRPr="00E72ABD">
        <w:rPr>
          <w:lang w:val="en-US" w:eastAsia="en-GB"/>
        </w:rPr>
        <w:t>•</w:t>
      </w:r>
      <w:r w:rsidRPr="00E72ABD">
        <w:rPr>
          <w:lang w:val="en-US" w:eastAsia="en-GB"/>
        </w:rPr>
        <w:tab/>
        <w:t>Implementing civilian control over the National Intelligence Service (Service national de renseignement) in line with the Constitution;</w:t>
      </w:r>
    </w:p>
    <w:p w14:paraId="19E755B0" w14:textId="77777777" w:rsidR="00E90412" w:rsidRPr="00E72ABD" w:rsidRDefault="00E90412" w:rsidP="00E90412">
      <w:pPr>
        <w:spacing w:after="120"/>
        <w:ind w:left="1701" w:right="1134"/>
        <w:jc w:val="both"/>
        <w:rPr>
          <w:lang w:val="en-US" w:eastAsia="en-GB"/>
        </w:rPr>
      </w:pPr>
      <w:r w:rsidRPr="00E72ABD">
        <w:rPr>
          <w:lang w:val="en-US" w:eastAsia="en-GB"/>
        </w:rPr>
        <w:t>•</w:t>
      </w:r>
      <w:r w:rsidRPr="00E72ABD">
        <w:rPr>
          <w:lang w:val="en-US" w:eastAsia="en-GB"/>
        </w:rPr>
        <w:tab/>
        <w:t>Conducting background checks, in particular on human rights, on defense and security forces and incorporating these measures into reforms of the recruitment and career progression of these agents.</w:t>
      </w:r>
    </w:p>
    <w:p w14:paraId="5ACF12E8" w14:textId="77777777" w:rsidR="00E90412" w:rsidRPr="00E72ABD" w:rsidRDefault="00E90412" w:rsidP="00E90412">
      <w:pPr>
        <w:spacing w:after="120"/>
        <w:ind w:left="1134" w:right="1134"/>
        <w:jc w:val="both"/>
        <w:rPr>
          <w:lang w:val="en-US" w:eastAsia="en-GB"/>
        </w:rPr>
      </w:pPr>
      <w:r w:rsidRPr="00E72ABD">
        <w:rPr>
          <w:lang w:val="en-US" w:eastAsia="en-GB"/>
        </w:rPr>
        <w:t>149.</w:t>
      </w:r>
      <w:r w:rsidRPr="00E72ABD">
        <w:rPr>
          <w:lang w:val="en-US" w:eastAsia="en-GB"/>
        </w:rPr>
        <w:tab/>
        <w:t>Reconsider their decision to withdraw from the Rome Statute, cooperate fully with the International Criminal Court in the ongoing preliminary examination and, if an investigation is initiated, continue that cooperation, inter alia by ensuring the protection of victims and witnesses;</w:t>
      </w:r>
    </w:p>
    <w:p w14:paraId="5515438B" w14:textId="77777777" w:rsidR="00E90412" w:rsidRPr="00E72ABD" w:rsidRDefault="00E90412" w:rsidP="00E90412">
      <w:pPr>
        <w:spacing w:after="120"/>
        <w:ind w:left="1134" w:right="1134"/>
        <w:jc w:val="both"/>
        <w:rPr>
          <w:lang w:val="en-US" w:eastAsia="en-GB"/>
        </w:rPr>
      </w:pPr>
      <w:r w:rsidRPr="00E72ABD">
        <w:rPr>
          <w:lang w:val="en-US" w:eastAsia="en-GB"/>
        </w:rPr>
        <w:t>150.</w:t>
      </w:r>
      <w:r w:rsidRPr="00E72ABD">
        <w:rPr>
          <w:lang w:val="en-US" w:eastAsia="en-GB"/>
        </w:rPr>
        <w:tab/>
        <w:t>Authorize the Office of the United Nations High Commissioner for Human Rights to resume its documentation of human rights violations in Burundi, which has been suspended since October 2016;</w:t>
      </w:r>
    </w:p>
    <w:p w14:paraId="2BCD0F9A" w14:textId="77777777" w:rsidR="00E90412" w:rsidRPr="00E72ABD" w:rsidRDefault="00E90412" w:rsidP="00E90412">
      <w:pPr>
        <w:spacing w:after="120"/>
        <w:ind w:left="1134" w:right="1134"/>
        <w:jc w:val="both"/>
        <w:rPr>
          <w:lang w:val="en-US" w:eastAsia="en-GB"/>
        </w:rPr>
      </w:pPr>
      <w:r w:rsidRPr="00E72ABD">
        <w:rPr>
          <w:lang w:val="en-US" w:eastAsia="en-GB"/>
        </w:rPr>
        <w:t>151.</w:t>
      </w:r>
      <w:r w:rsidRPr="00E72ABD">
        <w:rPr>
          <w:lang w:val="en-US" w:eastAsia="en-GB"/>
        </w:rPr>
        <w:tab/>
        <w:t>Sign and implement the memorandum of understanding with the African Union and permit the full deployment of 100 human rights observers and 100 military experts that was decided upon in 2016;</w:t>
      </w:r>
    </w:p>
    <w:p w14:paraId="74DC5432" w14:textId="77777777" w:rsidR="00E90412" w:rsidRPr="00E72ABD" w:rsidRDefault="00E90412" w:rsidP="00E90412">
      <w:pPr>
        <w:spacing w:after="120"/>
        <w:ind w:left="1134" w:right="1134"/>
        <w:jc w:val="both"/>
        <w:rPr>
          <w:lang w:val="en-US" w:eastAsia="en-GB"/>
        </w:rPr>
      </w:pPr>
      <w:r w:rsidRPr="00E72ABD">
        <w:rPr>
          <w:lang w:val="en-US" w:eastAsia="en-GB"/>
        </w:rPr>
        <w:t>152.</w:t>
      </w:r>
      <w:r w:rsidRPr="00E72ABD">
        <w:rPr>
          <w:lang w:val="en-US" w:eastAsia="en-GB"/>
        </w:rPr>
        <w:tab/>
        <w:t>Cooperate with United Nations human rights mechanisms by once again receiving special procedures missions and implementing the recent recommendations of treaty bodies;</w:t>
      </w:r>
    </w:p>
    <w:p w14:paraId="4396E66B" w14:textId="77777777" w:rsidR="00E90412" w:rsidRPr="00E72ABD" w:rsidRDefault="00E90412" w:rsidP="00E90412">
      <w:pPr>
        <w:spacing w:after="120"/>
        <w:ind w:left="1134" w:right="1134"/>
        <w:jc w:val="both"/>
        <w:rPr>
          <w:lang w:val="en-US" w:eastAsia="en-GB"/>
        </w:rPr>
      </w:pPr>
      <w:r w:rsidRPr="00E72ABD">
        <w:rPr>
          <w:lang w:val="en-US" w:eastAsia="en-GB"/>
        </w:rPr>
        <w:t>153.</w:t>
      </w:r>
      <w:r w:rsidRPr="00E72ABD">
        <w:rPr>
          <w:lang w:val="en-US" w:eastAsia="en-GB"/>
        </w:rPr>
        <w:tab/>
        <w:t>Actively seek a lasting solution to the political crisis, inter alia through international initiatives to promote dialogue.</w:t>
      </w:r>
    </w:p>
    <w:p w14:paraId="0F127236" w14:textId="77777777" w:rsidR="00E90412" w:rsidRPr="00E72ABD" w:rsidRDefault="00E90412" w:rsidP="00E90412">
      <w:pPr>
        <w:keepNext/>
        <w:keepLines/>
        <w:tabs>
          <w:tab w:val="right" w:pos="851"/>
        </w:tabs>
        <w:spacing w:before="240" w:after="120" w:line="240" w:lineRule="exact"/>
        <w:ind w:left="1135" w:right="1134" w:hanging="284"/>
        <w:rPr>
          <w:b/>
          <w:lang w:val="en-US" w:eastAsia="en-GB"/>
        </w:rPr>
      </w:pPr>
      <w:r w:rsidRPr="00E72ABD">
        <w:rPr>
          <w:b/>
          <w:lang w:val="en-US" w:eastAsia="en-GB"/>
        </w:rPr>
        <w:tab/>
        <w:t>2.</w:t>
      </w:r>
      <w:r w:rsidRPr="00E72ABD">
        <w:rPr>
          <w:b/>
          <w:lang w:val="en-US" w:eastAsia="en-GB"/>
        </w:rPr>
        <w:tab/>
        <w:t>Political parties and armed opposition groups should:</w:t>
      </w:r>
    </w:p>
    <w:p w14:paraId="51B44534" w14:textId="77777777" w:rsidR="00E90412" w:rsidRPr="00E72ABD" w:rsidRDefault="00E90412" w:rsidP="00E90412">
      <w:pPr>
        <w:spacing w:after="120"/>
        <w:ind w:left="1134" w:right="1134"/>
        <w:jc w:val="both"/>
        <w:rPr>
          <w:lang w:val="en-US" w:eastAsia="en-GB"/>
        </w:rPr>
      </w:pPr>
      <w:r w:rsidRPr="00E72ABD">
        <w:rPr>
          <w:lang w:val="en-US" w:eastAsia="en-GB"/>
        </w:rPr>
        <w:t>154.</w:t>
      </w:r>
      <w:r w:rsidRPr="00E72ABD">
        <w:rPr>
          <w:lang w:val="en-US" w:eastAsia="en-GB"/>
        </w:rPr>
        <w:tab/>
        <w:t>Put an immediate end to human rights abuses and acts of violence committed by their members;</w:t>
      </w:r>
    </w:p>
    <w:p w14:paraId="0BCFAF97" w14:textId="77777777" w:rsidR="00E90412" w:rsidRPr="00E72ABD" w:rsidRDefault="00E90412" w:rsidP="00E90412">
      <w:pPr>
        <w:spacing w:after="120"/>
        <w:ind w:left="1134" w:right="1134"/>
        <w:jc w:val="both"/>
        <w:rPr>
          <w:lang w:val="en-US" w:eastAsia="en-GB"/>
        </w:rPr>
      </w:pPr>
      <w:r w:rsidRPr="00E72ABD">
        <w:rPr>
          <w:lang w:val="en-US" w:eastAsia="en-GB"/>
        </w:rPr>
        <w:t>155.</w:t>
      </w:r>
      <w:r w:rsidRPr="00E72ABD">
        <w:rPr>
          <w:lang w:val="en-US" w:eastAsia="en-GB"/>
        </w:rPr>
        <w:tab/>
        <w:t>Refrain from any incitement of violence and participate in the quest for a lasting solution to the political crisis in Burundi.</w:t>
      </w:r>
    </w:p>
    <w:p w14:paraId="398FE336" w14:textId="67728EE1" w:rsidR="00E90412" w:rsidRPr="00E72ABD" w:rsidRDefault="00E90412" w:rsidP="00E90412">
      <w:pPr>
        <w:keepNext/>
        <w:keepLines/>
        <w:tabs>
          <w:tab w:val="right" w:pos="851"/>
        </w:tabs>
        <w:spacing w:before="240" w:after="120" w:line="240" w:lineRule="exact"/>
        <w:ind w:left="1135" w:right="1134" w:hanging="284"/>
        <w:rPr>
          <w:b/>
          <w:lang w:val="en-US" w:eastAsia="en-GB"/>
        </w:rPr>
      </w:pPr>
      <w:r w:rsidRPr="00E72ABD">
        <w:rPr>
          <w:b/>
          <w:lang w:val="en-US" w:eastAsia="en-GB"/>
        </w:rPr>
        <w:tab/>
        <w:t>3.</w:t>
      </w:r>
      <w:r w:rsidRPr="00E72ABD">
        <w:rPr>
          <w:b/>
          <w:lang w:val="en-US" w:eastAsia="en-GB"/>
        </w:rPr>
        <w:tab/>
        <w:t>The Human Rights Council should:</w:t>
      </w:r>
    </w:p>
    <w:p w14:paraId="600C60A9" w14:textId="77777777" w:rsidR="00E90412" w:rsidRPr="00E72ABD" w:rsidRDefault="00E90412" w:rsidP="00E90412">
      <w:pPr>
        <w:spacing w:after="120"/>
        <w:ind w:left="1134" w:right="1134"/>
        <w:jc w:val="both"/>
        <w:rPr>
          <w:lang w:val="en-US" w:eastAsia="en-GB"/>
        </w:rPr>
      </w:pPr>
      <w:r w:rsidRPr="00E72ABD">
        <w:rPr>
          <w:lang w:val="en-US" w:eastAsia="en-GB"/>
        </w:rPr>
        <w:t>156.</w:t>
      </w:r>
      <w:r w:rsidRPr="00E72ABD">
        <w:rPr>
          <w:lang w:val="en-US" w:eastAsia="en-GB"/>
        </w:rPr>
        <w:tab/>
        <w:t>Extend the Commission’s mandate for a period of one year to enable it to conduct further and more thorough investigations in view of the persistence of gross human rights violations and abuses and the absence of other specific mechanisms capable of undertaking independent and thorough investigations into the human rights situation in Burundi;</w:t>
      </w:r>
    </w:p>
    <w:p w14:paraId="55E52FA0" w14:textId="4F9C07F8" w:rsidR="00E90412" w:rsidRPr="00E72ABD" w:rsidRDefault="00E90412" w:rsidP="00E90412">
      <w:pPr>
        <w:spacing w:after="120"/>
        <w:ind w:left="1134" w:right="1134"/>
        <w:jc w:val="both"/>
        <w:rPr>
          <w:lang w:val="en-US" w:eastAsia="en-GB"/>
        </w:rPr>
      </w:pPr>
      <w:r w:rsidRPr="00E72ABD">
        <w:rPr>
          <w:lang w:val="en-US" w:eastAsia="en-GB"/>
        </w:rPr>
        <w:t>157.</w:t>
      </w:r>
      <w:r w:rsidRPr="00E72ABD">
        <w:rPr>
          <w:lang w:val="en-US" w:eastAsia="en-GB"/>
        </w:rPr>
        <w:tab/>
        <w:t xml:space="preserve">Request the Office of the United Nations High Commissioner for Human Rights to report, at the forthcoming sessions of the Council, on the development of its cooperation with the </w:t>
      </w:r>
      <w:r w:rsidR="002E6630">
        <w:rPr>
          <w:lang w:val="en-US" w:eastAsia="en-GB"/>
        </w:rPr>
        <w:t>Burundian</w:t>
      </w:r>
      <w:r w:rsidRPr="00E72ABD">
        <w:rPr>
          <w:lang w:val="en-US" w:eastAsia="en-GB"/>
        </w:rPr>
        <w:t xml:space="preserve"> </w:t>
      </w:r>
      <w:r w:rsidR="007F5B89">
        <w:rPr>
          <w:lang w:val="en-US" w:eastAsia="en-GB"/>
        </w:rPr>
        <w:t>Government</w:t>
      </w:r>
      <w:r w:rsidRPr="00E72ABD">
        <w:rPr>
          <w:lang w:val="en-US" w:eastAsia="en-GB"/>
        </w:rPr>
        <w:t>.</w:t>
      </w:r>
    </w:p>
    <w:p w14:paraId="5460ED1B" w14:textId="77777777" w:rsidR="00E90412" w:rsidRPr="00E72ABD" w:rsidRDefault="00E90412" w:rsidP="00E90412">
      <w:pPr>
        <w:keepNext/>
        <w:keepLines/>
        <w:tabs>
          <w:tab w:val="right" w:pos="851"/>
        </w:tabs>
        <w:spacing w:before="240" w:after="120" w:line="240" w:lineRule="exact"/>
        <w:ind w:left="1135" w:right="1134" w:hanging="284"/>
        <w:rPr>
          <w:b/>
          <w:lang w:val="en-US" w:eastAsia="en-GB"/>
        </w:rPr>
      </w:pPr>
      <w:r w:rsidRPr="00E72ABD">
        <w:rPr>
          <w:b/>
          <w:lang w:val="en-US" w:eastAsia="en-GB"/>
        </w:rPr>
        <w:tab/>
        <w:t>4.</w:t>
      </w:r>
      <w:r w:rsidRPr="00E72ABD">
        <w:rPr>
          <w:b/>
          <w:lang w:val="en-US" w:eastAsia="en-GB"/>
        </w:rPr>
        <w:tab/>
        <w:t>The International Criminal Court should:</w:t>
      </w:r>
    </w:p>
    <w:p w14:paraId="257518CD" w14:textId="77777777" w:rsidR="00E90412" w:rsidRPr="00E72ABD" w:rsidRDefault="00E90412" w:rsidP="00E90412">
      <w:pPr>
        <w:spacing w:after="120"/>
        <w:ind w:left="1134" w:right="1134"/>
        <w:jc w:val="both"/>
        <w:rPr>
          <w:lang w:val="en-US" w:eastAsia="en-GB"/>
        </w:rPr>
      </w:pPr>
      <w:r w:rsidRPr="00E72ABD">
        <w:rPr>
          <w:lang w:val="en-US" w:eastAsia="en-GB"/>
        </w:rPr>
        <w:t>158.</w:t>
      </w:r>
      <w:r w:rsidRPr="00E72ABD">
        <w:rPr>
          <w:lang w:val="en-US" w:eastAsia="en-GB"/>
        </w:rPr>
        <w:tab/>
        <w:t>Initiate, as soon as possible, an investigation into the crimes committed in Burundi in light of the conclusions contained in the present report and other information at its disposal.</w:t>
      </w:r>
    </w:p>
    <w:p w14:paraId="18452AD8" w14:textId="77777777" w:rsidR="00E90412" w:rsidRPr="00E72ABD" w:rsidRDefault="00E90412" w:rsidP="00E90412">
      <w:pPr>
        <w:keepNext/>
        <w:keepLines/>
        <w:tabs>
          <w:tab w:val="right" w:pos="851"/>
        </w:tabs>
        <w:spacing w:before="240" w:after="120" w:line="240" w:lineRule="exact"/>
        <w:ind w:left="1135" w:right="1134" w:hanging="284"/>
        <w:rPr>
          <w:b/>
          <w:lang w:val="en-US" w:eastAsia="en-GB"/>
        </w:rPr>
      </w:pPr>
      <w:r w:rsidRPr="00E72ABD">
        <w:rPr>
          <w:b/>
          <w:lang w:val="en-US" w:eastAsia="en-GB"/>
        </w:rPr>
        <w:tab/>
        <w:t>5.</w:t>
      </w:r>
      <w:r w:rsidRPr="00E72ABD">
        <w:rPr>
          <w:b/>
          <w:lang w:val="en-US" w:eastAsia="en-GB"/>
        </w:rPr>
        <w:tab/>
        <w:t>The United Nations Security Council should:</w:t>
      </w:r>
    </w:p>
    <w:p w14:paraId="3089670D" w14:textId="77777777" w:rsidR="00E90412" w:rsidRPr="00E72ABD" w:rsidRDefault="00E90412" w:rsidP="00E90412">
      <w:pPr>
        <w:spacing w:after="120"/>
        <w:ind w:left="1134" w:right="1134"/>
        <w:jc w:val="both"/>
        <w:rPr>
          <w:lang w:val="en-US" w:eastAsia="en-GB"/>
        </w:rPr>
      </w:pPr>
      <w:r w:rsidRPr="00E72ABD">
        <w:rPr>
          <w:lang w:val="en-US" w:eastAsia="en-GB"/>
        </w:rPr>
        <w:t>159.</w:t>
      </w:r>
      <w:r w:rsidRPr="00E72ABD">
        <w:rPr>
          <w:lang w:val="en-US" w:eastAsia="en-GB"/>
        </w:rPr>
        <w:tab/>
        <w:t>Take due account of the Commission’s conclusions, as well as persistence of gross violations of human rights, in any discussion on Burundi and, in this context, ensure the effective implementation of resolution 2303 (2016);</w:t>
      </w:r>
    </w:p>
    <w:p w14:paraId="22433B9C" w14:textId="77777777" w:rsidR="00E90412" w:rsidRPr="00E72ABD" w:rsidRDefault="00E90412" w:rsidP="00E90412">
      <w:pPr>
        <w:spacing w:after="120"/>
        <w:ind w:left="1134" w:right="1134"/>
        <w:jc w:val="both"/>
        <w:rPr>
          <w:lang w:val="en-US" w:eastAsia="en-GB"/>
        </w:rPr>
      </w:pPr>
      <w:r w:rsidRPr="00E72ABD">
        <w:rPr>
          <w:lang w:val="en-US" w:eastAsia="en-GB"/>
        </w:rPr>
        <w:t>160.</w:t>
      </w:r>
      <w:r w:rsidRPr="00E72ABD">
        <w:rPr>
          <w:lang w:val="en-US" w:eastAsia="en-GB"/>
        </w:rPr>
        <w:tab/>
        <w:t>Refer to the International Criminal Court any international crime that might be committed in Burundi after 27 October 2017;</w:t>
      </w:r>
    </w:p>
    <w:p w14:paraId="08529A01" w14:textId="77777777" w:rsidR="00E90412" w:rsidRPr="00E72ABD" w:rsidRDefault="00E90412" w:rsidP="00E90412">
      <w:pPr>
        <w:spacing w:after="120"/>
        <w:ind w:left="1134" w:right="1134"/>
        <w:jc w:val="both"/>
        <w:rPr>
          <w:lang w:val="en-US" w:eastAsia="en-GB"/>
        </w:rPr>
      </w:pPr>
      <w:r w:rsidRPr="00E72ABD">
        <w:rPr>
          <w:lang w:val="en-US" w:eastAsia="en-GB"/>
        </w:rPr>
        <w:t>161.</w:t>
      </w:r>
      <w:r w:rsidRPr="00E72ABD">
        <w:rPr>
          <w:lang w:val="en-US" w:eastAsia="en-GB"/>
        </w:rPr>
        <w:tab/>
        <w:t>Impose individual sanctions against the principal alleged perpetrators of gross human rights violations and international crimes in Burundi.</w:t>
      </w:r>
    </w:p>
    <w:p w14:paraId="63EAD308" w14:textId="77777777" w:rsidR="00E90412" w:rsidRPr="00E72ABD" w:rsidRDefault="00E90412" w:rsidP="00E90412">
      <w:pPr>
        <w:keepNext/>
        <w:keepLines/>
        <w:tabs>
          <w:tab w:val="right" w:pos="851"/>
        </w:tabs>
        <w:spacing w:before="240" w:after="120" w:line="240" w:lineRule="exact"/>
        <w:ind w:left="1135" w:right="1134" w:hanging="284"/>
        <w:rPr>
          <w:b/>
          <w:lang w:val="en-US" w:eastAsia="en-GB"/>
        </w:rPr>
      </w:pPr>
      <w:r w:rsidRPr="00E72ABD">
        <w:rPr>
          <w:b/>
          <w:lang w:val="en-US" w:eastAsia="en-GB"/>
        </w:rPr>
        <w:tab/>
        <w:t>6.</w:t>
      </w:r>
      <w:r w:rsidRPr="00E72ABD">
        <w:rPr>
          <w:b/>
          <w:lang w:val="en-US" w:eastAsia="en-GB"/>
        </w:rPr>
        <w:tab/>
        <w:t>The Secretary-General of the United Nations should:</w:t>
      </w:r>
    </w:p>
    <w:p w14:paraId="42AEBC5D" w14:textId="77777777" w:rsidR="00E90412" w:rsidRPr="00E72ABD" w:rsidRDefault="00E90412" w:rsidP="00E90412">
      <w:pPr>
        <w:spacing w:after="120"/>
        <w:ind w:left="1134" w:right="1134"/>
        <w:jc w:val="both"/>
        <w:rPr>
          <w:lang w:val="en-US" w:eastAsia="en-GB"/>
        </w:rPr>
      </w:pPr>
      <w:r w:rsidRPr="00E72ABD">
        <w:rPr>
          <w:lang w:val="en-US" w:eastAsia="en-GB"/>
        </w:rPr>
        <w:t>162.</w:t>
      </w:r>
      <w:r w:rsidRPr="00E72ABD">
        <w:rPr>
          <w:lang w:val="en-US" w:eastAsia="en-GB"/>
        </w:rPr>
        <w:tab/>
        <w:t>Ensure that respect for human rights and restoration of the rule of law are among the priorities of his Special Envoy for Burundi;</w:t>
      </w:r>
    </w:p>
    <w:p w14:paraId="447D0930" w14:textId="77777777" w:rsidR="00E90412" w:rsidRPr="00E72ABD" w:rsidRDefault="00E90412" w:rsidP="00E90412">
      <w:pPr>
        <w:spacing w:after="120"/>
        <w:ind w:left="1134" w:right="1134"/>
        <w:jc w:val="both"/>
        <w:rPr>
          <w:lang w:val="en-US" w:eastAsia="en-GB"/>
        </w:rPr>
      </w:pPr>
      <w:r w:rsidRPr="00E72ABD">
        <w:rPr>
          <w:lang w:val="en-US" w:eastAsia="en-GB"/>
        </w:rPr>
        <w:t>163.</w:t>
      </w:r>
      <w:r w:rsidRPr="00E72ABD">
        <w:rPr>
          <w:lang w:val="en-US" w:eastAsia="en-GB"/>
        </w:rPr>
        <w:tab/>
        <w:t>Ensure that no alleged perpetrator of human rights violations or international crimes in Burundi is recruited for United Nations peacekeeping missions.</w:t>
      </w:r>
    </w:p>
    <w:p w14:paraId="0BD64245" w14:textId="77777777" w:rsidR="00E90412" w:rsidRPr="00E72ABD" w:rsidRDefault="00E90412" w:rsidP="00E90412">
      <w:pPr>
        <w:keepNext/>
        <w:keepLines/>
        <w:tabs>
          <w:tab w:val="right" w:pos="851"/>
        </w:tabs>
        <w:spacing w:before="240" w:after="120" w:line="240" w:lineRule="exact"/>
        <w:ind w:left="1135" w:right="1134" w:hanging="284"/>
        <w:rPr>
          <w:b/>
          <w:lang w:val="en-US" w:eastAsia="en-GB"/>
        </w:rPr>
      </w:pPr>
      <w:r w:rsidRPr="00E72ABD">
        <w:rPr>
          <w:b/>
          <w:lang w:val="en-US" w:eastAsia="en-GB"/>
        </w:rPr>
        <w:tab/>
        <w:t>7.</w:t>
      </w:r>
      <w:r w:rsidRPr="00E72ABD">
        <w:rPr>
          <w:b/>
          <w:lang w:val="en-US" w:eastAsia="en-GB"/>
        </w:rPr>
        <w:tab/>
        <w:t>The States Members of the United Nations should:</w:t>
      </w:r>
    </w:p>
    <w:p w14:paraId="35B8FDA6" w14:textId="420C661B" w:rsidR="00E90412" w:rsidRPr="00E72ABD" w:rsidRDefault="00E90412" w:rsidP="00E90412">
      <w:pPr>
        <w:spacing w:after="120"/>
        <w:ind w:left="1134" w:right="1134"/>
        <w:jc w:val="both"/>
        <w:rPr>
          <w:lang w:val="en-US" w:eastAsia="en-GB"/>
        </w:rPr>
      </w:pPr>
      <w:r w:rsidRPr="00E72ABD">
        <w:rPr>
          <w:lang w:val="en-US" w:eastAsia="en-GB"/>
        </w:rPr>
        <w:t>164.</w:t>
      </w:r>
      <w:r w:rsidRPr="00E72ABD">
        <w:rPr>
          <w:lang w:val="en-US" w:eastAsia="en-GB"/>
        </w:rPr>
        <w:tab/>
        <w:t xml:space="preserve">Grant prima facie refugee status to </w:t>
      </w:r>
      <w:r w:rsidR="002E6630">
        <w:rPr>
          <w:lang w:val="en-US" w:eastAsia="en-GB"/>
        </w:rPr>
        <w:t>Burundian</w:t>
      </w:r>
      <w:r w:rsidRPr="00E72ABD">
        <w:rPr>
          <w:lang w:val="en-US" w:eastAsia="en-GB"/>
        </w:rPr>
        <w:t xml:space="preserve"> asylum seekers and ensure strict re64ect for the principle of non-refoulement and refugee protection;</w:t>
      </w:r>
    </w:p>
    <w:p w14:paraId="14E7A612" w14:textId="77777777" w:rsidR="00E90412" w:rsidRPr="00E72ABD" w:rsidRDefault="00E90412" w:rsidP="00E90412">
      <w:pPr>
        <w:spacing w:after="120"/>
        <w:ind w:left="1134" w:right="1134"/>
        <w:jc w:val="both"/>
        <w:rPr>
          <w:lang w:val="en-US" w:eastAsia="en-GB"/>
        </w:rPr>
      </w:pPr>
      <w:r w:rsidRPr="00E72ABD">
        <w:rPr>
          <w:lang w:val="en-US" w:eastAsia="en-GB"/>
        </w:rPr>
        <w:t>165.</w:t>
      </w:r>
      <w:r w:rsidRPr="00E72ABD">
        <w:rPr>
          <w:lang w:val="en-US" w:eastAsia="en-GB"/>
        </w:rPr>
        <w:tab/>
        <w:t>Prosecute, in accordance with the principle of universal jurisdiction, alleged perpetrators of international crimes committed in Burundi who are found to be in their territory;</w:t>
      </w:r>
    </w:p>
    <w:p w14:paraId="15DAAF13" w14:textId="57C4729A" w:rsidR="00E90412" w:rsidRPr="00E72ABD" w:rsidRDefault="00E90412" w:rsidP="00E90412">
      <w:pPr>
        <w:spacing w:after="120"/>
        <w:ind w:left="1134" w:right="1134"/>
        <w:jc w:val="both"/>
        <w:rPr>
          <w:lang w:val="en-US" w:eastAsia="en-GB"/>
        </w:rPr>
      </w:pPr>
      <w:r w:rsidRPr="00E72ABD">
        <w:rPr>
          <w:lang w:val="en-US" w:eastAsia="en-GB"/>
        </w:rPr>
        <w:t>166.</w:t>
      </w:r>
      <w:r w:rsidRPr="00E72ABD">
        <w:rPr>
          <w:lang w:val="en-US" w:eastAsia="en-GB"/>
        </w:rPr>
        <w:tab/>
        <w:t xml:space="preserve">Maintain, in the absence of any improvement in the human rights situation in Burundi, the individual sanctions and the suspension of direct aid to the </w:t>
      </w:r>
      <w:r w:rsidR="007F5B89">
        <w:rPr>
          <w:lang w:val="en-US" w:eastAsia="en-GB"/>
        </w:rPr>
        <w:t>Government</w:t>
      </w:r>
      <w:r w:rsidRPr="00E72ABD">
        <w:rPr>
          <w:lang w:val="en-US" w:eastAsia="en-GB"/>
        </w:rPr>
        <w:t>;</w:t>
      </w:r>
    </w:p>
    <w:p w14:paraId="017B17AA" w14:textId="0E5F83D8" w:rsidR="00E90412" w:rsidRPr="00E72ABD" w:rsidRDefault="00E90412" w:rsidP="00E90412">
      <w:pPr>
        <w:spacing w:after="120"/>
        <w:ind w:left="1134" w:right="1134"/>
        <w:jc w:val="both"/>
        <w:rPr>
          <w:lang w:val="en-US" w:eastAsia="en-GB"/>
        </w:rPr>
      </w:pPr>
      <w:r w:rsidRPr="00E72ABD">
        <w:rPr>
          <w:lang w:val="en-US" w:eastAsia="en-GB"/>
        </w:rPr>
        <w:t>167.</w:t>
      </w:r>
      <w:r w:rsidRPr="00E72ABD">
        <w:rPr>
          <w:lang w:val="en-US" w:eastAsia="en-GB"/>
        </w:rPr>
        <w:tab/>
        <w:t xml:space="preserve">Provide technical assistance inter alia in respect to autopsies, exhumations and identification of bodies, to enable the </w:t>
      </w:r>
      <w:r w:rsidR="002E6630">
        <w:rPr>
          <w:lang w:val="en-US" w:eastAsia="en-GB"/>
        </w:rPr>
        <w:t>Burundian</w:t>
      </w:r>
      <w:r w:rsidRPr="00E72ABD">
        <w:rPr>
          <w:lang w:val="en-US" w:eastAsia="en-GB"/>
        </w:rPr>
        <w:t xml:space="preserve"> to conduct credible and independent investigations;</w:t>
      </w:r>
    </w:p>
    <w:p w14:paraId="6A478B3A" w14:textId="77777777" w:rsidR="00E90412" w:rsidRPr="00E72ABD" w:rsidRDefault="00E90412" w:rsidP="00E90412">
      <w:pPr>
        <w:spacing w:after="120"/>
        <w:ind w:left="1134" w:right="1134"/>
        <w:jc w:val="both"/>
        <w:rPr>
          <w:lang w:val="en-US" w:eastAsia="en-GB"/>
        </w:rPr>
      </w:pPr>
      <w:r w:rsidRPr="00E72ABD">
        <w:rPr>
          <w:lang w:val="en-US" w:eastAsia="en-GB"/>
        </w:rPr>
        <w:t>168.</w:t>
      </w:r>
      <w:r w:rsidRPr="00E72ABD">
        <w:rPr>
          <w:lang w:val="en-US" w:eastAsia="en-GB"/>
        </w:rPr>
        <w:tab/>
        <w:t>Support the establishment of specialized medical and psychosocial services, especially for victims of torture and sexual violence;</w:t>
      </w:r>
    </w:p>
    <w:p w14:paraId="55B5324C" w14:textId="34E21C8D" w:rsidR="00E90412" w:rsidRPr="00E72ABD" w:rsidRDefault="00E90412" w:rsidP="00E90412">
      <w:pPr>
        <w:spacing w:after="120"/>
        <w:ind w:left="1134" w:right="1134"/>
        <w:jc w:val="both"/>
        <w:rPr>
          <w:lang w:val="en-US" w:eastAsia="en-GB"/>
        </w:rPr>
      </w:pPr>
      <w:r w:rsidRPr="00E72ABD">
        <w:rPr>
          <w:lang w:val="en-US" w:eastAsia="en-GB"/>
        </w:rPr>
        <w:t>169.</w:t>
      </w:r>
      <w:r w:rsidRPr="00E72ABD">
        <w:rPr>
          <w:lang w:val="en-US" w:eastAsia="en-GB"/>
        </w:rPr>
        <w:tab/>
        <w:t xml:space="preserve">Support </w:t>
      </w:r>
      <w:r w:rsidR="002E6630">
        <w:rPr>
          <w:lang w:val="en-US" w:eastAsia="en-GB"/>
        </w:rPr>
        <w:t>Burundian</w:t>
      </w:r>
      <w:r w:rsidRPr="00E72ABD">
        <w:rPr>
          <w:lang w:val="en-US" w:eastAsia="en-GB"/>
        </w:rPr>
        <w:t xml:space="preserve"> authorities in any judicial and security sector reform endeavors that they might wish to undertake in order to improve the human rights situation.</w:t>
      </w:r>
    </w:p>
    <w:p w14:paraId="23576713" w14:textId="77777777" w:rsidR="00E90412" w:rsidRPr="00E72ABD" w:rsidRDefault="00E90412" w:rsidP="00876F71">
      <w:pPr>
        <w:keepNext/>
        <w:keepLines/>
        <w:tabs>
          <w:tab w:val="right" w:pos="851"/>
        </w:tabs>
        <w:spacing w:before="240" w:after="120" w:line="240" w:lineRule="exact"/>
        <w:ind w:left="1135" w:right="1134" w:hanging="284"/>
        <w:rPr>
          <w:b/>
          <w:lang w:val="en-US" w:eastAsia="en-GB"/>
        </w:rPr>
      </w:pPr>
      <w:r w:rsidRPr="00E72ABD">
        <w:rPr>
          <w:b/>
          <w:lang w:val="en-US" w:eastAsia="en-GB"/>
        </w:rPr>
        <w:tab/>
        <w:t>8.</w:t>
      </w:r>
      <w:r w:rsidRPr="00E72ABD">
        <w:rPr>
          <w:b/>
          <w:lang w:val="en-US" w:eastAsia="en-GB"/>
        </w:rPr>
        <w:tab/>
        <w:t>The African Union should:</w:t>
      </w:r>
    </w:p>
    <w:p w14:paraId="6B1A1918" w14:textId="77777777" w:rsidR="00E90412" w:rsidRPr="00E72ABD" w:rsidRDefault="00E90412" w:rsidP="00E90412">
      <w:pPr>
        <w:spacing w:after="120"/>
        <w:ind w:left="1134" w:right="1134"/>
        <w:jc w:val="both"/>
        <w:rPr>
          <w:lang w:val="en-US" w:eastAsia="en-GB"/>
        </w:rPr>
      </w:pPr>
      <w:r w:rsidRPr="00E72ABD">
        <w:rPr>
          <w:lang w:val="en-US" w:eastAsia="en-GB"/>
        </w:rPr>
        <w:t>170.</w:t>
      </w:r>
      <w:r w:rsidRPr="00E72ABD">
        <w:rPr>
          <w:lang w:val="en-US" w:eastAsia="en-GB"/>
        </w:rPr>
        <w:tab/>
        <w:t>Retake the lead in seeking a lasting solution to the crisis in Burundi based on respect for human rights and rejection of impunity, as provided for in its Constitutive Act, and play an active role in that process;</w:t>
      </w:r>
    </w:p>
    <w:p w14:paraId="63419BB6" w14:textId="5A9B2573" w:rsidR="00E90412" w:rsidRPr="00E72ABD" w:rsidRDefault="00E90412" w:rsidP="00E90412">
      <w:pPr>
        <w:spacing w:after="120"/>
        <w:ind w:left="1134" w:right="1134"/>
        <w:jc w:val="both"/>
        <w:rPr>
          <w:lang w:val="en-US" w:eastAsia="en-GB"/>
        </w:rPr>
      </w:pPr>
      <w:r w:rsidRPr="00E72ABD">
        <w:rPr>
          <w:lang w:val="en-US" w:eastAsia="en-GB"/>
        </w:rPr>
        <w:t>171.</w:t>
      </w:r>
      <w:r w:rsidRPr="00E72ABD">
        <w:rPr>
          <w:lang w:val="en-US" w:eastAsia="en-GB"/>
        </w:rPr>
        <w:tab/>
        <w:t xml:space="preserve">Ensure that no agent of the </w:t>
      </w:r>
      <w:r w:rsidR="002E6630">
        <w:rPr>
          <w:lang w:val="en-US" w:eastAsia="en-GB"/>
        </w:rPr>
        <w:t>Burundian</w:t>
      </w:r>
      <w:r w:rsidRPr="00E72ABD">
        <w:rPr>
          <w:lang w:val="en-US" w:eastAsia="en-GB"/>
        </w:rPr>
        <w:t xml:space="preserve"> State who is accused of human rights violations or international crimes is recruited for African Union peacekeeping missions;</w:t>
      </w:r>
    </w:p>
    <w:p w14:paraId="66FF87D5" w14:textId="77777777" w:rsidR="00E90412" w:rsidRPr="00E72ABD" w:rsidRDefault="00E90412" w:rsidP="00E90412">
      <w:pPr>
        <w:spacing w:after="120"/>
        <w:ind w:left="1134" w:right="1134"/>
        <w:jc w:val="both"/>
        <w:rPr>
          <w:lang w:val="en-US" w:eastAsia="en-GB"/>
        </w:rPr>
      </w:pPr>
      <w:r w:rsidRPr="00E72ABD">
        <w:rPr>
          <w:lang w:val="en-US" w:eastAsia="en-GB"/>
        </w:rPr>
        <w:t>172.</w:t>
      </w:r>
      <w:r w:rsidRPr="00E72ABD">
        <w:rPr>
          <w:lang w:val="en-US" w:eastAsia="en-GB"/>
        </w:rPr>
        <w:tab/>
        <w:t>Ensure that the full complement of African Union human rights observers and military experts is deployed rapidly in Burundi;</w:t>
      </w:r>
    </w:p>
    <w:p w14:paraId="740AD3BD" w14:textId="77777777" w:rsidR="00E90412" w:rsidRPr="00E72ABD" w:rsidRDefault="00E90412" w:rsidP="00E90412">
      <w:pPr>
        <w:spacing w:after="120"/>
        <w:ind w:left="1134" w:right="1134"/>
        <w:jc w:val="both"/>
        <w:rPr>
          <w:lang w:val="en-US" w:eastAsia="en-GB"/>
        </w:rPr>
      </w:pPr>
      <w:r w:rsidRPr="00E72ABD">
        <w:rPr>
          <w:lang w:val="en-US" w:eastAsia="en-GB"/>
        </w:rPr>
        <w:t>173.</w:t>
      </w:r>
      <w:r w:rsidRPr="00E72ABD">
        <w:rPr>
          <w:lang w:val="en-US" w:eastAsia="en-GB"/>
        </w:rPr>
        <w:tab/>
        <w:t>Consider, in the event that the current situation in Burundi persists, the application of Article 4 (h) of the Constitutive Act of the African Union, under which it is authorized to intervene in a member State in certain circumstances, particularly in the event of crimes against humanity.</w:t>
      </w:r>
    </w:p>
    <w:p w14:paraId="5E69DFF0" w14:textId="77777777" w:rsidR="00E90412" w:rsidRPr="00E72ABD" w:rsidRDefault="00E90412" w:rsidP="00876F71">
      <w:pPr>
        <w:keepNext/>
        <w:keepLines/>
        <w:tabs>
          <w:tab w:val="right" w:pos="851"/>
        </w:tabs>
        <w:spacing w:before="240" w:after="120" w:line="240" w:lineRule="exact"/>
        <w:ind w:left="1135" w:right="1134" w:hanging="284"/>
        <w:rPr>
          <w:b/>
          <w:lang w:val="en-US" w:eastAsia="en-GB"/>
        </w:rPr>
      </w:pPr>
      <w:r w:rsidRPr="00E72ABD">
        <w:rPr>
          <w:b/>
          <w:lang w:val="en-US" w:eastAsia="en-GB"/>
        </w:rPr>
        <w:tab/>
        <w:t>9.</w:t>
      </w:r>
      <w:r w:rsidRPr="00E72ABD">
        <w:rPr>
          <w:b/>
          <w:lang w:val="en-US" w:eastAsia="en-GB"/>
        </w:rPr>
        <w:tab/>
        <w:t>The East African Community should:</w:t>
      </w:r>
    </w:p>
    <w:p w14:paraId="1EC0D1C8" w14:textId="00530B04" w:rsidR="00E90412" w:rsidRPr="00E72ABD" w:rsidRDefault="00E90412" w:rsidP="00E90412">
      <w:pPr>
        <w:spacing w:after="120"/>
        <w:ind w:left="1134" w:right="1134"/>
        <w:jc w:val="both"/>
        <w:rPr>
          <w:lang w:val="en-US" w:eastAsia="en-GB"/>
        </w:rPr>
      </w:pPr>
      <w:r w:rsidRPr="00E72ABD">
        <w:rPr>
          <w:lang w:val="en-US" w:eastAsia="en-GB"/>
        </w:rPr>
        <w:t>174.</w:t>
      </w:r>
      <w:r w:rsidRPr="00E72ABD">
        <w:rPr>
          <w:lang w:val="en-US" w:eastAsia="en-GB"/>
        </w:rPr>
        <w:tab/>
        <w:t>Ensure that a rapid improvement of the human rights situation is a priority in its mediation efforts.</w:t>
      </w:r>
      <w:r w:rsidR="00EF2D2F" w:rsidRPr="00E72ABD">
        <w:rPr>
          <w:lang w:val="en-US" w:eastAsia="en-GB"/>
        </w:rPr>
        <w:t xml:space="preserve"> </w:t>
      </w:r>
    </w:p>
    <w:p w14:paraId="663CA618" w14:textId="77777777" w:rsidR="00E90412" w:rsidRPr="00E72ABD" w:rsidRDefault="00E90412" w:rsidP="00876F71">
      <w:pPr>
        <w:keepNext/>
        <w:keepLines/>
        <w:tabs>
          <w:tab w:val="right" w:pos="851"/>
        </w:tabs>
        <w:spacing w:before="240" w:after="120" w:line="240" w:lineRule="exact"/>
        <w:ind w:left="1135" w:right="1134" w:hanging="284"/>
        <w:rPr>
          <w:b/>
          <w:lang w:val="en-US" w:eastAsia="en-GB"/>
        </w:rPr>
      </w:pPr>
      <w:r w:rsidRPr="00E72ABD">
        <w:rPr>
          <w:b/>
          <w:lang w:val="en-US" w:eastAsia="en-GB"/>
        </w:rPr>
        <w:tab/>
        <w:t>10.</w:t>
      </w:r>
      <w:r w:rsidRPr="00E72ABD">
        <w:rPr>
          <w:b/>
          <w:lang w:val="en-US" w:eastAsia="en-GB"/>
        </w:rPr>
        <w:tab/>
        <w:t>The guarantors of the 2000 Arusha Agreement, in their capacity as committed proponents of a lasting peace in Burundi, should:</w:t>
      </w:r>
    </w:p>
    <w:p w14:paraId="3FBCC8A6" w14:textId="77777777" w:rsidR="00E90412" w:rsidRPr="00E72ABD" w:rsidRDefault="00E90412" w:rsidP="00E90412">
      <w:pPr>
        <w:spacing w:after="120"/>
        <w:ind w:left="1134" w:right="1134"/>
        <w:jc w:val="both"/>
        <w:rPr>
          <w:lang w:val="en-US" w:eastAsia="en-GB"/>
        </w:rPr>
      </w:pPr>
      <w:r w:rsidRPr="00E72ABD">
        <w:rPr>
          <w:lang w:val="en-US" w:eastAsia="en-GB"/>
        </w:rPr>
        <w:t>175.</w:t>
      </w:r>
      <w:r w:rsidRPr="00E72ABD">
        <w:rPr>
          <w:lang w:val="en-US" w:eastAsia="en-GB"/>
        </w:rPr>
        <w:tab/>
        <w:t>Meet with a view to finding a lasting solution to the political and human rights crisis in Burundi.</w:t>
      </w:r>
    </w:p>
    <w:p w14:paraId="208AF4C4" w14:textId="34603009" w:rsidR="00A73C08" w:rsidRPr="00E72ABD" w:rsidRDefault="00A73C08">
      <w:pPr>
        <w:suppressAutoHyphens w:val="0"/>
        <w:spacing w:line="240" w:lineRule="auto"/>
        <w:rPr>
          <w:color w:val="7030A0"/>
          <w:u w:val="single"/>
          <w:lang w:val="en-US" w:eastAsia="en-GB"/>
        </w:rPr>
      </w:pPr>
      <w:r w:rsidRPr="00E72ABD">
        <w:rPr>
          <w:color w:val="7030A0"/>
          <w:u w:val="single"/>
          <w:lang w:val="en-US" w:eastAsia="en-GB"/>
        </w:rPr>
        <w:br w:type="page"/>
      </w:r>
    </w:p>
    <w:p w14:paraId="7F3B0DE2" w14:textId="7B439A58" w:rsidR="00A73C08" w:rsidRPr="00E72ABD" w:rsidRDefault="00A73C08" w:rsidP="00A73C08">
      <w:pPr>
        <w:pStyle w:val="H1G"/>
        <w:rPr>
          <w:lang w:eastAsia="en-GB"/>
        </w:rPr>
      </w:pPr>
      <w:r w:rsidRPr="00E72ABD">
        <w:rPr>
          <w:lang w:eastAsia="en-GB"/>
        </w:rPr>
        <w:tab/>
      </w:r>
      <w:r w:rsidRPr="00E72ABD">
        <w:rPr>
          <w:lang w:eastAsia="en-GB"/>
        </w:rPr>
        <w:tab/>
        <w:t xml:space="preserve">Annex IV – </w:t>
      </w:r>
      <w:r w:rsidRPr="00E72ABD">
        <w:t>Indicators of common risk factors identified in the Framework of Analysis for Atrocity Crimes (A/70/741-S/2016/71)</w:t>
      </w:r>
      <w:r w:rsidR="00A3232A" w:rsidRPr="00E72ABD">
        <w:t xml:space="preserve"> </w:t>
      </w:r>
    </w:p>
    <w:p w14:paraId="17909BE1" w14:textId="2E4C8231" w:rsidR="00A73C08" w:rsidRPr="00E72ABD" w:rsidRDefault="00A73C08" w:rsidP="00A3232A">
      <w:pPr>
        <w:pStyle w:val="H4G"/>
        <w:ind w:left="5670" w:firstLine="0"/>
        <w:jc w:val="center"/>
        <w:rPr>
          <w:lang w:eastAsia="en-GB"/>
        </w:rPr>
      </w:pPr>
      <w:r w:rsidRPr="00E72ABD">
        <w:rPr>
          <w:lang w:eastAsia="en-GB"/>
        </w:rPr>
        <w:t>[English only]</w:t>
      </w:r>
    </w:p>
    <w:p w14:paraId="7B9C660A" w14:textId="77777777" w:rsidR="00A73C08" w:rsidRPr="00E72ABD" w:rsidRDefault="00A73C08" w:rsidP="00A73C08">
      <w:pPr>
        <w:pStyle w:val="H23G"/>
        <w:rPr>
          <w:lang w:val="en-US" w:eastAsia="en-GB"/>
        </w:rPr>
      </w:pPr>
      <w:r w:rsidRPr="00E72ABD">
        <w:rPr>
          <w:lang w:val="en-US" w:eastAsia="en-GB"/>
        </w:rPr>
        <w:tab/>
      </w:r>
      <w:r w:rsidRPr="00E72ABD">
        <w:rPr>
          <w:lang w:val="en-US" w:eastAsia="en-GB"/>
        </w:rPr>
        <w:tab/>
        <w:t>Risk factor 1. Situations of armed conflict or other forms of instability</w:t>
      </w:r>
    </w:p>
    <w:p w14:paraId="3A037868" w14:textId="77777777" w:rsidR="00A73C08" w:rsidRPr="00E72ABD" w:rsidRDefault="00A73C08" w:rsidP="00A73C08">
      <w:pPr>
        <w:pStyle w:val="SingleTxtG"/>
        <w:rPr>
          <w:lang w:val="en-US" w:eastAsia="en-GB"/>
        </w:rPr>
      </w:pPr>
      <w:r w:rsidRPr="00E72ABD">
        <w:rPr>
          <w:lang w:eastAsia="en-GB"/>
        </w:rPr>
        <w:tab/>
      </w:r>
      <w:r w:rsidRPr="00E72ABD">
        <w:rPr>
          <w:lang w:val="en-US" w:eastAsia="en-GB"/>
        </w:rPr>
        <w:t>(a)</w:t>
      </w:r>
      <w:r w:rsidRPr="00E72ABD">
        <w:rPr>
          <w:lang w:val="en-US" w:eastAsia="en-GB"/>
        </w:rPr>
        <w:tab/>
        <w:t>International or non-international armed conflict;</w:t>
      </w:r>
    </w:p>
    <w:p w14:paraId="322F017A" w14:textId="77777777" w:rsidR="00A73C08" w:rsidRPr="00E72ABD" w:rsidRDefault="00A73C08" w:rsidP="00A73C08">
      <w:pPr>
        <w:pStyle w:val="SingleTxtG"/>
        <w:rPr>
          <w:lang w:val="en-US" w:eastAsia="en-GB"/>
        </w:rPr>
      </w:pPr>
      <w:r w:rsidRPr="00E72ABD">
        <w:rPr>
          <w:lang w:eastAsia="en-GB"/>
        </w:rPr>
        <w:tab/>
      </w:r>
      <w:r w:rsidRPr="00E72ABD">
        <w:rPr>
          <w:lang w:val="en-US" w:eastAsia="en-GB"/>
        </w:rPr>
        <w:t>(b)</w:t>
      </w:r>
      <w:r w:rsidRPr="00E72ABD">
        <w:rPr>
          <w:lang w:val="en-US" w:eastAsia="en-GB"/>
        </w:rPr>
        <w:tab/>
        <w:t>Security crisis caused by, among other factors, defection from peace agreements, armed conflict in neighboring countries, threats of external interventions or acts of terrorism;</w:t>
      </w:r>
    </w:p>
    <w:p w14:paraId="50587B0A" w14:textId="77777777" w:rsidR="00A73C08" w:rsidRPr="00E72ABD" w:rsidRDefault="00A73C08" w:rsidP="00A73C08">
      <w:pPr>
        <w:pStyle w:val="SingleTxtG"/>
        <w:rPr>
          <w:lang w:val="en-US" w:eastAsia="en-GB"/>
        </w:rPr>
      </w:pPr>
      <w:r w:rsidRPr="00E72ABD">
        <w:rPr>
          <w:lang w:eastAsia="en-GB"/>
        </w:rPr>
        <w:tab/>
      </w:r>
      <w:r w:rsidRPr="00E72ABD">
        <w:rPr>
          <w:lang w:val="en-US" w:eastAsia="en-GB"/>
        </w:rPr>
        <w:t>(c)</w:t>
      </w:r>
      <w:r w:rsidRPr="00E72ABD">
        <w:rPr>
          <w:lang w:val="en-US" w:eastAsia="en-GB"/>
        </w:rPr>
        <w:tab/>
        <w:t>Humanitarian crisis or emergency, including those caused by natural disasters or epidemics;</w:t>
      </w:r>
    </w:p>
    <w:p w14:paraId="6D7500AD" w14:textId="77777777" w:rsidR="00A73C08" w:rsidRPr="00E72ABD" w:rsidRDefault="00A73C08" w:rsidP="00A73C08">
      <w:pPr>
        <w:pStyle w:val="SingleTxtG"/>
        <w:rPr>
          <w:lang w:val="en-US" w:eastAsia="en-GB"/>
        </w:rPr>
      </w:pPr>
      <w:r w:rsidRPr="00E72ABD">
        <w:rPr>
          <w:lang w:eastAsia="en-GB"/>
        </w:rPr>
        <w:tab/>
      </w:r>
      <w:r w:rsidRPr="00E72ABD">
        <w:rPr>
          <w:lang w:val="en-US" w:eastAsia="en-GB"/>
        </w:rPr>
        <w:t>(d)</w:t>
      </w:r>
      <w:r w:rsidRPr="00E72ABD">
        <w:rPr>
          <w:lang w:val="en-US" w:eastAsia="en-GB"/>
        </w:rPr>
        <w:tab/>
        <w:t>Political instability caused by abrupt or irregular regime change or transfer of power;</w:t>
      </w:r>
    </w:p>
    <w:p w14:paraId="3CA7E914" w14:textId="77777777" w:rsidR="00A73C08" w:rsidRPr="00E72ABD" w:rsidRDefault="00A73C08" w:rsidP="00A73C08">
      <w:pPr>
        <w:pStyle w:val="SingleTxtG"/>
        <w:rPr>
          <w:lang w:val="en-US" w:eastAsia="en-GB"/>
        </w:rPr>
      </w:pPr>
      <w:r w:rsidRPr="00E72ABD">
        <w:rPr>
          <w:lang w:eastAsia="en-GB"/>
        </w:rPr>
        <w:tab/>
      </w:r>
      <w:r w:rsidRPr="00E72ABD">
        <w:rPr>
          <w:lang w:val="en-US" w:eastAsia="en-GB"/>
        </w:rPr>
        <w:t>(e)</w:t>
      </w:r>
      <w:r w:rsidRPr="00E72ABD">
        <w:rPr>
          <w:lang w:val="en-US" w:eastAsia="en-GB"/>
        </w:rPr>
        <w:tab/>
        <w:t>Political instability caused by disputes over power or growing nationalist, armed or radical opposition movements;</w:t>
      </w:r>
    </w:p>
    <w:p w14:paraId="10A58467" w14:textId="77777777" w:rsidR="00A73C08" w:rsidRPr="00E72ABD" w:rsidRDefault="00A73C08" w:rsidP="00A73C08">
      <w:pPr>
        <w:pStyle w:val="SingleTxtG"/>
        <w:rPr>
          <w:lang w:val="en-US" w:eastAsia="en-GB"/>
        </w:rPr>
      </w:pPr>
      <w:r w:rsidRPr="00E72ABD">
        <w:rPr>
          <w:lang w:eastAsia="en-GB"/>
        </w:rPr>
        <w:tab/>
      </w:r>
      <w:r w:rsidRPr="00E72ABD">
        <w:rPr>
          <w:lang w:val="en-US" w:eastAsia="en-GB"/>
        </w:rPr>
        <w:t>(f)</w:t>
      </w:r>
      <w:r w:rsidRPr="00E72ABD">
        <w:rPr>
          <w:lang w:val="en-US" w:eastAsia="en-GB"/>
        </w:rPr>
        <w:tab/>
        <w:t>Political tension caused by autocratic regimes or severe political repression;</w:t>
      </w:r>
    </w:p>
    <w:p w14:paraId="38D5189E" w14:textId="77777777" w:rsidR="00A73C08" w:rsidRPr="00E72ABD" w:rsidRDefault="00A73C08" w:rsidP="00A73C08">
      <w:pPr>
        <w:pStyle w:val="SingleTxtG"/>
        <w:rPr>
          <w:lang w:val="en-US" w:eastAsia="en-GB"/>
        </w:rPr>
      </w:pPr>
      <w:r w:rsidRPr="00E72ABD">
        <w:rPr>
          <w:lang w:eastAsia="en-GB"/>
        </w:rPr>
        <w:tab/>
      </w:r>
      <w:r w:rsidRPr="00E72ABD">
        <w:rPr>
          <w:lang w:val="en-US" w:eastAsia="en-GB"/>
        </w:rPr>
        <w:t>(g)</w:t>
      </w:r>
      <w:r w:rsidRPr="00E72ABD">
        <w:rPr>
          <w:lang w:val="en-US" w:eastAsia="en-GB"/>
        </w:rPr>
        <w:tab/>
        <w:t>Economic instability caused by scarcity of resources or disputes over their use or exploitation;</w:t>
      </w:r>
    </w:p>
    <w:p w14:paraId="621E3DE3" w14:textId="77777777" w:rsidR="00A73C08" w:rsidRPr="00E72ABD" w:rsidRDefault="00A73C08" w:rsidP="00A73C08">
      <w:pPr>
        <w:pStyle w:val="SingleTxtG"/>
        <w:rPr>
          <w:lang w:val="en-US" w:eastAsia="en-GB"/>
        </w:rPr>
      </w:pPr>
      <w:r w:rsidRPr="00E72ABD">
        <w:rPr>
          <w:lang w:eastAsia="en-GB"/>
        </w:rPr>
        <w:tab/>
      </w:r>
      <w:r w:rsidRPr="00E72ABD">
        <w:rPr>
          <w:lang w:val="en-US" w:eastAsia="en-GB"/>
        </w:rPr>
        <w:t>(h)</w:t>
      </w:r>
      <w:r w:rsidRPr="00E72ABD">
        <w:rPr>
          <w:lang w:val="en-US" w:eastAsia="en-GB"/>
        </w:rPr>
        <w:tab/>
        <w:t>Economic instability caused by severe crisis in the national economy;</w:t>
      </w:r>
    </w:p>
    <w:p w14:paraId="3D391B29" w14:textId="77777777" w:rsidR="00A73C08" w:rsidRPr="00E72ABD" w:rsidRDefault="00A73C08" w:rsidP="00A73C08">
      <w:pPr>
        <w:pStyle w:val="SingleTxtG"/>
        <w:rPr>
          <w:lang w:val="en-US" w:eastAsia="en-GB"/>
        </w:rPr>
      </w:pPr>
      <w:r w:rsidRPr="00E72ABD">
        <w:rPr>
          <w:lang w:eastAsia="en-GB"/>
        </w:rPr>
        <w:tab/>
      </w:r>
      <w:r w:rsidRPr="00E72ABD">
        <w:rPr>
          <w:lang w:val="en-US" w:eastAsia="en-GB"/>
        </w:rPr>
        <w:t>(i)</w:t>
      </w:r>
      <w:r w:rsidRPr="00E72ABD">
        <w:rPr>
          <w:lang w:val="en-US" w:eastAsia="en-GB"/>
        </w:rPr>
        <w:tab/>
        <w:t>Economic instability caused by acute poverty, mass unemployment or deep horizontal inequalities;</w:t>
      </w:r>
    </w:p>
    <w:p w14:paraId="52D3CABC" w14:textId="77777777" w:rsidR="00A73C08" w:rsidRPr="00E72ABD" w:rsidRDefault="00A73C08" w:rsidP="00A73C08">
      <w:pPr>
        <w:pStyle w:val="SingleTxtG"/>
        <w:rPr>
          <w:lang w:val="en-US" w:eastAsia="en-GB"/>
        </w:rPr>
      </w:pPr>
      <w:r w:rsidRPr="00E72ABD">
        <w:rPr>
          <w:lang w:eastAsia="en-GB"/>
        </w:rPr>
        <w:tab/>
      </w:r>
      <w:r w:rsidRPr="00E72ABD">
        <w:rPr>
          <w:lang w:val="en-US" w:eastAsia="en-GB"/>
        </w:rPr>
        <w:t>(j)</w:t>
      </w:r>
      <w:r w:rsidRPr="00E72ABD">
        <w:rPr>
          <w:lang w:val="en-US" w:eastAsia="en-GB"/>
        </w:rPr>
        <w:tab/>
        <w:t>Social instability caused by resistance to, or mass protests against, State authority or policies;</w:t>
      </w:r>
    </w:p>
    <w:p w14:paraId="22157C25" w14:textId="77777777" w:rsidR="00A73C08" w:rsidRPr="00E72ABD" w:rsidRDefault="00A73C08" w:rsidP="00A73C08">
      <w:pPr>
        <w:pStyle w:val="SingleTxtG"/>
        <w:rPr>
          <w:lang w:val="en-US" w:eastAsia="en-GB"/>
        </w:rPr>
      </w:pPr>
      <w:r w:rsidRPr="00E72ABD">
        <w:rPr>
          <w:lang w:eastAsia="en-GB"/>
        </w:rPr>
        <w:tab/>
      </w:r>
      <w:r w:rsidRPr="00E72ABD">
        <w:rPr>
          <w:lang w:val="en-US" w:eastAsia="en-GB"/>
        </w:rPr>
        <w:t>(k)</w:t>
      </w:r>
      <w:r w:rsidRPr="00E72ABD">
        <w:rPr>
          <w:lang w:val="en-US" w:eastAsia="en-GB"/>
        </w:rPr>
        <w:tab/>
        <w:t>Social instability caused by exclusion or tensions based on identity issues, their perception or extremist forms.</w:t>
      </w:r>
    </w:p>
    <w:p w14:paraId="2D4855DC" w14:textId="77777777" w:rsidR="00A73C08" w:rsidRPr="00E72ABD" w:rsidRDefault="00A73C08" w:rsidP="00A73C08">
      <w:pPr>
        <w:pStyle w:val="H23G"/>
        <w:rPr>
          <w:lang w:val="en-US" w:eastAsia="en-GB"/>
        </w:rPr>
      </w:pPr>
      <w:r w:rsidRPr="00E72ABD">
        <w:rPr>
          <w:lang w:val="en-US" w:eastAsia="en-GB"/>
        </w:rPr>
        <w:tab/>
      </w:r>
      <w:r w:rsidRPr="00E72ABD">
        <w:rPr>
          <w:lang w:val="en-US" w:eastAsia="en-GB"/>
        </w:rPr>
        <w:tab/>
        <w:t>Risk factor 2. Record of serious violations of international human rights and humanitarian law</w:t>
      </w:r>
    </w:p>
    <w:p w14:paraId="4B129829" w14:textId="77777777" w:rsidR="00A73C08" w:rsidRPr="00E72ABD" w:rsidRDefault="00A73C08" w:rsidP="00A73C08">
      <w:pPr>
        <w:pStyle w:val="SingleTxtG"/>
        <w:rPr>
          <w:lang w:val="en-US" w:eastAsia="en-GB"/>
        </w:rPr>
      </w:pPr>
      <w:r w:rsidRPr="00E72ABD">
        <w:rPr>
          <w:lang w:eastAsia="en-GB"/>
        </w:rPr>
        <w:tab/>
      </w:r>
      <w:r w:rsidRPr="00E72ABD">
        <w:rPr>
          <w:lang w:val="en-US" w:eastAsia="en-GB"/>
        </w:rPr>
        <w:t>(a)</w:t>
      </w:r>
      <w:r w:rsidRPr="00E72ABD">
        <w:rPr>
          <w:lang w:val="en-US" w:eastAsia="en-GB"/>
        </w:rPr>
        <w:tab/>
        <w:t>Past or present serious restrictions to or violations of international human rights and humanitarian law, particularly if assuming an early pattern of conduct and if targeting protected groups, populations or individuals;</w:t>
      </w:r>
    </w:p>
    <w:p w14:paraId="2364426D" w14:textId="77777777" w:rsidR="00A73C08" w:rsidRPr="00E72ABD" w:rsidRDefault="00A73C08" w:rsidP="00A73C08">
      <w:pPr>
        <w:pStyle w:val="SingleTxtG"/>
        <w:rPr>
          <w:lang w:val="en-US" w:eastAsia="en-GB"/>
        </w:rPr>
      </w:pPr>
      <w:r w:rsidRPr="00E72ABD">
        <w:rPr>
          <w:lang w:eastAsia="en-GB"/>
        </w:rPr>
        <w:tab/>
      </w:r>
      <w:r w:rsidRPr="00E72ABD">
        <w:rPr>
          <w:lang w:val="en-US" w:eastAsia="en-GB"/>
        </w:rPr>
        <w:t>(b)</w:t>
      </w:r>
      <w:r w:rsidRPr="00E72ABD">
        <w:rPr>
          <w:lang w:val="en-US" w:eastAsia="en-GB"/>
        </w:rPr>
        <w:tab/>
        <w:t>Past acts of genocide, crimes against humanity, war crimes or their incitement;</w:t>
      </w:r>
    </w:p>
    <w:p w14:paraId="585507CB" w14:textId="77777777" w:rsidR="00A73C08" w:rsidRPr="00E72ABD" w:rsidRDefault="00A73C08" w:rsidP="00A73C08">
      <w:pPr>
        <w:pStyle w:val="SingleTxtG"/>
        <w:rPr>
          <w:lang w:val="en-US" w:eastAsia="en-GB"/>
        </w:rPr>
      </w:pPr>
      <w:r w:rsidRPr="00E72ABD">
        <w:rPr>
          <w:lang w:val="en-US" w:eastAsia="en-GB"/>
        </w:rPr>
        <w:tab/>
        <w:t>(c)</w:t>
      </w:r>
      <w:r w:rsidRPr="00E72ABD">
        <w:rPr>
          <w:lang w:val="en-US" w:eastAsia="en-GB"/>
        </w:rPr>
        <w:tab/>
        <w:t>Policy or practice of impunity for or tolerance of serious violations of international human rights and humanitarian law, of atrocity crimes, or of their incitement;</w:t>
      </w:r>
    </w:p>
    <w:p w14:paraId="5118D96D" w14:textId="77777777" w:rsidR="00A73C08" w:rsidRPr="00E72ABD" w:rsidRDefault="00A73C08" w:rsidP="00A73C08">
      <w:pPr>
        <w:pStyle w:val="SingleTxtG"/>
        <w:rPr>
          <w:lang w:val="en-US" w:eastAsia="en-GB"/>
        </w:rPr>
      </w:pPr>
      <w:r w:rsidRPr="00E72ABD">
        <w:rPr>
          <w:lang w:eastAsia="en-GB"/>
        </w:rPr>
        <w:tab/>
      </w:r>
      <w:r w:rsidRPr="00E72ABD">
        <w:rPr>
          <w:lang w:val="en-US" w:eastAsia="en-GB"/>
        </w:rPr>
        <w:t>(d)</w:t>
      </w:r>
      <w:r w:rsidRPr="00E72ABD">
        <w:rPr>
          <w:lang w:val="en-US" w:eastAsia="en-GB"/>
        </w:rPr>
        <w:tab/>
        <w:t>Inaction, reluctance or refusal to use all possible means to stop planned, predictable or ongoing serious violations of international human rights and humanitarian law or likely atrocity crimes, or their incitement;</w:t>
      </w:r>
    </w:p>
    <w:p w14:paraId="415A0CE7" w14:textId="77777777" w:rsidR="00A73C08" w:rsidRPr="00E72ABD" w:rsidRDefault="00A73C08" w:rsidP="00A73C08">
      <w:pPr>
        <w:pStyle w:val="SingleTxtG"/>
        <w:rPr>
          <w:lang w:val="en-US" w:eastAsia="en-GB"/>
        </w:rPr>
      </w:pPr>
      <w:r w:rsidRPr="00E72ABD">
        <w:rPr>
          <w:lang w:eastAsia="en-GB"/>
        </w:rPr>
        <w:tab/>
      </w:r>
      <w:r w:rsidRPr="00E72ABD">
        <w:rPr>
          <w:lang w:val="en-US" w:eastAsia="en-GB"/>
        </w:rPr>
        <w:t>(e)</w:t>
      </w:r>
      <w:r w:rsidRPr="00E72ABD">
        <w:rPr>
          <w:lang w:val="en-US" w:eastAsia="en-GB"/>
        </w:rPr>
        <w:tab/>
        <w:t>Continuation of support to groups accused of involvement in serious violations of international human rights and humanitarian law, including atrocity crimes, or failure to condemn their actions;</w:t>
      </w:r>
    </w:p>
    <w:p w14:paraId="36ADDFBF" w14:textId="77777777" w:rsidR="00A73C08" w:rsidRPr="00E72ABD" w:rsidRDefault="00A73C08" w:rsidP="00A73C08">
      <w:pPr>
        <w:pStyle w:val="SingleTxtG"/>
        <w:rPr>
          <w:lang w:val="en-US" w:eastAsia="en-GB"/>
        </w:rPr>
      </w:pPr>
      <w:r w:rsidRPr="00E72ABD">
        <w:rPr>
          <w:lang w:eastAsia="en-GB"/>
        </w:rPr>
        <w:tab/>
      </w:r>
      <w:r w:rsidRPr="00E72ABD">
        <w:rPr>
          <w:lang w:val="en-US" w:eastAsia="en-GB"/>
        </w:rPr>
        <w:t>(f)</w:t>
      </w:r>
      <w:r w:rsidRPr="00E72ABD">
        <w:rPr>
          <w:lang w:val="en-US" w:eastAsia="en-GB"/>
        </w:rPr>
        <w:tab/>
        <w:t>Justification, biased accounts or denial of serious violations of international human rights and humanitarian law or atrocity crimes;</w:t>
      </w:r>
    </w:p>
    <w:p w14:paraId="476D7675" w14:textId="77777777" w:rsidR="00A73C08" w:rsidRPr="00E72ABD" w:rsidRDefault="00A73C08" w:rsidP="00A73C08">
      <w:pPr>
        <w:pStyle w:val="SingleTxtG"/>
        <w:rPr>
          <w:lang w:val="en-US" w:eastAsia="en-GB"/>
        </w:rPr>
      </w:pPr>
      <w:r w:rsidRPr="00E72ABD">
        <w:rPr>
          <w:lang w:eastAsia="en-GB"/>
        </w:rPr>
        <w:tab/>
      </w:r>
      <w:r w:rsidRPr="00E72ABD">
        <w:rPr>
          <w:lang w:val="en-US" w:eastAsia="en-GB"/>
        </w:rPr>
        <w:t>(g)</w:t>
      </w:r>
      <w:r w:rsidRPr="00E72ABD">
        <w:rPr>
          <w:lang w:val="en-US" w:eastAsia="en-GB"/>
        </w:rPr>
        <w:tab/>
        <w:t>Politicization or absence of reconciliation or transitional justice processes following conflict;</w:t>
      </w:r>
    </w:p>
    <w:p w14:paraId="4D6638B3" w14:textId="77777777" w:rsidR="00A73C08" w:rsidRPr="00E72ABD" w:rsidRDefault="00A73C08" w:rsidP="00A73C08">
      <w:pPr>
        <w:pStyle w:val="SingleTxtG"/>
        <w:rPr>
          <w:lang w:val="en-US" w:eastAsia="en-GB"/>
        </w:rPr>
      </w:pPr>
      <w:r w:rsidRPr="00E72ABD">
        <w:rPr>
          <w:lang w:eastAsia="en-GB"/>
        </w:rPr>
        <w:tab/>
      </w:r>
      <w:r w:rsidRPr="00E72ABD">
        <w:rPr>
          <w:lang w:val="en-US" w:eastAsia="en-GB"/>
        </w:rPr>
        <w:t>(h)</w:t>
      </w:r>
      <w:r w:rsidRPr="00E72ABD">
        <w:rPr>
          <w:lang w:val="en-US" w:eastAsia="en-GB"/>
        </w:rPr>
        <w:tab/>
        <w:t>Widespread</w:t>
      </w:r>
    </w:p>
    <w:p w14:paraId="659A0ED4" w14:textId="77777777" w:rsidR="00A73C08" w:rsidRPr="00E72ABD" w:rsidRDefault="00A73C08" w:rsidP="00A73C08">
      <w:pPr>
        <w:pStyle w:val="H23G"/>
        <w:rPr>
          <w:lang w:val="en-US" w:eastAsia="en-GB"/>
        </w:rPr>
      </w:pPr>
      <w:r w:rsidRPr="00E72ABD">
        <w:rPr>
          <w:lang w:val="en-US" w:eastAsia="en-GB"/>
        </w:rPr>
        <w:tab/>
      </w:r>
      <w:r w:rsidRPr="00E72ABD">
        <w:rPr>
          <w:lang w:val="en-US" w:eastAsia="en-GB"/>
        </w:rPr>
        <w:tab/>
        <w:t>Risk factor 3. Weakness of State structures</w:t>
      </w:r>
    </w:p>
    <w:p w14:paraId="6237D91E" w14:textId="77777777" w:rsidR="00A73C08" w:rsidRPr="00E72ABD" w:rsidRDefault="00A73C08" w:rsidP="00A73C08">
      <w:pPr>
        <w:pStyle w:val="SingleTxtG"/>
        <w:rPr>
          <w:lang w:val="en-US" w:eastAsia="en-GB"/>
        </w:rPr>
      </w:pPr>
      <w:r w:rsidRPr="00E72ABD">
        <w:rPr>
          <w:lang w:eastAsia="en-GB"/>
        </w:rPr>
        <w:tab/>
      </w:r>
      <w:r w:rsidRPr="00E72ABD">
        <w:rPr>
          <w:lang w:val="en-US" w:eastAsia="en-GB"/>
        </w:rPr>
        <w:t>(a)</w:t>
      </w:r>
      <w:r w:rsidRPr="00E72ABD">
        <w:rPr>
          <w:lang w:val="en-US" w:eastAsia="en-GB"/>
        </w:rPr>
        <w:tab/>
        <w:t>National legal framework that does not offer ample and effective protection, including through ratification and domestication of relevant international human rights and humanitarian law treaties;</w:t>
      </w:r>
    </w:p>
    <w:p w14:paraId="139148A4" w14:textId="77777777" w:rsidR="00A73C08" w:rsidRPr="00E72ABD" w:rsidRDefault="00A73C08" w:rsidP="00A73C08">
      <w:pPr>
        <w:pStyle w:val="SingleTxtG"/>
        <w:rPr>
          <w:lang w:val="en-US" w:eastAsia="en-GB"/>
        </w:rPr>
      </w:pPr>
      <w:r w:rsidRPr="00E72ABD">
        <w:rPr>
          <w:lang w:eastAsia="en-GB"/>
        </w:rPr>
        <w:tab/>
      </w:r>
      <w:r w:rsidRPr="00E72ABD">
        <w:rPr>
          <w:lang w:val="en-US" w:eastAsia="en-GB"/>
        </w:rPr>
        <w:t>(b)</w:t>
      </w:r>
      <w:r w:rsidRPr="00E72ABD">
        <w:rPr>
          <w:lang w:val="en-US" w:eastAsia="en-GB"/>
        </w:rPr>
        <w:tab/>
        <w:t>National institutions, particularly judicial, law enforcement and human rights institutions that lack sufficient resources, adequate representation or training;</w:t>
      </w:r>
    </w:p>
    <w:p w14:paraId="479C6EE7" w14:textId="77777777" w:rsidR="00A73C08" w:rsidRPr="00E72ABD" w:rsidRDefault="00A73C08" w:rsidP="00A73C08">
      <w:pPr>
        <w:pStyle w:val="SingleTxtG"/>
        <w:rPr>
          <w:lang w:val="en-US" w:eastAsia="en-GB"/>
        </w:rPr>
      </w:pPr>
      <w:r w:rsidRPr="00E72ABD">
        <w:rPr>
          <w:lang w:eastAsia="en-GB"/>
        </w:rPr>
        <w:tab/>
      </w:r>
      <w:r w:rsidRPr="00E72ABD">
        <w:rPr>
          <w:lang w:val="en-US" w:eastAsia="en-GB"/>
        </w:rPr>
        <w:t>(c)</w:t>
      </w:r>
      <w:r w:rsidRPr="00E72ABD">
        <w:rPr>
          <w:lang w:val="en-US" w:eastAsia="en-GB"/>
        </w:rPr>
        <w:tab/>
        <w:t>Lack of an independent and impartial judiciary;</w:t>
      </w:r>
    </w:p>
    <w:p w14:paraId="57577E04" w14:textId="77777777" w:rsidR="00A73C08" w:rsidRPr="00E72ABD" w:rsidRDefault="00A73C08" w:rsidP="00A73C08">
      <w:pPr>
        <w:pStyle w:val="SingleTxtG"/>
        <w:rPr>
          <w:lang w:val="en-US" w:eastAsia="en-GB"/>
        </w:rPr>
      </w:pPr>
      <w:r w:rsidRPr="00E72ABD">
        <w:rPr>
          <w:lang w:eastAsia="en-GB"/>
        </w:rPr>
        <w:tab/>
      </w:r>
      <w:r w:rsidRPr="00E72ABD">
        <w:rPr>
          <w:lang w:val="en-US" w:eastAsia="en-GB"/>
        </w:rPr>
        <w:t>(d)</w:t>
      </w:r>
      <w:r w:rsidRPr="00E72ABD">
        <w:rPr>
          <w:lang w:val="en-US" w:eastAsia="en-GB"/>
        </w:rPr>
        <w:tab/>
        <w:t>Lack of effective civilian control of security forces;</w:t>
      </w:r>
    </w:p>
    <w:p w14:paraId="528A4115" w14:textId="77777777" w:rsidR="00A73C08" w:rsidRPr="00E72ABD" w:rsidRDefault="00A73C08" w:rsidP="00A73C08">
      <w:pPr>
        <w:pStyle w:val="SingleTxtG"/>
        <w:rPr>
          <w:lang w:val="en-US" w:eastAsia="en-GB"/>
        </w:rPr>
      </w:pPr>
      <w:r w:rsidRPr="00E72ABD">
        <w:rPr>
          <w:lang w:eastAsia="en-GB"/>
        </w:rPr>
        <w:tab/>
      </w:r>
      <w:r w:rsidRPr="00E72ABD">
        <w:rPr>
          <w:lang w:val="en-US" w:eastAsia="en-GB"/>
        </w:rPr>
        <w:t>(e)</w:t>
      </w:r>
      <w:r w:rsidRPr="00E72ABD">
        <w:rPr>
          <w:lang w:val="en-US" w:eastAsia="en-GB"/>
        </w:rPr>
        <w:tab/>
        <w:t>High levels of corruption or poor governance;</w:t>
      </w:r>
    </w:p>
    <w:p w14:paraId="1CEFB678" w14:textId="77777777" w:rsidR="00A73C08" w:rsidRPr="00E72ABD" w:rsidRDefault="00A73C08" w:rsidP="00A73C08">
      <w:pPr>
        <w:pStyle w:val="SingleTxtG"/>
        <w:rPr>
          <w:lang w:val="en-US" w:eastAsia="en-GB"/>
        </w:rPr>
      </w:pPr>
      <w:r w:rsidRPr="00E72ABD">
        <w:rPr>
          <w:lang w:eastAsia="en-GB"/>
        </w:rPr>
        <w:tab/>
      </w:r>
      <w:r w:rsidRPr="00E72ABD">
        <w:rPr>
          <w:lang w:val="en-US" w:eastAsia="en-GB"/>
        </w:rPr>
        <w:t>(f)</w:t>
      </w:r>
      <w:r w:rsidRPr="00E72ABD">
        <w:rPr>
          <w:lang w:val="en-US" w:eastAsia="en-GB"/>
        </w:rPr>
        <w:tab/>
        <w:t>Absence or inadequate external or internal mechanisms of oversight and accountability, including those where victims can seek recourse for their claims;</w:t>
      </w:r>
    </w:p>
    <w:p w14:paraId="3337EC64" w14:textId="77777777" w:rsidR="00A73C08" w:rsidRPr="00E72ABD" w:rsidRDefault="00A73C08" w:rsidP="00A73C08">
      <w:pPr>
        <w:pStyle w:val="SingleTxtG"/>
        <w:rPr>
          <w:lang w:val="en-US" w:eastAsia="en-GB"/>
        </w:rPr>
      </w:pPr>
      <w:r w:rsidRPr="00E72ABD">
        <w:rPr>
          <w:lang w:eastAsia="en-GB"/>
        </w:rPr>
        <w:tab/>
      </w:r>
      <w:r w:rsidRPr="00E72ABD">
        <w:rPr>
          <w:lang w:val="en-US" w:eastAsia="en-GB"/>
        </w:rPr>
        <w:t>(g)</w:t>
      </w:r>
      <w:r w:rsidRPr="00E72ABD">
        <w:rPr>
          <w:lang w:val="en-US" w:eastAsia="en-GB"/>
        </w:rPr>
        <w:tab/>
        <w:t>Lack of awareness of and training on international human rights and humanitarian law to military forces, irregular forces and non-State armed groups, or other relevant actors;</w:t>
      </w:r>
    </w:p>
    <w:p w14:paraId="03748728" w14:textId="77777777" w:rsidR="00A73C08" w:rsidRPr="00E72ABD" w:rsidRDefault="00A73C08" w:rsidP="00A73C08">
      <w:pPr>
        <w:pStyle w:val="SingleTxtG"/>
        <w:rPr>
          <w:lang w:val="en-US" w:eastAsia="en-GB"/>
        </w:rPr>
      </w:pPr>
      <w:r w:rsidRPr="00E72ABD">
        <w:rPr>
          <w:lang w:eastAsia="en-GB"/>
        </w:rPr>
        <w:tab/>
      </w:r>
      <w:r w:rsidRPr="00E72ABD">
        <w:rPr>
          <w:lang w:val="en-US" w:eastAsia="en-GB"/>
        </w:rPr>
        <w:t>(h)</w:t>
      </w:r>
      <w:r w:rsidRPr="00E72ABD">
        <w:rPr>
          <w:lang w:val="en-US" w:eastAsia="en-GB"/>
        </w:rPr>
        <w:tab/>
        <w:t>Lack of capacity to ensure that means and methods of warfare comply with international humanitarian law standards;</w:t>
      </w:r>
    </w:p>
    <w:p w14:paraId="2871C04E" w14:textId="77777777" w:rsidR="00A73C08" w:rsidRPr="00E72ABD" w:rsidRDefault="00A73C08" w:rsidP="00A73C08">
      <w:pPr>
        <w:pStyle w:val="SingleTxtG"/>
        <w:rPr>
          <w:lang w:val="en-US" w:eastAsia="en-GB"/>
        </w:rPr>
      </w:pPr>
      <w:r w:rsidRPr="00E72ABD">
        <w:rPr>
          <w:lang w:eastAsia="en-GB"/>
        </w:rPr>
        <w:tab/>
      </w:r>
      <w:r w:rsidRPr="00E72ABD">
        <w:rPr>
          <w:lang w:val="en-US" w:eastAsia="en-GB"/>
        </w:rPr>
        <w:t>(i)</w:t>
      </w:r>
      <w:r w:rsidRPr="00E72ABD">
        <w:rPr>
          <w:lang w:val="en-US" w:eastAsia="en-GB"/>
        </w:rPr>
        <w:tab/>
        <w:t>Lack of resources for reform or institution-building, including through regional or international support;</w:t>
      </w:r>
    </w:p>
    <w:p w14:paraId="2EEB41B6" w14:textId="77777777" w:rsidR="00A73C08" w:rsidRPr="00E72ABD" w:rsidRDefault="00A73C08" w:rsidP="00A73C08">
      <w:pPr>
        <w:pStyle w:val="SingleTxtG"/>
        <w:rPr>
          <w:lang w:val="en-US" w:eastAsia="en-GB"/>
        </w:rPr>
      </w:pPr>
      <w:r w:rsidRPr="00E72ABD">
        <w:rPr>
          <w:lang w:eastAsia="en-GB"/>
        </w:rPr>
        <w:tab/>
      </w:r>
      <w:r w:rsidRPr="00E72ABD">
        <w:rPr>
          <w:lang w:val="en-US" w:eastAsia="en-GB"/>
        </w:rPr>
        <w:t>(j)</w:t>
      </w:r>
      <w:r w:rsidRPr="00E72ABD">
        <w:rPr>
          <w:lang w:val="en-US" w:eastAsia="en-GB"/>
        </w:rPr>
        <w:tab/>
        <w:t>Insufficient resources to implement overall measures aimed at protecting populations.</w:t>
      </w:r>
    </w:p>
    <w:p w14:paraId="1244A0A3" w14:textId="77777777" w:rsidR="00A73C08" w:rsidRPr="00E72ABD" w:rsidRDefault="00A73C08" w:rsidP="00A73C08">
      <w:pPr>
        <w:pStyle w:val="H23G"/>
        <w:rPr>
          <w:lang w:val="en-US" w:eastAsia="en-GB"/>
        </w:rPr>
      </w:pPr>
      <w:r w:rsidRPr="00E72ABD">
        <w:rPr>
          <w:lang w:val="en-US" w:eastAsia="en-GB"/>
        </w:rPr>
        <w:tab/>
      </w:r>
      <w:r w:rsidRPr="00E72ABD">
        <w:rPr>
          <w:lang w:val="en-US" w:eastAsia="en-GB"/>
        </w:rPr>
        <w:tab/>
        <w:t>Risk factor 4. Motives or incentives</w:t>
      </w:r>
    </w:p>
    <w:p w14:paraId="6DD3458F" w14:textId="77777777" w:rsidR="00A73C08" w:rsidRPr="00E72ABD" w:rsidRDefault="00A73C08" w:rsidP="00A73C08">
      <w:pPr>
        <w:pStyle w:val="SingleTxtG"/>
        <w:rPr>
          <w:lang w:val="en-US" w:eastAsia="en-GB"/>
        </w:rPr>
      </w:pPr>
      <w:r w:rsidRPr="00E72ABD">
        <w:rPr>
          <w:lang w:eastAsia="en-GB"/>
        </w:rPr>
        <w:tab/>
      </w:r>
      <w:r w:rsidRPr="00E72ABD">
        <w:rPr>
          <w:lang w:val="en-US" w:eastAsia="en-GB"/>
        </w:rPr>
        <w:t>(a)</w:t>
      </w:r>
      <w:r w:rsidRPr="00E72ABD">
        <w:rPr>
          <w:lang w:val="en-US" w:eastAsia="en-GB"/>
        </w:rPr>
        <w:tab/>
        <w:t>Political motives, particularly those aimed at the attainment or consolidation of power;</w:t>
      </w:r>
    </w:p>
    <w:p w14:paraId="5D206F91" w14:textId="77777777" w:rsidR="00A73C08" w:rsidRPr="00E72ABD" w:rsidRDefault="00A73C08" w:rsidP="00A73C08">
      <w:pPr>
        <w:pStyle w:val="SingleTxtG"/>
        <w:rPr>
          <w:lang w:val="en-US" w:eastAsia="en-GB"/>
        </w:rPr>
      </w:pPr>
      <w:r w:rsidRPr="00E72ABD">
        <w:rPr>
          <w:lang w:eastAsia="en-GB"/>
        </w:rPr>
        <w:tab/>
      </w:r>
      <w:r w:rsidRPr="00E72ABD">
        <w:rPr>
          <w:lang w:val="en-US" w:eastAsia="en-GB"/>
        </w:rPr>
        <w:t>(b)</w:t>
      </w:r>
      <w:r w:rsidRPr="00E72ABD">
        <w:rPr>
          <w:lang w:val="en-US" w:eastAsia="en-GB"/>
        </w:rPr>
        <w:tab/>
        <w:t>Economic interests, including those based on the safeguard and well-being of elites or identity groups, or control over the distribution of resources;</w:t>
      </w:r>
    </w:p>
    <w:p w14:paraId="4064E7D1" w14:textId="77777777" w:rsidR="00A73C08" w:rsidRPr="00E72ABD" w:rsidRDefault="00A73C08" w:rsidP="00A73C08">
      <w:pPr>
        <w:pStyle w:val="SingleTxtG"/>
        <w:rPr>
          <w:lang w:val="en-US" w:eastAsia="en-GB"/>
        </w:rPr>
      </w:pPr>
      <w:r w:rsidRPr="00E72ABD">
        <w:rPr>
          <w:lang w:eastAsia="en-GB"/>
        </w:rPr>
        <w:tab/>
      </w:r>
      <w:r w:rsidRPr="00E72ABD">
        <w:rPr>
          <w:lang w:val="en-US" w:eastAsia="en-GB"/>
        </w:rPr>
        <w:t>(c)</w:t>
      </w:r>
      <w:r w:rsidRPr="00E72ABD">
        <w:rPr>
          <w:lang w:val="en-US" w:eastAsia="en-GB"/>
        </w:rPr>
        <w:tab/>
        <w:t>Strategic or military interests, including those based on protection or seizure of territory and resources;</w:t>
      </w:r>
    </w:p>
    <w:p w14:paraId="7A1E041B" w14:textId="77777777" w:rsidR="00A73C08" w:rsidRPr="00E72ABD" w:rsidRDefault="00A73C08" w:rsidP="00A73C08">
      <w:pPr>
        <w:pStyle w:val="SingleTxtG"/>
        <w:rPr>
          <w:lang w:val="en-US" w:eastAsia="en-GB"/>
        </w:rPr>
      </w:pPr>
      <w:r w:rsidRPr="00E72ABD">
        <w:rPr>
          <w:lang w:eastAsia="en-GB"/>
        </w:rPr>
        <w:tab/>
      </w:r>
      <w:r w:rsidRPr="00E72ABD">
        <w:rPr>
          <w:lang w:val="en-US" w:eastAsia="en-GB"/>
        </w:rPr>
        <w:t>(d)</w:t>
      </w:r>
      <w:r w:rsidRPr="00E72ABD">
        <w:rPr>
          <w:lang w:val="en-US" w:eastAsia="en-GB"/>
        </w:rPr>
        <w:tab/>
        <w:t>Other interests, including those aimed at rendering an area homogeneous in its identity;</w:t>
      </w:r>
    </w:p>
    <w:p w14:paraId="6C906F13" w14:textId="77777777" w:rsidR="00A73C08" w:rsidRPr="00E72ABD" w:rsidRDefault="00A73C08" w:rsidP="00A73C08">
      <w:pPr>
        <w:pStyle w:val="SingleTxtG"/>
        <w:rPr>
          <w:lang w:val="en-US" w:eastAsia="en-GB"/>
        </w:rPr>
      </w:pPr>
      <w:r w:rsidRPr="00E72ABD">
        <w:rPr>
          <w:lang w:eastAsia="en-GB"/>
        </w:rPr>
        <w:tab/>
      </w:r>
      <w:r w:rsidRPr="00E72ABD">
        <w:rPr>
          <w:lang w:val="en-US" w:eastAsia="en-GB"/>
        </w:rPr>
        <w:t>(e)</w:t>
      </w:r>
      <w:r w:rsidRPr="00E72ABD">
        <w:rPr>
          <w:lang w:val="en-US" w:eastAsia="en-GB"/>
        </w:rPr>
        <w:tab/>
        <w:t>Real or perceived threats posed by protected groups, populations or individuals against interests or objectives of perpetrators, including perceptions of disloyalty to a cause;</w:t>
      </w:r>
    </w:p>
    <w:p w14:paraId="7C022210" w14:textId="77777777" w:rsidR="00A73C08" w:rsidRPr="00E72ABD" w:rsidRDefault="00A73C08" w:rsidP="00A73C08">
      <w:pPr>
        <w:pStyle w:val="SingleTxtG"/>
        <w:rPr>
          <w:lang w:val="en-US" w:eastAsia="en-GB"/>
        </w:rPr>
      </w:pPr>
      <w:r w:rsidRPr="00E72ABD">
        <w:rPr>
          <w:lang w:eastAsia="en-GB"/>
        </w:rPr>
        <w:tab/>
      </w:r>
      <w:r w:rsidRPr="00E72ABD">
        <w:rPr>
          <w:lang w:val="en-US" w:eastAsia="en-GB"/>
        </w:rPr>
        <w:t>(f)</w:t>
      </w:r>
      <w:r w:rsidRPr="00E72ABD">
        <w:rPr>
          <w:lang w:val="en-US" w:eastAsia="en-GB"/>
        </w:rPr>
        <w:tab/>
        <w:t>Real or perceived membership of or support for armed opposition groups by protected groups, populations or individuals;</w:t>
      </w:r>
    </w:p>
    <w:p w14:paraId="78E1AAE2" w14:textId="77777777" w:rsidR="00A73C08" w:rsidRPr="00E72ABD" w:rsidRDefault="00A73C08" w:rsidP="00A73C08">
      <w:pPr>
        <w:pStyle w:val="SingleTxtG"/>
        <w:rPr>
          <w:lang w:val="en-US" w:eastAsia="en-GB"/>
        </w:rPr>
      </w:pPr>
      <w:r w:rsidRPr="00E72ABD">
        <w:rPr>
          <w:lang w:eastAsia="en-GB"/>
        </w:rPr>
        <w:tab/>
      </w:r>
      <w:r w:rsidRPr="00E72ABD">
        <w:rPr>
          <w:lang w:val="en-US" w:eastAsia="en-GB"/>
        </w:rPr>
        <w:t>(g)</w:t>
      </w:r>
      <w:r w:rsidRPr="00E72ABD">
        <w:rPr>
          <w:lang w:val="en-US" w:eastAsia="en-GB"/>
        </w:rPr>
        <w:tab/>
        <w:t>Ideologies based on the supremacy of a certain identity or on extremist versions of identity;</w:t>
      </w:r>
    </w:p>
    <w:p w14:paraId="04658FAC" w14:textId="77777777" w:rsidR="00A73C08" w:rsidRPr="00E72ABD" w:rsidRDefault="00A73C08" w:rsidP="00A73C08">
      <w:pPr>
        <w:pStyle w:val="SingleTxtG"/>
        <w:rPr>
          <w:lang w:val="en-US" w:eastAsia="en-GB"/>
        </w:rPr>
      </w:pPr>
      <w:r w:rsidRPr="00E72ABD">
        <w:rPr>
          <w:lang w:eastAsia="en-GB"/>
        </w:rPr>
        <w:tab/>
      </w:r>
      <w:r w:rsidRPr="00E72ABD">
        <w:rPr>
          <w:lang w:val="en-US" w:eastAsia="en-GB"/>
        </w:rPr>
        <w:t>(h)</w:t>
      </w:r>
      <w:r w:rsidRPr="00E72ABD">
        <w:rPr>
          <w:lang w:val="en-US" w:eastAsia="en-GB"/>
        </w:rPr>
        <w:tab/>
        <w:t>Politicization of past grievances, tensions or impunity;</w:t>
      </w:r>
    </w:p>
    <w:p w14:paraId="47457ECB" w14:textId="77777777" w:rsidR="00A73C08" w:rsidRPr="00E72ABD" w:rsidRDefault="00A73C08" w:rsidP="00A73C08">
      <w:pPr>
        <w:pStyle w:val="SingleTxtG"/>
        <w:rPr>
          <w:lang w:val="en-US" w:eastAsia="en-GB"/>
        </w:rPr>
      </w:pPr>
      <w:r w:rsidRPr="00E72ABD">
        <w:rPr>
          <w:lang w:eastAsia="en-GB"/>
        </w:rPr>
        <w:tab/>
      </w:r>
      <w:r w:rsidRPr="00E72ABD">
        <w:rPr>
          <w:lang w:val="en-US" w:eastAsia="en-GB"/>
        </w:rPr>
        <w:t>(i)</w:t>
      </w:r>
      <w:r w:rsidRPr="00E72ABD">
        <w:rPr>
          <w:lang w:val="en-US" w:eastAsia="en-GB"/>
        </w:rPr>
        <w:tab/>
        <w:t>Social trauma caused by past incidents of violence not adequately addressed and that produced feelings of loss, displacement, injustice and a possible desire for revenge.</w:t>
      </w:r>
    </w:p>
    <w:p w14:paraId="501E0C42" w14:textId="77777777" w:rsidR="00A73C08" w:rsidRPr="00E72ABD" w:rsidRDefault="00A73C08" w:rsidP="00A73C08">
      <w:pPr>
        <w:pStyle w:val="H23G"/>
        <w:rPr>
          <w:lang w:val="en-US" w:eastAsia="en-GB"/>
        </w:rPr>
      </w:pPr>
      <w:r w:rsidRPr="00E72ABD">
        <w:rPr>
          <w:lang w:val="en-US" w:eastAsia="en-GB"/>
        </w:rPr>
        <w:tab/>
      </w:r>
      <w:r w:rsidRPr="00E72ABD">
        <w:rPr>
          <w:lang w:val="en-US" w:eastAsia="en-GB"/>
        </w:rPr>
        <w:tab/>
        <w:t>Risk factor 5. Capacity to commit atrocity crimes</w:t>
      </w:r>
    </w:p>
    <w:p w14:paraId="2BC92A00" w14:textId="77777777" w:rsidR="00A73C08" w:rsidRPr="00E72ABD" w:rsidRDefault="00A73C08" w:rsidP="00A73C08">
      <w:pPr>
        <w:pStyle w:val="SingleTxtG"/>
        <w:rPr>
          <w:lang w:val="en-US" w:eastAsia="en-GB"/>
        </w:rPr>
      </w:pPr>
      <w:r w:rsidRPr="00E72ABD">
        <w:rPr>
          <w:lang w:eastAsia="en-GB"/>
        </w:rPr>
        <w:tab/>
      </w:r>
      <w:r w:rsidRPr="00E72ABD">
        <w:rPr>
          <w:lang w:val="en-US" w:eastAsia="en-GB"/>
        </w:rPr>
        <w:t>(a)</w:t>
      </w:r>
      <w:r w:rsidRPr="00E72ABD">
        <w:rPr>
          <w:lang w:val="en-US" w:eastAsia="en-GB"/>
        </w:rPr>
        <w:tab/>
        <w:t>Availability of personnel and of arms and ammunition, or of the financial resources, public or private, for their procurement;</w:t>
      </w:r>
    </w:p>
    <w:p w14:paraId="5F5D1CA9" w14:textId="77777777" w:rsidR="00A73C08" w:rsidRPr="00E72ABD" w:rsidRDefault="00A73C08" w:rsidP="00A73C08">
      <w:pPr>
        <w:pStyle w:val="SingleTxtG"/>
        <w:rPr>
          <w:lang w:val="en-US" w:eastAsia="en-GB"/>
        </w:rPr>
      </w:pPr>
      <w:r w:rsidRPr="00E72ABD">
        <w:rPr>
          <w:lang w:eastAsia="en-GB"/>
        </w:rPr>
        <w:tab/>
      </w:r>
      <w:r w:rsidRPr="00E72ABD">
        <w:rPr>
          <w:lang w:val="en-US" w:eastAsia="en-GB"/>
        </w:rPr>
        <w:t>(b)</w:t>
      </w:r>
      <w:r w:rsidRPr="00E72ABD">
        <w:rPr>
          <w:lang w:val="en-US" w:eastAsia="en-GB"/>
        </w:rPr>
        <w:tab/>
        <w:t>Capacity to transport and deploy personnel and to transport and distribute arms and ammunition;</w:t>
      </w:r>
    </w:p>
    <w:p w14:paraId="1221775C" w14:textId="77777777" w:rsidR="00A73C08" w:rsidRPr="00E72ABD" w:rsidRDefault="00A73C08" w:rsidP="00A73C08">
      <w:pPr>
        <w:pStyle w:val="SingleTxtG"/>
        <w:rPr>
          <w:lang w:val="en-US" w:eastAsia="en-GB"/>
        </w:rPr>
      </w:pPr>
      <w:r w:rsidRPr="00E72ABD">
        <w:rPr>
          <w:lang w:eastAsia="en-GB"/>
        </w:rPr>
        <w:tab/>
      </w:r>
      <w:r w:rsidRPr="00E72ABD">
        <w:rPr>
          <w:lang w:val="en-US" w:eastAsia="en-GB"/>
        </w:rPr>
        <w:t>(c)</w:t>
      </w:r>
      <w:r w:rsidRPr="00E72ABD">
        <w:rPr>
          <w:lang w:val="en-US" w:eastAsia="en-GB"/>
        </w:rPr>
        <w:tab/>
        <w:t>Capacity to encourage or recruit large numbers of supporters from populations or groups, and availability of the means to mobilize them;</w:t>
      </w:r>
    </w:p>
    <w:p w14:paraId="28ECB07B" w14:textId="77777777" w:rsidR="00A73C08" w:rsidRPr="00E72ABD" w:rsidRDefault="00A73C08" w:rsidP="00A73C08">
      <w:pPr>
        <w:pStyle w:val="SingleTxtG"/>
        <w:rPr>
          <w:lang w:val="en-US" w:eastAsia="en-GB"/>
        </w:rPr>
      </w:pPr>
      <w:r w:rsidRPr="00E72ABD">
        <w:rPr>
          <w:lang w:eastAsia="en-GB"/>
        </w:rPr>
        <w:tab/>
      </w:r>
      <w:r w:rsidRPr="00E72ABD">
        <w:rPr>
          <w:lang w:val="en-US" w:eastAsia="en-GB"/>
        </w:rPr>
        <w:t>(d)</w:t>
      </w:r>
      <w:r w:rsidRPr="00E72ABD">
        <w:rPr>
          <w:lang w:val="en-US" w:eastAsia="en-GB"/>
        </w:rPr>
        <w:tab/>
        <w:t>Strong culture of obedience to authority and group conformity;</w:t>
      </w:r>
    </w:p>
    <w:p w14:paraId="1B3B3108" w14:textId="77777777" w:rsidR="00A73C08" w:rsidRPr="00E72ABD" w:rsidRDefault="00A73C08" w:rsidP="00A73C08">
      <w:pPr>
        <w:pStyle w:val="SingleTxtG"/>
        <w:rPr>
          <w:lang w:val="en-US" w:eastAsia="en-GB"/>
        </w:rPr>
      </w:pPr>
      <w:r w:rsidRPr="00E72ABD">
        <w:rPr>
          <w:lang w:eastAsia="en-GB"/>
        </w:rPr>
        <w:tab/>
      </w:r>
      <w:r w:rsidRPr="00E72ABD">
        <w:rPr>
          <w:lang w:val="en-US" w:eastAsia="en-GB"/>
        </w:rPr>
        <w:t>(e)</w:t>
      </w:r>
      <w:r w:rsidRPr="00E72ABD">
        <w:rPr>
          <w:lang w:val="en-US" w:eastAsia="en-GB"/>
        </w:rPr>
        <w:tab/>
        <w:t>Presence of or links with other armed forces or with non-State armed groups;</w:t>
      </w:r>
    </w:p>
    <w:p w14:paraId="48D4CB49" w14:textId="77777777" w:rsidR="00A73C08" w:rsidRPr="00E72ABD" w:rsidRDefault="00A73C08" w:rsidP="00A73C08">
      <w:pPr>
        <w:pStyle w:val="SingleTxtG"/>
        <w:rPr>
          <w:lang w:val="en-US" w:eastAsia="en-GB"/>
        </w:rPr>
      </w:pPr>
      <w:r w:rsidRPr="00E72ABD">
        <w:rPr>
          <w:lang w:eastAsia="en-GB"/>
        </w:rPr>
        <w:tab/>
      </w:r>
      <w:r w:rsidRPr="00E72ABD">
        <w:rPr>
          <w:lang w:val="en-US" w:eastAsia="en-GB"/>
        </w:rPr>
        <w:t>(f)</w:t>
      </w:r>
      <w:r w:rsidRPr="00E72ABD">
        <w:rPr>
          <w:lang w:val="en-US" w:eastAsia="en-GB"/>
        </w:rPr>
        <w:tab/>
        <w:t>Presence of commercial actors or companies that can serve as enablers by providing goods, services, or other forms of practical or technical support that help to sustain perpetrators;</w:t>
      </w:r>
    </w:p>
    <w:p w14:paraId="26877F05" w14:textId="77777777" w:rsidR="00A73C08" w:rsidRPr="00E72ABD" w:rsidRDefault="00A73C08" w:rsidP="00A73C08">
      <w:pPr>
        <w:pStyle w:val="SingleTxtG"/>
        <w:rPr>
          <w:lang w:val="en-US" w:eastAsia="en-GB"/>
        </w:rPr>
      </w:pPr>
      <w:r w:rsidRPr="00E72ABD">
        <w:rPr>
          <w:lang w:eastAsia="en-GB"/>
        </w:rPr>
        <w:tab/>
      </w:r>
      <w:r w:rsidRPr="00E72ABD">
        <w:rPr>
          <w:lang w:val="en-US" w:eastAsia="en-GB"/>
        </w:rPr>
        <w:t>(g)</w:t>
      </w:r>
      <w:r w:rsidRPr="00E72ABD">
        <w:rPr>
          <w:lang w:val="en-US" w:eastAsia="en-GB"/>
        </w:rPr>
        <w:tab/>
        <w:t>Financial, political or other support of influential or wealthy national actors;</w:t>
      </w:r>
    </w:p>
    <w:p w14:paraId="3720B1F1" w14:textId="77777777" w:rsidR="00A73C08" w:rsidRPr="00E72ABD" w:rsidRDefault="00A73C08" w:rsidP="00A73C08">
      <w:pPr>
        <w:pStyle w:val="SingleTxtG"/>
        <w:rPr>
          <w:lang w:val="en-US" w:eastAsia="en-GB"/>
        </w:rPr>
      </w:pPr>
      <w:r w:rsidRPr="00E72ABD">
        <w:rPr>
          <w:lang w:eastAsia="en-GB"/>
        </w:rPr>
        <w:tab/>
      </w:r>
      <w:r w:rsidRPr="00E72ABD">
        <w:rPr>
          <w:lang w:val="en-US" w:eastAsia="en-GB"/>
        </w:rPr>
        <w:t>(h)</w:t>
      </w:r>
      <w:r w:rsidRPr="00E72ABD">
        <w:rPr>
          <w:lang w:val="en-US" w:eastAsia="en-GB"/>
        </w:rPr>
        <w:tab/>
        <w:t>Armed, financial, logistic, training or other support of external actors, including States, international or regional organizations, private companies, or others.</w:t>
      </w:r>
    </w:p>
    <w:p w14:paraId="7C573D31" w14:textId="77777777" w:rsidR="00A73C08" w:rsidRPr="00E72ABD" w:rsidRDefault="00A73C08" w:rsidP="00A73C08">
      <w:pPr>
        <w:pStyle w:val="H23G"/>
        <w:rPr>
          <w:lang w:val="en-US" w:eastAsia="en-GB"/>
        </w:rPr>
      </w:pPr>
      <w:r w:rsidRPr="00E72ABD">
        <w:rPr>
          <w:lang w:val="en-US" w:eastAsia="en-GB"/>
        </w:rPr>
        <w:tab/>
      </w:r>
      <w:r w:rsidRPr="00E72ABD">
        <w:rPr>
          <w:lang w:val="en-US" w:eastAsia="en-GB"/>
        </w:rPr>
        <w:tab/>
        <w:t>Risk factor 6. Absence of mitigating factors</w:t>
      </w:r>
    </w:p>
    <w:p w14:paraId="39D38E6A" w14:textId="77777777" w:rsidR="00A73C08" w:rsidRPr="00E72ABD" w:rsidRDefault="00A73C08" w:rsidP="00A73C08">
      <w:pPr>
        <w:pStyle w:val="SingleTxtG"/>
        <w:rPr>
          <w:lang w:val="en-US" w:eastAsia="en-GB"/>
        </w:rPr>
      </w:pPr>
      <w:r w:rsidRPr="00E72ABD">
        <w:rPr>
          <w:lang w:eastAsia="en-GB"/>
        </w:rPr>
        <w:tab/>
      </w:r>
      <w:r w:rsidRPr="00E72ABD">
        <w:rPr>
          <w:lang w:val="en-US" w:eastAsia="en-GB"/>
        </w:rPr>
        <w:t>(a)</w:t>
      </w:r>
      <w:r w:rsidRPr="00E72ABD">
        <w:rPr>
          <w:lang w:val="en-US" w:eastAsia="en-GB"/>
        </w:rPr>
        <w:tab/>
        <w:t>Limited or lack of empowerment processes, resources, allies or other elements that could contribute to the ability of protected groups, populations or individuals to protect themselves;</w:t>
      </w:r>
    </w:p>
    <w:p w14:paraId="040B5E0A" w14:textId="77777777" w:rsidR="00A73C08" w:rsidRPr="00E72ABD" w:rsidRDefault="00A73C08" w:rsidP="00A73C08">
      <w:pPr>
        <w:pStyle w:val="SingleTxtG"/>
        <w:rPr>
          <w:lang w:val="en-US" w:eastAsia="en-GB"/>
        </w:rPr>
      </w:pPr>
      <w:r w:rsidRPr="00E72ABD">
        <w:rPr>
          <w:lang w:eastAsia="en-GB"/>
        </w:rPr>
        <w:tab/>
      </w:r>
      <w:r w:rsidRPr="00E72ABD">
        <w:rPr>
          <w:lang w:val="en-US" w:eastAsia="en-GB"/>
        </w:rPr>
        <w:t>(b)</w:t>
      </w:r>
      <w:r w:rsidRPr="00E72ABD">
        <w:rPr>
          <w:lang w:val="en-US" w:eastAsia="en-GB"/>
        </w:rPr>
        <w:tab/>
        <w:t>Lack of a strong, organized and representative national civil society and of a free, diverse and independent national media;</w:t>
      </w:r>
    </w:p>
    <w:p w14:paraId="43235DD4" w14:textId="77777777" w:rsidR="00A73C08" w:rsidRPr="00E72ABD" w:rsidRDefault="00A73C08" w:rsidP="00A73C08">
      <w:pPr>
        <w:pStyle w:val="SingleTxtG"/>
        <w:rPr>
          <w:lang w:val="en-US" w:eastAsia="en-GB"/>
        </w:rPr>
      </w:pPr>
      <w:r w:rsidRPr="00E72ABD">
        <w:rPr>
          <w:lang w:eastAsia="en-GB"/>
        </w:rPr>
        <w:tab/>
      </w:r>
      <w:r w:rsidRPr="00E72ABD">
        <w:rPr>
          <w:lang w:val="en-US" w:eastAsia="en-GB"/>
        </w:rPr>
        <w:t>(c)</w:t>
      </w:r>
      <w:r w:rsidRPr="00E72ABD">
        <w:rPr>
          <w:lang w:val="en-US" w:eastAsia="en-GB"/>
        </w:rPr>
        <w:tab/>
        <w:t>Lack of interest and focus of international civil society actors or of access to international media;</w:t>
      </w:r>
    </w:p>
    <w:p w14:paraId="3ED370B2" w14:textId="4EC189AE" w:rsidR="00A73C08" w:rsidRPr="00E72ABD" w:rsidRDefault="00A73C08" w:rsidP="00A73C08">
      <w:pPr>
        <w:pStyle w:val="SingleTxtG"/>
        <w:rPr>
          <w:lang w:val="en-US" w:eastAsia="en-GB"/>
        </w:rPr>
      </w:pPr>
      <w:r w:rsidRPr="00E72ABD">
        <w:rPr>
          <w:lang w:eastAsia="en-GB"/>
        </w:rPr>
        <w:tab/>
      </w:r>
      <w:r w:rsidRPr="00E72ABD">
        <w:rPr>
          <w:lang w:val="en-US" w:eastAsia="en-GB"/>
        </w:rPr>
        <w:t>(d)</w:t>
      </w:r>
      <w:r w:rsidRPr="00E72ABD">
        <w:rPr>
          <w:lang w:val="en-US" w:eastAsia="en-GB"/>
        </w:rPr>
        <w:tab/>
        <w:t>Lack of, or limited presence of, the United Nations, international non-</w:t>
      </w:r>
      <w:r w:rsidR="007F5B89">
        <w:rPr>
          <w:lang w:val="en-US" w:eastAsia="en-GB"/>
        </w:rPr>
        <w:t>Government</w:t>
      </w:r>
      <w:r w:rsidRPr="00E72ABD">
        <w:rPr>
          <w:lang w:val="en-US" w:eastAsia="en-GB"/>
        </w:rPr>
        <w:t>al organizations or other international or regional actors in the country and with access to populations;</w:t>
      </w:r>
    </w:p>
    <w:p w14:paraId="50973EF8" w14:textId="77777777" w:rsidR="00A73C08" w:rsidRPr="00E72ABD" w:rsidRDefault="00A73C08" w:rsidP="00A73C08">
      <w:pPr>
        <w:pStyle w:val="SingleTxtG"/>
        <w:rPr>
          <w:lang w:val="en-US" w:eastAsia="en-GB"/>
        </w:rPr>
      </w:pPr>
      <w:r w:rsidRPr="00E72ABD">
        <w:rPr>
          <w:lang w:eastAsia="en-GB"/>
        </w:rPr>
        <w:tab/>
      </w:r>
      <w:r w:rsidRPr="00E72ABD">
        <w:rPr>
          <w:lang w:val="en-US" w:eastAsia="en-GB"/>
        </w:rPr>
        <w:t>(e)</w:t>
      </w:r>
      <w:r w:rsidRPr="00E72ABD">
        <w:rPr>
          <w:lang w:val="en-US" w:eastAsia="en-GB"/>
        </w:rPr>
        <w:tab/>
        <w:t>Lack of membership and effective participation of the State in international or regional organizations that establish mandatory membership obligations;</w:t>
      </w:r>
    </w:p>
    <w:p w14:paraId="555795EC" w14:textId="77777777" w:rsidR="00A73C08" w:rsidRPr="00E72ABD" w:rsidRDefault="00A73C08" w:rsidP="00A73C08">
      <w:pPr>
        <w:pStyle w:val="SingleTxtG"/>
        <w:rPr>
          <w:lang w:val="en-US" w:eastAsia="en-GB"/>
        </w:rPr>
      </w:pPr>
      <w:r w:rsidRPr="00E72ABD">
        <w:rPr>
          <w:lang w:eastAsia="en-GB"/>
        </w:rPr>
        <w:tab/>
      </w:r>
      <w:r w:rsidRPr="00E72ABD">
        <w:rPr>
          <w:lang w:val="en-US" w:eastAsia="en-GB"/>
        </w:rPr>
        <w:t>(f)</w:t>
      </w:r>
      <w:r w:rsidRPr="00E72ABD">
        <w:rPr>
          <w:lang w:val="en-US" w:eastAsia="en-GB"/>
        </w:rPr>
        <w:tab/>
        <w:t>Lack of exposure, openness or establishment of political or economic relations with other States or organizations;</w:t>
      </w:r>
    </w:p>
    <w:p w14:paraId="1C1F52CE" w14:textId="77777777" w:rsidR="00A73C08" w:rsidRPr="00E72ABD" w:rsidRDefault="00A73C08" w:rsidP="00A73C08">
      <w:pPr>
        <w:pStyle w:val="SingleTxtG"/>
        <w:rPr>
          <w:lang w:val="en-US" w:eastAsia="en-GB"/>
        </w:rPr>
      </w:pPr>
      <w:r w:rsidRPr="00E72ABD">
        <w:rPr>
          <w:lang w:eastAsia="en-GB"/>
        </w:rPr>
        <w:tab/>
      </w:r>
      <w:r w:rsidRPr="00E72ABD">
        <w:rPr>
          <w:lang w:val="en-US" w:eastAsia="en-GB"/>
        </w:rPr>
        <w:t>(g)</w:t>
      </w:r>
      <w:r w:rsidRPr="00E72ABD">
        <w:rPr>
          <w:lang w:val="en-US" w:eastAsia="en-GB"/>
        </w:rPr>
        <w:tab/>
        <w:t>Limited cooperation of the State with international and regional human rights mechanisms;</w:t>
      </w:r>
    </w:p>
    <w:p w14:paraId="78B87B07" w14:textId="77777777" w:rsidR="00A73C08" w:rsidRPr="00E72ABD" w:rsidRDefault="00A73C08" w:rsidP="00A73C08">
      <w:pPr>
        <w:pStyle w:val="SingleTxtG"/>
        <w:rPr>
          <w:lang w:val="en-US" w:eastAsia="en-GB"/>
        </w:rPr>
      </w:pPr>
      <w:r w:rsidRPr="00E72ABD">
        <w:rPr>
          <w:lang w:eastAsia="en-GB"/>
        </w:rPr>
        <w:tab/>
      </w:r>
      <w:r w:rsidRPr="00E72ABD">
        <w:rPr>
          <w:lang w:val="en-US" w:eastAsia="en-GB"/>
        </w:rPr>
        <w:t>(h)</w:t>
      </w:r>
      <w:r w:rsidRPr="00E72ABD">
        <w:rPr>
          <w:lang w:val="en-US" w:eastAsia="en-GB"/>
        </w:rPr>
        <w:tab/>
        <w:t>Lack of incentives or willingness of parties to a conflict to engage in dialogue, make concessions and receive support from the international community;</w:t>
      </w:r>
    </w:p>
    <w:p w14:paraId="5854C5B6" w14:textId="77777777" w:rsidR="00A73C08" w:rsidRPr="00E72ABD" w:rsidRDefault="00A73C08" w:rsidP="00A73C08">
      <w:pPr>
        <w:pStyle w:val="SingleTxtG"/>
        <w:rPr>
          <w:lang w:val="en-US" w:eastAsia="en-GB"/>
        </w:rPr>
      </w:pPr>
      <w:r w:rsidRPr="00E72ABD">
        <w:rPr>
          <w:lang w:eastAsia="en-GB"/>
        </w:rPr>
        <w:tab/>
      </w:r>
      <w:r w:rsidRPr="00E72ABD">
        <w:rPr>
          <w:lang w:val="en-US" w:eastAsia="en-GB"/>
        </w:rPr>
        <w:t>(i)</w:t>
      </w:r>
      <w:r w:rsidRPr="00E72ABD">
        <w:rPr>
          <w:lang w:val="en-US" w:eastAsia="en-GB"/>
        </w:rPr>
        <w:tab/>
        <w:t>Lack of interest, reluctance or failure of States Members of the United Nations or members of international or regional organizations to support a State to exercise its responsibility to protect populations from atrocity crimes, or to take action when the State manifestly fails that responsibility;</w:t>
      </w:r>
    </w:p>
    <w:p w14:paraId="4731AEDC" w14:textId="77777777" w:rsidR="00A73C08" w:rsidRPr="00E72ABD" w:rsidRDefault="00A73C08" w:rsidP="00A73C08">
      <w:pPr>
        <w:pStyle w:val="SingleTxtG"/>
        <w:rPr>
          <w:lang w:val="en-US" w:eastAsia="en-GB"/>
        </w:rPr>
      </w:pPr>
      <w:r w:rsidRPr="00E72ABD">
        <w:rPr>
          <w:lang w:eastAsia="en-GB"/>
        </w:rPr>
        <w:tab/>
      </w:r>
      <w:r w:rsidRPr="00E72ABD">
        <w:rPr>
          <w:lang w:val="en-US" w:eastAsia="en-GB"/>
        </w:rPr>
        <w:t>(j)</w:t>
      </w:r>
      <w:r w:rsidRPr="00E72ABD">
        <w:rPr>
          <w:lang w:val="en-US" w:eastAsia="en-GB"/>
        </w:rPr>
        <w:tab/>
        <w:t>Lack of support by neighbouring States to protect populations at risk and in need of refuge, including by closure of borders, forced repatriation or aid restriction;</w:t>
      </w:r>
    </w:p>
    <w:p w14:paraId="580DFC4C" w14:textId="77777777" w:rsidR="00A73C08" w:rsidRPr="00E72ABD" w:rsidRDefault="00A73C08" w:rsidP="00A73C08">
      <w:pPr>
        <w:pStyle w:val="SingleTxtG"/>
        <w:rPr>
          <w:lang w:val="en-US" w:eastAsia="en-GB"/>
        </w:rPr>
      </w:pPr>
      <w:r w:rsidRPr="00E72ABD">
        <w:rPr>
          <w:lang w:eastAsia="en-GB"/>
        </w:rPr>
        <w:tab/>
      </w:r>
      <w:r w:rsidRPr="00E72ABD">
        <w:rPr>
          <w:lang w:val="en-US" w:eastAsia="en-GB"/>
        </w:rPr>
        <w:t>(k)</w:t>
      </w:r>
      <w:r w:rsidRPr="00E72ABD">
        <w:rPr>
          <w:lang w:val="en-US" w:eastAsia="en-GB"/>
        </w:rPr>
        <w:tab/>
        <w:t>Lack of an early warning mechanism relevant to the prevention of atrocity crimes.</w:t>
      </w:r>
    </w:p>
    <w:p w14:paraId="2B94C94D" w14:textId="77777777" w:rsidR="00A73C08" w:rsidRPr="00E72ABD" w:rsidRDefault="00A73C08" w:rsidP="00A73C08">
      <w:pPr>
        <w:pStyle w:val="H23G"/>
        <w:rPr>
          <w:lang w:val="en-US" w:eastAsia="en-GB"/>
        </w:rPr>
      </w:pPr>
      <w:r w:rsidRPr="00E72ABD">
        <w:rPr>
          <w:lang w:val="en-US" w:eastAsia="en-GB"/>
        </w:rPr>
        <w:tab/>
      </w:r>
      <w:r w:rsidRPr="00E72ABD">
        <w:rPr>
          <w:lang w:val="en-US" w:eastAsia="en-GB"/>
        </w:rPr>
        <w:tab/>
        <w:t>Risk factor 7. Enabling circumstances or preparatory action</w:t>
      </w:r>
    </w:p>
    <w:p w14:paraId="05FB52B6" w14:textId="77777777" w:rsidR="00A73C08" w:rsidRPr="00E72ABD" w:rsidRDefault="00A73C08" w:rsidP="00A73C08">
      <w:pPr>
        <w:pStyle w:val="SingleTxtG"/>
        <w:rPr>
          <w:lang w:val="en-US" w:eastAsia="en-GB"/>
        </w:rPr>
      </w:pPr>
      <w:r w:rsidRPr="00E72ABD">
        <w:rPr>
          <w:lang w:eastAsia="en-GB"/>
        </w:rPr>
        <w:tab/>
      </w:r>
      <w:r w:rsidRPr="00E72ABD">
        <w:rPr>
          <w:lang w:val="en-US" w:eastAsia="en-GB"/>
        </w:rPr>
        <w:t>(a)</w:t>
      </w:r>
      <w:r w:rsidRPr="00E72ABD">
        <w:rPr>
          <w:lang w:val="en-US" w:eastAsia="en-GB"/>
        </w:rPr>
        <w:tab/>
        <w:t>Imposition of emergency laws or extraordinary security measures that erode fundamental rights;</w:t>
      </w:r>
    </w:p>
    <w:p w14:paraId="15A0CB63" w14:textId="77777777" w:rsidR="00A73C08" w:rsidRPr="00E72ABD" w:rsidRDefault="00A73C08" w:rsidP="00A73C08">
      <w:pPr>
        <w:pStyle w:val="SingleTxtG"/>
        <w:rPr>
          <w:lang w:val="en-US" w:eastAsia="en-GB"/>
        </w:rPr>
      </w:pPr>
      <w:r w:rsidRPr="00E72ABD">
        <w:rPr>
          <w:lang w:eastAsia="en-GB"/>
        </w:rPr>
        <w:tab/>
      </w:r>
      <w:r w:rsidRPr="00E72ABD">
        <w:rPr>
          <w:lang w:val="en-US" w:eastAsia="en-GB"/>
        </w:rPr>
        <w:t>(b)</w:t>
      </w:r>
      <w:r w:rsidRPr="00E72ABD">
        <w:rPr>
          <w:lang w:val="en-US" w:eastAsia="en-GB"/>
        </w:rPr>
        <w:tab/>
        <w:t>Suspension of or interference with vital State institutions, or measures that result in changes in their composition or balance of power, particularly if this results in the exclusion or lack of representation of protected groups;</w:t>
      </w:r>
    </w:p>
    <w:p w14:paraId="54A76271" w14:textId="77777777" w:rsidR="00A73C08" w:rsidRPr="00E72ABD" w:rsidRDefault="00A73C08" w:rsidP="00A73C08">
      <w:pPr>
        <w:pStyle w:val="SingleTxtG"/>
        <w:rPr>
          <w:lang w:val="en-US" w:eastAsia="en-GB"/>
        </w:rPr>
      </w:pPr>
      <w:r w:rsidRPr="00E72ABD">
        <w:rPr>
          <w:lang w:eastAsia="en-GB"/>
        </w:rPr>
        <w:tab/>
      </w:r>
      <w:r w:rsidRPr="00E72ABD">
        <w:rPr>
          <w:lang w:val="en-US" w:eastAsia="en-GB"/>
        </w:rPr>
        <w:t>(c)</w:t>
      </w:r>
      <w:r w:rsidRPr="00E72ABD">
        <w:rPr>
          <w:lang w:val="en-US" w:eastAsia="en-GB"/>
        </w:rPr>
        <w:tab/>
        <w:t>Strengthening of the security apparatus, its reorganization or mobilization against protected groups, populations or individuals;</w:t>
      </w:r>
    </w:p>
    <w:p w14:paraId="34785BD9" w14:textId="77777777" w:rsidR="00A73C08" w:rsidRPr="00E72ABD" w:rsidRDefault="00A73C08" w:rsidP="00A73C08">
      <w:pPr>
        <w:pStyle w:val="SingleTxtG"/>
        <w:rPr>
          <w:lang w:val="en-US" w:eastAsia="en-GB"/>
        </w:rPr>
      </w:pPr>
      <w:r w:rsidRPr="00E72ABD">
        <w:rPr>
          <w:lang w:eastAsia="en-GB"/>
        </w:rPr>
        <w:tab/>
      </w:r>
      <w:r w:rsidRPr="00E72ABD">
        <w:rPr>
          <w:lang w:val="en-US" w:eastAsia="en-GB"/>
        </w:rPr>
        <w:t>(d)</w:t>
      </w:r>
      <w:r w:rsidRPr="00E72ABD">
        <w:rPr>
          <w:lang w:val="en-US" w:eastAsia="en-GB"/>
        </w:rPr>
        <w:tab/>
        <w:t>Acquisition of large quantities of arms and ammunition or of other objects that could be used to inflict harm;</w:t>
      </w:r>
    </w:p>
    <w:p w14:paraId="086862A9" w14:textId="77777777" w:rsidR="00A73C08" w:rsidRPr="00E72ABD" w:rsidRDefault="00A73C08" w:rsidP="00A73C08">
      <w:pPr>
        <w:pStyle w:val="SingleTxtG"/>
        <w:rPr>
          <w:lang w:val="en-US" w:eastAsia="en-GB"/>
        </w:rPr>
      </w:pPr>
      <w:r w:rsidRPr="00E72ABD">
        <w:rPr>
          <w:lang w:eastAsia="en-GB"/>
        </w:rPr>
        <w:tab/>
      </w:r>
      <w:r w:rsidRPr="00E72ABD">
        <w:rPr>
          <w:lang w:val="en-US" w:eastAsia="en-GB"/>
        </w:rPr>
        <w:t>(e)</w:t>
      </w:r>
      <w:r w:rsidRPr="00E72ABD">
        <w:rPr>
          <w:lang w:val="en-US" w:eastAsia="en-GB"/>
        </w:rPr>
        <w:tab/>
        <w:t>Creation of, or increased support to, militia or paramilitary groups;</w:t>
      </w:r>
    </w:p>
    <w:p w14:paraId="279DA42B" w14:textId="77777777" w:rsidR="00A73C08" w:rsidRPr="00E72ABD" w:rsidRDefault="00A73C08" w:rsidP="00A73C08">
      <w:pPr>
        <w:pStyle w:val="SingleTxtG"/>
        <w:rPr>
          <w:lang w:val="en-US" w:eastAsia="en-GB"/>
        </w:rPr>
      </w:pPr>
      <w:r w:rsidRPr="00E72ABD">
        <w:rPr>
          <w:lang w:eastAsia="en-GB"/>
        </w:rPr>
        <w:tab/>
      </w:r>
      <w:r w:rsidRPr="00E72ABD">
        <w:rPr>
          <w:lang w:val="en-US" w:eastAsia="en-GB"/>
        </w:rPr>
        <w:t>(f)</w:t>
      </w:r>
      <w:r w:rsidRPr="00E72ABD">
        <w:rPr>
          <w:lang w:val="en-US" w:eastAsia="en-GB"/>
        </w:rPr>
        <w:tab/>
        <w:t>Imposition of strict control on the use of communication channels, or banning access to them;</w:t>
      </w:r>
    </w:p>
    <w:p w14:paraId="65AFD6FE" w14:textId="2CF65FDB" w:rsidR="00A73C08" w:rsidRPr="00E72ABD" w:rsidRDefault="00A73C08" w:rsidP="00A73C08">
      <w:pPr>
        <w:pStyle w:val="SingleTxtG"/>
        <w:rPr>
          <w:lang w:val="en-US" w:eastAsia="en-GB"/>
        </w:rPr>
      </w:pPr>
      <w:r w:rsidRPr="00E72ABD">
        <w:rPr>
          <w:lang w:eastAsia="en-GB"/>
        </w:rPr>
        <w:tab/>
      </w:r>
      <w:r w:rsidRPr="00E72ABD">
        <w:rPr>
          <w:lang w:val="en-US" w:eastAsia="en-GB"/>
        </w:rPr>
        <w:t>(g)</w:t>
      </w:r>
      <w:r w:rsidRPr="00E72ABD">
        <w:rPr>
          <w:lang w:val="en-US" w:eastAsia="en-GB"/>
        </w:rPr>
        <w:tab/>
        <w:t>Expulsion or refusal to allow the presence of non-</w:t>
      </w:r>
      <w:r w:rsidR="007F5B89">
        <w:rPr>
          <w:lang w:val="en-US" w:eastAsia="en-GB"/>
        </w:rPr>
        <w:t>Government</w:t>
      </w:r>
      <w:r w:rsidRPr="00E72ABD">
        <w:rPr>
          <w:lang w:val="en-US" w:eastAsia="en-GB"/>
        </w:rPr>
        <w:t>al organizations, international organizations, media or other relevant actors, or imposition of severe restrictions on their services and movements;</w:t>
      </w:r>
    </w:p>
    <w:p w14:paraId="25D7B228" w14:textId="77777777" w:rsidR="00A73C08" w:rsidRPr="00E72ABD" w:rsidRDefault="00A73C08" w:rsidP="00A73C08">
      <w:pPr>
        <w:pStyle w:val="SingleTxtG"/>
        <w:rPr>
          <w:lang w:val="en-US" w:eastAsia="en-GB"/>
        </w:rPr>
      </w:pPr>
      <w:r w:rsidRPr="00E72ABD">
        <w:rPr>
          <w:lang w:eastAsia="en-GB"/>
        </w:rPr>
        <w:tab/>
      </w:r>
      <w:r w:rsidRPr="00E72ABD">
        <w:rPr>
          <w:lang w:val="en-US" w:eastAsia="en-GB"/>
        </w:rPr>
        <w:t>(h)</w:t>
      </w:r>
      <w:r w:rsidRPr="00E72ABD">
        <w:rPr>
          <w:lang w:val="en-US" w:eastAsia="en-GB"/>
        </w:rPr>
        <w:tab/>
        <w:t>Increased violations of the right to life, physical integrity, liberty or security of members of protected groups, populations or individuals, or recent adoption of measures or legislation that affect or deliberately discriminate against them;</w:t>
      </w:r>
    </w:p>
    <w:p w14:paraId="5EDA60E0" w14:textId="77777777" w:rsidR="00A73C08" w:rsidRPr="00E72ABD" w:rsidRDefault="00A73C08" w:rsidP="00A73C08">
      <w:pPr>
        <w:pStyle w:val="SingleTxtG"/>
        <w:rPr>
          <w:lang w:val="en-US" w:eastAsia="en-GB"/>
        </w:rPr>
      </w:pPr>
      <w:r w:rsidRPr="00E72ABD">
        <w:rPr>
          <w:lang w:eastAsia="en-GB"/>
        </w:rPr>
        <w:tab/>
      </w:r>
      <w:r w:rsidRPr="00E72ABD">
        <w:rPr>
          <w:lang w:val="en-US" w:eastAsia="en-GB"/>
        </w:rPr>
        <w:t>(i)</w:t>
      </w:r>
      <w:r w:rsidRPr="00E72ABD">
        <w:rPr>
          <w:lang w:val="en-US" w:eastAsia="en-GB"/>
        </w:rPr>
        <w:tab/>
        <w:t>Increased serious acts of violence against women and children, or creation of conditions that facilitate acts of sexual violence against those groups, including as a tool of terror;</w:t>
      </w:r>
    </w:p>
    <w:p w14:paraId="7AC361FD" w14:textId="77777777" w:rsidR="00A73C08" w:rsidRPr="00E72ABD" w:rsidRDefault="00A73C08" w:rsidP="00A73C08">
      <w:pPr>
        <w:pStyle w:val="SingleTxtG"/>
        <w:rPr>
          <w:lang w:val="en-US" w:eastAsia="en-GB"/>
        </w:rPr>
      </w:pPr>
      <w:r w:rsidRPr="00E72ABD">
        <w:rPr>
          <w:lang w:eastAsia="en-GB"/>
        </w:rPr>
        <w:tab/>
      </w:r>
      <w:r w:rsidRPr="00E72ABD">
        <w:rPr>
          <w:lang w:val="en-US" w:eastAsia="en-GB"/>
        </w:rPr>
        <w:t>(j)</w:t>
      </w:r>
      <w:r w:rsidRPr="00E72ABD">
        <w:rPr>
          <w:lang w:val="en-US" w:eastAsia="en-GB"/>
        </w:rPr>
        <w:tab/>
        <w:t>Imposition of life-threatening living conditions or the deportation, seizure, collection, segregation, evacuation or forced displacement or transfer of protected groups, populations or individuals to camps, rural areas, ghettos or other assigned locations;</w:t>
      </w:r>
    </w:p>
    <w:p w14:paraId="34932757" w14:textId="77777777" w:rsidR="00A73C08" w:rsidRPr="00E72ABD" w:rsidRDefault="00A73C08" w:rsidP="00A73C08">
      <w:pPr>
        <w:pStyle w:val="SingleTxtG"/>
        <w:rPr>
          <w:lang w:val="en-US" w:eastAsia="en-GB"/>
        </w:rPr>
      </w:pPr>
      <w:r w:rsidRPr="00E72ABD">
        <w:rPr>
          <w:lang w:eastAsia="en-GB"/>
        </w:rPr>
        <w:tab/>
      </w:r>
      <w:r w:rsidRPr="00E72ABD">
        <w:rPr>
          <w:lang w:val="en-US" w:eastAsia="en-GB"/>
        </w:rPr>
        <w:t>(k)</w:t>
      </w:r>
      <w:r w:rsidRPr="00E72ABD">
        <w:rPr>
          <w:lang w:val="en-US" w:eastAsia="en-GB"/>
        </w:rPr>
        <w:tab/>
        <w:t>Destruction or plundering of essential goods or installations for protected groups, populations or individuals, or of property related to cultural and religious identity;</w:t>
      </w:r>
    </w:p>
    <w:p w14:paraId="0C58F4F9" w14:textId="77777777" w:rsidR="00A73C08" w:rsidRPr="00E72ABD" w:rsidRDefault="00A73C08" w:rsidP="00A73C08">
      <w:pPr>
        <w:pStyle w:val="SingleTxtG"/>
        <w:rPr>
          <w:lang w:val="en-US" w:eastAsia="en-GB"/>
        </w:rPr>
      </w:pPr>
      <w:r w:rsidRPr="00E72ABD">
        <w:rPr>
          <w:lang w:eastAsia="en-GB"/>
        </w:rPr>
        <w:tab/>
      </w:r>
      <w:r w:rsidRPr="00E72ABD">
        <w:rPr>
          <w:lang w:val="en-US" w:eastAsia="en-GB"/>
        </w:rPr>
        <w:t>(l)</w:t>
      </w:r>
      <w:r w:rsidRPr="00E72ABD">
        <w:rPr>
          <w:lang w:val="en-US" w:eastAsia="en-GB"/>
        </w:rPr>
        <w:tab/>
        <w:t>Marking of people or their property based on affiliation to a group;</w:t>
      </w:r>
    </w:p>
    <w:p w14:paraId="4BBAA90E" w14:textId="77777777" w:rsidR="00A73C08" w:rsidRPr="00E72ABD" w:rsidRDefault="00A73C08" w:rsidP="00A73C08">
      <w:pPr>
        <w:pStyle w:val="SingleTxtG"/>
        <w:rPr>
          <w:lang w:val="en-US" w:eastAsia="en-GB"/>
        </w:rPr>
      </w:pPr>
      <w:r w:rsidRPr="00E72ABD">
        <w:rPr>
          <w:lang w:eastAsia="en-GB"/>
        </w:rPr>
        <w:tab/>
      </w:r>
      <w:r w:rsidRPr="00E72ABD">
        <w:rPr>
          <w:lang w:val="en-US" w:eastAsia="en-GB"/>
        </w:rPr>
        <w:t>(m)</w:t>
      </w:r>
      <w:r w:rsidRPr="00E72ABD">
        <w:rPr>
          <w:lang w:val="en-US" w:eastAsia="en-GB"/>
        </w:rPr>
        <w:tab/>
        <w:t>Increased politicization of identity, past events or motives to engage in violence;</w:t>
      </w:r>
    </w:p>
    <w:p w14:paraId="52F46B8E" w14:textId="77777777" w:rsidR="00A73C08" w:rsidRPr="00E72ABD" w:rsidRDefault="00A73C08" w:rsidP="00A73C08">
      <w:pPr>
        <w:pStyle w:val="SingleTxtG"/>
        <w:rPr>
          <w:lang w:val="en-US" w:eastAsia="en-GB"/>
        </w:rPr>
      </w:pPr>
      <w:r w:rsidRPr="00E72ABD">
        <w:rPr>
          <w:lang w:eastAsia="en-GB"/>
        </w:rPr>
        <w:tab/>
      </w:r>
      <w:r w:rsidRPr="00E72ABD">
        <w:rPr>
          <w:lang w:val="en-US" w:eastAsia="en-GB"/>
        </w:rPr>
        <w:t>(n)</w:t>
      </w:r>
      <w:r w:rsidRPr="00E72ABD">
        <w:rPr>
          <w:lang w:val="en-US" w:eastAsia="en-GB"/>
        </w:rPr>
        <w:tab/>
        <w:t>Increased inflammatory rhetoric, propaganda campaigns or hate speech targeting protected groups, populations or individuals.</w:t>
      </w:r>
    </w:p>
    <w:p w14:paraId="05CF0EE4" w14:textId="77777777" w:rsidR="00A73C08" w:rsidRPr="00E72ABD" w:rsidRDefault="00A73C08" w:rsidP="00A73C08">
      <w:pPr>
        <w:pStyle w:val="H23G"/>
        <w:rPr>
          <w:lang w:val="en-US" w:eastAsia="en-GB"/>
        </w:rPr>
      </w:pPr>
      <w:r w:rsidRPr="00E72ABD">
        <w:rPr>
          <w:lang w:val="en-US" w:eastAsia="en-GB"/>
        </w:rPr>
        <w:tab/>
      </w:r>
      <w:r w:rsidRPr="00E72ABD">
        <w:rPr>
          <w:lang w:val="en-US" w:eastAsia="en-GB"/>
        </w:rPr>
        <w:tab/>
        <w:t>Risk factor 8. Triggering factors</w:t>
      </w:r>
    </w:p>
    <w:p w14:paraId="737AEE4F" w14:textId="77777777" w:rsidR="00A73C08" w:rsidRPr="00E72ABD" w:rsidRDefault="00A73C08" w:rsidP="00A73C08">
      <w:pPr>
        <w:pStyle w:val="SingleTxtG"/>
        <w:rPr>
          <w:lang w:val="en-US" w:eastAsia="en-GB"/>
        </w:rPr>
      </w:pPr>
      <w:r w:rsidRPr="00E72ABD">
        <w:rPr>
          <w:lang w:eastAsia="en-GB"/>
        </w:rPr>
        <w:tab/>
      </w:r>
      <w:r w:rsidRPr="00E72ABD">
        <w:rPr>
          <w:lang w:val="en-US" w:eastAsia="en-GB"/>
        </w:rPr>
        <w:t>(a)</w:t>
      </w:r>
      <w:r w:rsidRPr="00E72ABD">
        <w:rPr>
          <w:lang w:val="en-US" w:eastAsia="en-GB"/>
        </w:rPr>
        <w:tab/>
        <w:t>Sudden deployment of security forces or commencement of armed hostilities;</w:t>
      </w:r>
    </w:p>
    <w:p w14:paraId="4E15305A" w14:textId="77777777" w:rsidR="00A73C08" w:rsidRPr="00E72ABD" w:rsidRDefault="00A73C08" w:rsidP="00A73C08">
      <w:pPr>
        <w:pStyle w:val="SingleTxtG"/>
        <w:rPr>
          <w:lang w:val="en-US" w:eastAsia="en-GB"/>
        </w:rPr>
      </w:pPr>
      <w:r w:rsidRPr="00E72ABD">
        <w:rPr>
          <w:lang w:eastAsia="en-GB"/>
        </w:rPr>
        <w:tab/>
      </w:r>
      <w:r w:rsidRPr="00E72ABD">
        <w:rPr>
          <w:lang w:val="en-US" w:eastAsia="en-GB"/>
        </w:rPr>
        <w:t>(b)</w:t>
      </w:r>
      <w:r w:rsidRPr="00E72ABD">
        <w:rPr>
          <w:lang w:val="en-US" w:eastAsia="en-GB"/>
        </w:rPr>
        <w:tab/>
        <w:t>Spillover of armed conflicts or serious tensions in neighbouring countries;</w:t>
      </w:r>
    </w:p>
    <w:p w14:paraId="1DECDD04" w14:textId="77777777" w:rsidR="00A73C08" w:rsidRPr="00E72ABD" w:rsidRDefault="00A73C08" w:rsidP="00A73C08">
      <w:pPr>
        <w:pStyle w:val="SingleTxtG"/>
        <w:rPr>
          <w:lang w:val="en-US" w:eastAsia="en-GB"/>
        </w:rPr>
      </w:pPr>
      <w:r w:rsidRPr="00E72ABD">
        <w:rPr>
          <w:lang w:eastAsia="en-GB"/>
        </w:rPr>
        <w:tab/>
      </w:r>
      <w:r w:rsidRPr="00E72ABD">
        <w:rPr>
          <w:lang w:val="en-US" w:eastAsia="en-GB"/>
        </w:rPr>
        <w:t>(c)</w:t>
      </w:r>
      <w:r w:rsidRPr="00E72ABD">
        <w:rPr>
          <w:lang w:val="en-US" w:eastAsia="en-GB"/>
        </w:rPr>
        <w:tab/>
        <w:t>Measures taken by the international community perceived as threatening to a State’s sovereignty;</w:t>
      </w:r>
    </w:p>
    <w:p w14:paraId="22E7A0A5" w14:textId="77777777" w:rsidR="00A73C08" w:rsidRPr="00E72ABD" w:rsidRDefault="00A73C08" w:rsidP="00A73C08">
      <w:pPr>
        <w:pStyle w:val="SingleTxtG"/>
        <w:rPr>
          <w:lang w:val="en-US" w:eastAsia="en-GB"/>
        </w:rPr>
      </w:pPr>
      <w:r w:rsidRPr="00E72ABD">
        <w:rPr>
          <w:lang w:eastAsia="en-GB"/>
        </w:rPr>
        <w:tab/>
      </w:r>
      <w:r w:rsidRPr="00E72ABD">
        <w:rPr>
          <w:lang w:val="en-US" w:eastAsia="en-GB"/>
        </w:rPr>
        <w:t>(d)</w:t>
      </w:r>
      <w:r w:rsidRPr="00E72ABD">
        <w:rPr>
          <w:lang w:val="en-US" w:eastAsia="en-GB"/>
        </w:rPr>
        <w:tab/>
        <w:t>Abrupt or irregular regime changes, transfers of power, or changes in political power of groups;</w:t>
      </w:r>
    </w:p>
    <w:p w14:paraId="2B0AAAA4" w14:textId="77777777" w:rsidR="00A73C08" w:rsidRPr="00E72ABD" w:rsidRDefault="00A73C08" w:rsidP="00A73C08">
      <w:pPr>
        <w:pStyle w:val="SingleTxtG"/>
        <w:rPr>
          <w:lang w:val="en-US" w:eastAsia="en-GB"/>
        </w:rPr>
      </w:pPr>
      <w:r w:rsidRPr="00E72ABD">
        <w:rPr>
          <w:lang w:eastAsia="en-GB"/>
        </w:rPr>
        <w:tab/>
      </w:r>
      <w:r w:rsidRPr="00E72ABD">
        <w:rPr>
          <w:lang w:val="en-US" w:eastAsia="en-GB"/>
        </w:rPr>
        <w:t>(e)</w:t>
      </w:r>
      <w:r w:rsidRPr="00E72ABD">
        <w:rPr>
          <w:lang w:val="en-US" w:eastAsia="en-GB"/>
        </w:rPr>
        <w:tab/>
        <w:t>Attacks against the life, physical integrity, liberty or security of leaders, prominent individuals or members of opposing groups; other serious acts of violence, such as terrorist attacks;</w:t>
      </w:r>
    </w:p>
    <w:p w14:paraId="5341211B" w14:textId="77777777" w:rsidR="00A73C08" w:rsidRPr="00E72ABD" w:rsidRDefault="00A73C08" w:rsidP="00A73C08">
      <w:pPr>
        <w:pStyle w:val="SingleTxtG"/>
        <w:rPr>
          <w:lang w:val="en-US" w:eastAsia="en-GB"/>
        </w:rPr>
      </w:pPr>
      <w:r w:rsidRPr="00E72ABD">
        <w:rPr>
          <w:lang w:eastAsia="en-GB"/>
        </w:rPr>
        <w:tab/>
      </w:r>
      <w:r w:rsidRPr="00E72ABD">
        <w:rPr>
          <w:lang w:val="en-US" w:eastAsia="en-GB"/>
        </w:rPr>
        <w:t>(f)</w:t>
      </w:r>
      <w:r w:rsidRPr="00E72ABD">
        <w:rPr>
          <w:lang w:val="en-US" w:eastAsia="en-GB"/>
        </w:rPr>
        <w:tab/>
        <w:t>Religious events or real or perceived acts of religious intolerance or disrespect, including outside national borders;</w:t>
      </w:r>
    </w:p>
    <w:p w14:paraId="049FE640" w14:textId="77777777" w:rsidR="00A73C08" w:rsidRPr="00E72ABD" w:rsidRDefault="00A73C08" w:rsidP="00A73C08">
      <w:pPr>
        <w:pStyle w:val="SingleTxtG"/>
        <w:rPr>
          <w:lang w:val="en-US" w:eastAsia="en-GB"/>
        </w:rPr>
      </w:pPr>
      <w:r w:rsidRPr="00E72ABD">
        <w:rPr>
          <w:lang w:eastAsia="en-GB"/>
        </w:rPr>
        <w:tab/>
      </w:r>
      <w:r w:rsidRPr="00E72ABD">
        <w:rPr>
          <w:lang w:val="en-US" w:eastAsia="en-GB"/>
        </w:rPr>
        <w:t>(</w:t>
      </w:r>
      <w:proofErr w:type="gramStart"/>
      <w:r w:rsidRPr="00E72ABD">
        <w:rPr>
          <w:lang w:val="en-US" w:eastAsia="en-GB"/>
        </w:rPr>
        <w:t>g</w:t>
      </w:r>
      <w:proofErr w:type="gramEnd"/>
      <w:r w:rsidRPr="00E72ABD">
        <w:rPr>
          <w:lang w:val="en-US" w:eastAsia="en-GB"/>
        </w:rPr>
        <w:t>)</w:t>
      </w:r>
      <w:r w:rsidRPr="00E72ABD">
        <w:rPr>
          <w:lang w:val="en-US" w:eastAsia="en-GB"/>
        </w:rPr>
        <w:tab/>
        <w:t>Acts of incitement or hate propaganda targeting particular groups or individuals;</w:t>
      </w:r>
    </w:p>
    <w:p w14:paraId="0550C5C6" w14:textId="77777777" w:rsidR="00A73C08" w:rsidRPr="00E72ABD" w:rsidRDefault="00A73C08" w:rsidP="00A73C08">
      <w:pPr>
        <w:pStyle w:val="SingleTxtG"/>
        <w:rPr>
          <w:lang w:val="en-US" w:eastAsia="en-GB"/>
        </w:rPr>
      </w:pPr>
      <w:r w:rsidRPr="00E72ABD">
        <w:rPr>
          <w:lang w:eastAsia="en-GB"/>
        </w:rPr>
        <w:tab/>
      </w:r>
      <w:r w:rsidRPr="00E72ABD">
        <w:rPr>
          <w:lang w:val="en-US" w:eastAsia="en-GB"/>
        </w:rPr>
        <w:t>(h)</w:t>
      </w:r>
      <w:r w:rsidRPr="00E72ABD">
        <w:rPr>
          <w:lang w:val="en-US" w:eastAsia="en-GB"/>
        </w:rPr>
        <w:tab/>
        <w:t>Census, elections, pivotal activities related to those processes, or measures that destabilize them;</w:t>
      </w:r>
    </w:p>
    <w:p w14:paraId="06BFE9F7" w14:textId="77777777" w:rsidR="00A73C08" w:rsidRPr="00E72ABD" w:rsidRDefault="00A73C08" w:rsidP="00A73C08">
      <w:pPr>
        <w:pStyle w:val="SingleTxtG"/>
        <w:rPr>
          <w:lang w:val="en-US" w:eastAsia="en-GB"/>
        </w:rPr>
      </w:pPr>
      <w:r w:rsidRPr="00E72ABD">
        <w:rPr>
          <w:lang w:eastAsia="en-GB"/>
        </w:rPr>
        <w:tab/>
      </w:r>
      <w:r w:rsidRPr="00E72ABD">
        <w:rPr>
          <w:lang w:val="en-US" w:eastAsia="en-GB"/>
        </w:rPr>
        <w:t>(i)</w:t>
      </w:r>
      <w:r w:rsidRPr="00E72ABD">
        <w:rPr>
          <w:lang w:val="en-US" w:eastAsia="en-GB"/>
        </w:rPr>
        <w:tab/>
        <w:t>Sudden changes that affect the economy or the workforce, including as a result of financial crises, natural disasters or epidemics;</w:t>
      </w:r>
    </w:p>
    <w:p w14:paraId="0B7F6294" w14:textId="77777777" w:rsidR="00A73C08" w:rsidRPr="00E72ABD" w:rsidRDefault="00A73C08" w:rsidP="00A73C08">
      <w:pPr>
        <w:pStyle w:val="SingleTxtG"/>
        <w:rPr>
          <w:lang w:val="en-US" w:eastAsia="en-GB"/>
        </w:rPr>
      </w:pPr>
      <w:r w:rsidRPr="00E72ABD">
        <w:rPr>
          <w:lang w:eastAsia="en-GB"/>
        </w:rPr>
        <w:tab/>
      </w:r>
      <w:r w:rsidRPr="00E72ABD">
        <w:rPr>
          <w:lang w:val="en-US" w:eastAsia="en-GB"/>
        </w:rPr>
        <w:t>(j)</w:t>
      </w:r>
      <w:r w:rsidRPr="00E72ABD">
        <w:rPr>
          <w:lang w:val="en-US" w:eastAsia="en-GB"/>
        </w:rPr>
        <w:tab/>
        <w:t>Discovery of natural resources or launching of exploitation projects that have a serious impact on the livelihoods and sustainability of groups or civilian populations;</w:t>
      </w:r>
    </w:p>
    <w:p w14:paraId="30F583EF" w14:textId="77777777" w:rsidR="00A73C08" w:rsidRPr="00E72ABD" w:rsidRDefault="00A73C08" w:rsidP="00A73C08">
      <w:pPr>
        <w:pStyle w:val="SingleTxtG"/>
        <w:rPr>
          <w:lang w:val="en-US" w:eastAsia="en-GB"/>
        </w:rPr>
      </w:pPr>
      <w:r w:rsidRPr="00E72ABD">
        <w:rPr>
          <w:lang w:eastAsia="en-GB"/>
        </w:rPr>
        <w:tab/>
      </w:r>
      <w:r w:rsidRPr="00E72ABD">
        <w:rPr>
          <w:lang w:val="en-US" w:eastAsia="en-GB"/>
        </w:rPr>
        <w:t>(k)</w:t>
      </w:r>
      <w:r w:rsidRPr="00E72ABD">
        <w:rPr>
          <w:lang w:val="en-US" w:eastAsia="en-GB"/>
        </w:rPr>
        <w:tab/>
        <w:t>Commemoration events of past crimes or of traumatic or historical episodes that can exacerbate tensions between groups, including the glorification of perpetrators of atrocities;</w:t>
      </w:r>
    </w:p>
    <w:p w14:paraId="55D33C31" w14:textId="77777777" w:rsidR="00A73C08" w:rsidRPr="00895AA1" w:rsidRDefault="00A73C08" w:rsidP="00A73C08">
      <w:pPr>
        <w:pStyle w:val="SingleTxtG"/>
        <w:rPr>
          <w:lang w:val="en-US" w:eastAsia="en-GB"/>
        </w:rPr>
      </w:pPr>
      <w:r w:rsidRPr="00E72ABD">
        <w:rPr>
          <w:lang w:eastAsia="en-GB"/>
        </w:rPr>
        <w:tab/>
      </w:r>
      <w:r w:rsidRPr="00E72ABD">
        <w:rPr>
          <w:lang w:val="en-US" w:eastAsia="en-GB"/>
        </w:rPr>
        <w:t>(l)</w:t>
      </w:r>
      <w:r w:rsidRPr="00E72ABD">
        <w:rPr>
          <w:lang w:val="en-US" w:eastAsia="en-GB"/>
        </w:rPr>
        <w:tab/>
        <w:t>Acts related to accountability processes, particularly when perceived as unfair.</w:t>
      </w:r>
    </w:p>
    <w:p w14:paraId="4BD6A5BE" w14:textId="77777777" w:rsidR="00A73C08" w:rsidRPr="00DA6526" w:rsidRDefault="00A73C08" w:rsidP="00A73C08">
      <w:pPr>
        <w:pStyle w:val="SingleTxtG"/>
        <w:spacing w:before="240" w:after="0"/>
        <w:jc w:val="center"/>
        <w:rPr>
          <w:u w:val="single"/>
          <w:lang w:val="en-US" w:eastAsia="en-GB"/>
        </w:rPr>
      </w:pPr>
      <w:r>
        <w:rPr>
          <w:u w:val="single"/>
          <w:lang w:val="en-US" w:eastAsia="en-GB"/>
        </w:rPr>
        <w:tab/>
      </w:r>
      <w:r>
        <w:rPr>
          <w:u w:val="single"/>
          <w:lang w:val="en-US" w:eastAsia="en-GB"/>
        </w:rPr>
        <w:tab/>
      </w:r>
      <w:r>
        <w:rPr>
          <w:u w:val="single"/>
          <w:lang w:val="en-US" w:eastAsia="en-GB"/>
        </w:rPr>
        <w:tab/>
      </w:r>
      <w:r>
        <w:rPr>
          <w:u w:val="single"/>
          <w:lang w:val="en-US" w:eastAsia="en-GB"/>
        </w:rPr>
        <w:tab/>
      </w:r>
    </w:p>
    <w:p w14:paraId="691FA2CF" w14:textId="77777777" w:rsidR="00E90412" w:rsidRPr="001A1D29" w:rsidRDefault="00E90412" w:rsidP="001A1D29">
      <w:pPr>
        <w:pStyle w:val="SingleTxtG"/>
        <w:spacing w:before="240" w:after="0"/>
        <w:jc w:val="left"/>
        <w:rPr>
          <w:color w:val="7030A0"/>
          <w:u w:val="single"/>
          <w:lang w:val="en-US" w:eastAsia="en-GB"/>
        </w:rPr>
      </w:pPr>
    </w:p>
    <w:sectPr w:rsidR="00E90412" w:rsidRPr="001A1D29" w:rsidSect="003977EC">
      <w:headerReference w:type="even" r:id="rId12"/>
      <w:headerReference w:type="default" r:id="rId13"/>
      <w:footerReference w:type="even" r:id="rId14"/>
      <w:footerReference w:type="default" r:id="rId15"/>
      <w:footnotePr>
        <w:numStart w:val="87"/>
      </w:footnotePr>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3626D" w14:textId="77777777" w:rsidR="00662CCF" w:rsidRDefault="00662CCF"/>
  </w:endnote>
  <w:endnote w:type="continuationSeparator" w:id="0">
    <w:p w14:paraId="522CE6DC" w14:textId="77777777" w:rsidR="00662CCF" w:rsidRDefault="00662CCF"/>
  </w:endnote>
  <w:endnote w:type="continuationNotice" w:id="1">
    <w:p w14:paraId="0E257F08" w14:textId="77777777" w:rsidR="00662CCF" w:rsidRDefault="00662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6CAB0" w14:textId="3C09B598" w:rsidR="00662CCF" w:rsidRPr="003977EC" w:rsidRDefault="00662CCF" w:rsidP="003977EC">
    <w:pPr>
      <w:pStyle w:val="Footer"/>
      <w:tabs>
        <w:tab w:val="right" w:pos="9638"/>
      </w:tabs>
      <w:rPr>
        <w:sz w:val="18"/>
      </w:rPr>
    </w:pPr>
    <w:r w:rsidRPr="003977EC">
      <w:rPr>
        <w:b/>
        <w:sz w:val="18"/>
      </w:rPr>
      <w:fldChar w:fldCharType="begin"/>
    </w:r>
    <w:r w:rsidRPr="003977EC">
      <w:rPr>
        <w:b/>
        <w:sz w:val="18"/>
      </w:rPr>
      <w:instrText xml:space="preserve"> PAGE  \* MERGEFORMAT </w:instrText>
    </w:r>
    <w:r w:rsidRPr="003977EC">
      <w:rPr>
        <w:b/>
        <w:sz w:val="18"/>
      </w:rPr>
      <w:fldChar w:fldCharType="separate"/>
    </w:r>
    <w:r w:rsidR="000513BB">
      <w:rPr>
        <w:b/>
        <w:noProof/>
        <w:sz w:val="18"/>
      </w:rPr>
      <w:t>6</w:t>
    </w:r>
    <w:r w:rsidRPr="003977E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4DA58" w14:textId="17638AF0" w:rsidR="00662CCF" w:rsidRPr="003977EC" w:rsidRDefault="00662CCF" w:rsidP="003977EC">
    <w:pPr>
      <w:pStyle w:val="Footer"/>
      <w:tabs>
        <w:tab w:val="right" w:pos="9638"/>
      </w:tabs>
      <w:rPr>
        <w:b/>
        <w:sz w:val="18"/>
      </w:rPr>
    </w:pPr>
    <w:r>
      <w:tab/>
    </w:r>
    <w:r w:rsidRPr="003977EC">
      <w:rPr>
        <w:b/>
        <w:sz w:val="18"/>
      </w:rPr>
      <w:fldChar w:fldCharType="begin"/>
    </w:r>
    <w:r w:rsidRPr="003977EC">
      <w:rPr>
        <w:b/>
        <w:sz w:val="18"/>
      </w:rPr>
      <w:instrText xml:space="preserve"> PAGE  \* MERGEFORMAT </w:instrText>
    </w:r>
    <w:r w:rsidRPr="003977EC">
      <w:rPr>
        <w:b/>
        <w:sz w:val="18"/>
      </w:rPr>
      <w:fldChar w:fldCharType="separate"/>
    </w:r>
    <w:r w:rsidR="000513BB">
      <w:rPr>
        <w:b/>
        <w:noProof/>
        <w:sz w:val="18"/>
      </w:rPr>
      <w:t>7</w:t>
    </w:r>
    <w:r w:rsidRPr="003977EC">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3A6ED" w14:textId="77777777" w:rsidR="00662CCF" w:rsidRPr="00D27D5E" w:rsidRDefault="00662CCF" w:rsidP="00D27D5E">
      <w:pPr>
        <w:tabs>
          <w:tab w:val="right" w:pos="2155"/>
        </w:tabs>
        <w:spacing w:after="80"/>
        <w:ind w:left="680"/>
        <w:rPr>
          <w:u w:val="single"/>
        </w:rPr>
      </w:pPr>
      <w:r>
        <w:rPr>
          <w:u w:val="single"/>
        </w:rPr>
        <w:tab/>
      </w:r>
    </w:p>
  </w:footnote>
  <w:footnote w:type="continuationSeparator" w:id="0">
    <w:p w14:paraId="54CEF33D" w14:textId="77777777" w:rsidR="00662CCF" w:rsidRPr="00D72E7E" w:rsidRDefault="00662CCF" w:rsidP="00D72E7E">
      <w:pPr>
        <w:tabs>
          <w:tab w:val="right" w:pos="2155"/>
        </w:tabs>
        <w:spacing w:after="80"/>
        <w:ind w:left="680"/>
        <w:rPr>
          <w:u w:val="single"/>
        </w:rPr>
      </w:pPr>
      <w:r w:rsidRPr="00D72E7E">
        <w:rPr>
          <w:u w:val="single"/>
        </w:rPr>
        <w:tab/>
      </w:r>
    </w:p>
  </w:footnote>
  <w:footnote w:type="continuationNotice" w:id="1">
    <w:p w14:paraId="652B8571" w14:textId="77777777" w:rsidR="00662CCF" w:rsidRDefault="00662CCF"/>
  </w:footnote>
  <w:footnote w:id="2">
    <w:p w14:paraId="211A1DF4" w14:textId="79E4A3E8" w:rsidR="00662CCF" w:rsidRPr="00322452" w:rsidRDefault="00662CCF" w:rsidP="001C1BE3">
      <w:pPr>
        <w:pStyle w:val="FootnoteText"/>
      </w:pPr>
      <w:r w:rsidRPr="00E33B20">
        <w:rPr>
          <w:lang w:val="fr-CH"/>
        </w:rPr>
        <w:tab/>
      </w:r>
      <w:r w:rsidRPr="00322452">
        <w:rPr>
          <w:sz w:val="20"/>
        </w:rPr>
        <w:t>*</w:t>
      </w:r>
      <w:r w:rsidRPr="00322452">
        <w:tab/>
      </w:r>
      <w:r>
        <w:t xml:space="preserve">Original in French available at </w:t>
      </w:r>
      <w:r w:rsidRPr="00801145">
        <w:t>https://ohchr.org/Documents/HRBodies/HRCouncil/CoIBurundi/ReportHRC42/A_HRC_42_CRP2_EN.pdf</w:t>
      </w:r>
    </w:p>
  </w:footnote>
  <w:footnote w:id="3">
    <w:p w14:paraId="07CC2D4C" w14:textId="78FB14A9" w:rsidR="00662CCF" w:rsidRPr="00517039" w:rsidRDefault="00662CCF" w:rsidP="00FE110C">
      <w:pPr>
        <w:pStyle w:val="FootnoteText"/>
        <w:ind w:left="1021" w:firstLine="0"/>
      </w:pPr>
      <w:r w:rsidRPr="00DA5BF2">
        <w:rPr>
          <w:rStyle w:val="FootnoteReference"/>
          <w:lang w:val="fr-CH"/>
        </w:rPr>
        <w:footnoteRef/>
      </w:r>
      <w:r w:rsidRPr="00517039">
        <w:tab/>
        <w:t>The Commission has extended the period for the violations of the right to life and cases of sexual violence – which are the most difficult to document – to include those committed since 1</w:t>
      </w:r>
      <w:r>
        <w:t> </w:t>
      </w:r>
      <w:r w:rsidRPr="00517039">
        <w:t>January 2018.</w:t>
      </w:r>
    </w:p>
  </w:footnote>
  <w:footnote w:id="4">
    <w:p w14:paraId="2295C725" w14:textId="77777777" w:rsidR="00662CCF" w:rsidRPr="00AB7DE0" w:rsidRDefault="00662CCF" w:rsidP="00E95A7B">
      <w:pPr>
        <w:pStyle w:val="FootnoteText"/>
      </w:pPr>
      <w:r w:rsidRPr="00517039">
        <w:tab/>
      </w:r>
      <w:r w:rsidRPr="00DA5BF2">
        <w:rPr>
          <w:rStyle w:val="FootnoteReference"/>
          <w:lang w:val="fr-CH"/>
        </w:rPr>
        <w:footnoteRef/>
      </w:r>
      <w:r w:rsidRPr="00AB7DE0">
        <w:tab/>
        <w:t>JI-114.</w:t>
      </w:r>
    </w:p>
  </w:footnote>
  <w:footnote w:id="5">
    <w:p w14:paraId="67058E1C" w14:textId="77777777" w:rsidR="00662CCF" w:rsidRPr="00AB7DE0" w:rsidRDefault="00662CCF" w:rsidP="00E95A7B">
      <w:pPr>
        <w:pStyle w:val="FootnoteText"/>
      </w:pPr>
      <w:r w:rsidRPr="00AB7DE0">
        <w:tab/>
      </w:r>
      <w:r w:rsidRPr="00DA5BF2">
        <w:rPr>
          <w:rStyle w:val="FootnoteReference"/>
          <w:lang w:val="fr-CH"/>
        </w:rPr>
        <w:footnoteRef/>
      </w:r>
      <w:r w:rsidRPr="00AB7DE0">
        <w:tab/>
        <w:t>TI-219.</w:t>
      </w:r>
    </w:p>
  </w:footnote>
  <w:footnote w:id="6">
    <w:p w14:paraId="5B29C6CD" w14:textId="4672DE34" w:rsidR="00662CCF" w:rsidRPr="00950C46" w:rsidRDefault="00662CCF" w:rsidP="00E95A7B">
      <w:pPr>
        <w:pStyle w:val="FootnoteText"/>
      </w:pPr>
      <w:r w:rsidRPr="00AB7DE0">
        <w:tab/>
      </w:r>
      <w:r w:rsidRPr="00DA5BF2">
        <w:rPr>
          <w:rStyle w:val="FootnoteReference"/>
          <w:lang w:val="fr-CH"/>
        </w:rPr>
        <w:footnoteRef/>
      </w:r>
      <w:r w:rsidRPr="00950C46">
        <w:tab/>
        <w:t xml:space="preserve">See A/HRC/39/CRP.1, </w:t>
      </w:r>
      <w:r>
        <w:t>para.</w:t>
      </w:r>
      <w:r w:rsidRPr="00950C46">
        <w:t xml:space="preserve"> 462-579 and </w:t>
      </w:r>
      <w:r>
        <w:t>para.</w:t>
      </w:r>
      <w:r w:rsidRPr="00950C46">
        <w:t xml:space="preserve"> 296-314 of this report.</w:t>
      </w:r>
    </w:p>
  </w:footnote>
  <w:footnote w:id="7">
    <w:p w14:paraId="0017BF95" w14:textId="77777777" w:rsidR="00662CCF" w:rsidRPr="00950C46" w:rsidRDefault="00662CCF" w:rsidP="00E95A7B">
      <w:pPr>
        <w:pStyle w:val="FootnoteText"/>
      </w:pPr>
      <w:r w:rsidRPr="00950C46">
        <w:tab/>
      </w:r>
      <w:r w:rsidRPr="00DA5BF2">
        <w:rPr>
          <w:rStyle w:val="FootnoteReference"/>
        </w:rPr>
        <w:footnoteRef/>
      </w:r>
      <w:r w:rsidRPr="00950C46">
        <w:tab/>
        <w:t xml:space="preserve">See A/HRC/36/54 </w:t>
      </w:r>
      <w:r>
        <w:t>and</w:t>
      </w:r>
      <w:r w:rsidRPr="00950C46">
        <w:t xml:space="preserve"> A/HRC/39/63.</w:t>
      </w:r>
    </w:p>
  </w:footnote>
  <w:footnote w:id="8">
    <w:p w14:paraId="2A1D58D9" w14:textId="1006B23B" w:rsidR="00662CCF" w:rsidRPr="00FA62A8" w:rsidRDefault="00662CCF" w:rsidP="00E95A7B">
      <w:pPr>
        <w:pStyle w:val="FootnoteText"/>
      </w:pPr>
      <w:r w:rsidRPr="00950C46">
        <w:tab/>
      </w:r>
      <w:r w:rsidRPr="00DA5BF2">
        <w:rPr>
          <w:rStyle w:val="FootnoteReference"/>
        </w:rPr>
        <w:footnoteRef/>
      </w:r>
      <w:r w:rsidRPr="00950C46">
        <w:tab/>
        <w:t xml:space="preserve">Under article 268 of the Constitution promulgated on 7 June 2018, SNR is no longer part of the defence and security forces. </w:t>
      </w:r>
      <w:r w:rsidRPr="00FA62A8">
        <w:t>The Commission is aware that some agents of the national police are seconded to SNR and that some pe</w:t>
      </w:r>
      <w:r>
        <w:t xml:space="preserve">rsons work for </w:t>
      </w:r>
      <w:r w:rsidRPr="00FA62A8">
        <w:t>SNR</w:t>
      </w:r>
      <w:r>
        <w:t xml:space="preserve"> in an unofficial capacity. The identification of the main perpetrators</w:t>
      </w:r>
      <w:r w:rsidRPr="00FA62A8">
        <w:t xml:space="preserve"> </w:t>
      </w:r>
      <w:r>
        <w:t xml:space="preserve">of human rights violations in this report was based on their status </w:t>
      </w:r>
      <w:r w:rsidRPr="00FA62A8">
        <w:t xml:space="preserve">(police or SNR) as they appeared or identified themselves to the victims or the witnesses and not based on their contractual relationship or </w:t>
      </w:r>
      <w:r>
        <w:t>their official duty.</w:t>
      </w:r>
    </w:p>
  </w:footnote>
  <w:footnote w:id="9">
    <w:p w14:paraId="42E64CA2" w14:textId="77777777" w:rsidR="00662CCF" w:rsidRPr="00B05CAD" w:rsidRDefault="00662CCF" w:rsidP="00E95A7B">
      <w:pPr>
        <w:pStyle w:val="FootnoteText"/>
        <w:rPr>
          <w:lang w:val="fr-CH"/>
        </w:rPr>
      </w:pPr>
      <w:r w:rsidRPr="00AB7DE0">
        <w:tab/>
      </w:r>
      <w:r w:rsidRPr="00DA5BF2">
        <w:rPr>
          <w:rStyle w:val="FootnoteReference"/>
          <w:lang w:val="fr-CH"/>
        </w:rPr>
        <w:footnoteRef/>
      </w:r>
      <w:r>
        <w:rPr>
          <w:lang w:val="fr-CH"/>
        </w:rPr>
        <w:tab/>
      </w:r>
      <w:r w:rsidRPr="00B05CAD">
        <w:rPr>
          <w:lang w:val="fr-CH"/>
        </w:rPr>
        <w:t>HI-016, CI-010, TI-203, CI-011.</w:t>
      </w:r>
    </w:p>
  </w:footnote>
  <w:footnote w:id="10">
    <w:p w14:paraId="0D9595E2" w14:textId="77777777" w:rsidR="00662CCF" w:rsidRPr="00D859FE" w:rsidRDefault="00662CCF" w:rsidP="00A854AA">
      <w:pPr>
        <w:pStyle w:val="FootnoteText"/>
      </w:pPr>
      <w:r>
        <w:rPr>
          <w:lang w:val="fr-CH"/>
        </w:rPr>
        <w:tab/>
      </w:r>
      <w:r w:rsidRPr="00DA5BF2">
        <w:rPr>
          <w:rStyle w:val="FootnoteReference"/>
          <w:lang w:val="fr-CH"/>
        </w:rPr>
        <w:footnoteRef/>
      </w:r>
      <w:r>
        <w:rPr>
          <w:lang w:val="fr-CH"/>
        </w:rPr>
        <w:tab/>
      </w:r>
      <w:r w:rsidRPr="00B05CAD">
        <w:rPr>
          <w:lang w:val="fr-CH"/>
        </w:rPr>
        <w:t xml:space="preserve">JI-098, HI-016, JI-065, CI-011, TI-203. </w:t>
      </w:r>
      <w:r w:rsidRPr="00D859FE">
        <w:t xml:space="preserve">In parallel, the authorities have since 2018 undertaken campaigns to collect and destroy the military equipment detained by private security companies ; thus demonstrating </w:t>
      </w:r>
      <w:r w:rsidRPr="00873D82">
        <w:rPr>
          <w:i/>
        </w:rPr>
        <w:t>a contrario</w:t>
      </w:r>
      <w:r w:rsidRPr="00D859FE">
        <w:t xml:space="preserve"> their tolerance or willingness to let the Imbonerakure hold onto their equipment.</w:t>
      </w:r>
      <w:r>
        <w:t xml:space="preserve"> See</w:t>
      </w:r>
      <w:r w:rsidRPr="00D859FE">
        <w:t>:</w:t>
      </w:r>
      <w:r>
        <w:t xml:space="preserve"> </w:t>
      </w:r>
      <w:hyperlink w:history="1"/>
      <w:hyperlink r:id="rId1" w:history="1">
        <w:r w:rsidRPr="00AB7DE0">
          <w:t>https://twitter.com/BurundiSecurity/status/1141228655026352128</w:t>
        </w:r>
      </w:hyperlink>
      <w:r w:rsidRPr="00AB7DE0">
        <w:t xml:space="preserve">. </w:t>
      </w:r>
    </w:p>
  </w:footnote>
  <w:footnote w:id="11">
    <w:p w14:paraId="3A2F5109" w14:textId="0D38E027" w:rsidR="00662CCF" w:rsidRPr="0021308E" w:rsidRDefault="00662CCF" w:rsidP="00E95A7B">
      <w:pPr>
        <w:pStyle w:val="FootnoteText"/>
      </w:pPr>
      <w:r w:rsidRPr="00AB7DE0">
        <w:tab/>
      </w:r>
      <w:r w:rsidRPr="00342F9E">
        <w:rPr>
          <w:rStyle w:val="FootnoteReference"/>
        </w:rPr>
        <w:footnoteRef/>
      </w:r>
      <w:r>
        <w:tab/>
      </w:r>
      <w:r>
        <w:rPr>
          <w:i/>
          <w:iCs/>
        </w:rPr>
        <w:t>Yearbook of the International Law Commission</w:t>
      </w:r>
      <w:r>
        <w:t>, 2001, vol. II, part two (United Nations publication, sales No.: F.04.V.17 (part II)), International Law Commission, Articles on responsibility of States for internationally wrongful acts, art. 11, p. 26.</w:t>
      </w:r>
    </w:p>
  </w:footnote>
  <w:footnote w:id="12">
    <w:p w14:paraId="444499E4" w14:textId="16BD92DE" w:rsidR="00662CCF" w:rsidRPr="0021308E" w:rsidRDefault="00662CCF" w:rsidP="00E95A7B">
      <w:pPr>
        <w:pStyle w:val="FootnoteText"/>
      </w:pPr>
      <w:r w:rsidRPr="0021308E">
        <w:tab/>
      </w:r>
      <w:r w:rsidRPr="00342F9E">
        <w:rPr>
          <w:rStyle w:val="FootnoteReference"/>
        </w:rPr>
        <w:footnoteRef/>
      </w:r>
      <w:r>
        <w:tab/>
      </w:r>
      <w:proofErr w:type="gramStart"/>
      <w:r>
        <w:t>Ibid.,</w:t>
      </w:r>
      <w:proofErr w:type="gramEnd"/>
      <w:r>
        <w:t xml:space="preserve"> International Law Commission, Articles on responsibility of States for internationally wrongful acts, art. 8, p. 26.</w:t>
      </w:r>
    </w:p>
  </w:footnote>
  <w:footnote w:id="13">
    <w:p w14:paraId="152620D5" w14:textId="441382B7" w:rsidR="00662CCF" w:rsidRPr="00D859FE" w:rsidRDefault="00662CCF" w:rsidP="00A854AA">
      <w:pPr>
        <w:pStyle w:val="FootnoteText"/>
      </w:pPr>
      <w:r w:rsidRPr="00AB7DE0">
        <w:tab/>
      </w:r>
      <w:r w:rsidRPr="00DA5BF2">
        <w:rPr>
          <w:rStyle w:val="FootnoteReference"/>
          <w:lang w:val="fr-CH"/>
        </w:rPr>
        <w:footnoteRef/>
      </w:r>
      <w:r w:rsidRPr="00D859FE">
        <w:tab/>
        <w:t xml:space="preserve">See A/HRC/39/54, </w:t>
      </w:r>
      <w:r>
        <w:t>para.</w:t>
      </w:r>
      <w:r w:rsidRPr="00D859FE">
        <w:t xml:space="preserve"> 23 to 27.</w:t>
      </w:r>
    </w:p>
  </w:footnote>
  <w:footnote w:id="14">
    <w:p w14:paraId="621A3046" w14:textId="4B443D24" w:rsidR="00662CCF" w:rsidRPr="00FF5DC1" w:rsidRDefault="00662CCF" w:rsidP="008E4E71">
      <w:pPr>
        <w:pStyle w:val="FootnoteText"/>
      </w:pPr>
      <w:r w:rsidRPr="00372B27">
        <w:tab/>
      </w:r>
      <w:r w:rsidRPr="00284AA5">
        <w:rPr>
          <w:rStyle w:val="FootnoteReference"/>
          <w:lang w:val="fr-CH"/>
        </w:rPr>
        <w:footnoteRef/>
      </w:r>
      <w:r w:rsidRPr="00FF5DC1">
        <w:tab/>
        <w:t xml:space="preserve">See A/HRC/36/CRP.1, </w:t>
      </w:r>
      <w:r>
        <w:t>para.</w:t>
      </w:r>
      <w:r w:rsidRPr="00FF5DC1">
        <w:t xml:space="preserve"> 390 and 392.</w:t>
      </w:r>
    </w:p>
  </w:footnote>
  <w:footnote w:id="15">
    <w:p w14:paraId="21BADC2D" w14:textId="24D7BA91" w:rsidR="00662CCF" w:rsidRPr="00FF5DC1" w:rsidRDefault="00662CCF" w:rsidP="008E4E71">
      <w:pPr>
        <w:pStyle w:val="FootnoteText"/>
      </w:pPr>
      <w:r w:rsidRPr="00FF5DC1">
        <w:tab/>
      </w:r>
      <w:r w:rsidRPr="00284AA5">
        <w:rPr>
          <w:rStyle w:val="FootnoteReference"/>
          <w:lang w:val="fr-CH"/>
        </w:rPr>
        <w:footnoteRef/>
      </w:r>
      <w:r w:rsidRPr="00FF5DC1">
        <w:tab/>
        <w:t xml:space="preserve">See </w:t>
      </w:r>
      <w:r>
        <w:t>para.</w:t>
      </w:r>
      <w:r w:rsidRPr="00FF5DC1">
        <w:t xml:space="preserve"> 460-465 of this report.</w:t>
      </w:r>
    </w:p>
  </w:footnote>
  <w:footnote w:id="16">
    <w:p w14:paraId="6AD15A8B" w14:textId="7475ACE6" w:rsidR="00662CCF" w:rsidRPr="006E16F6" w:rsidRDefault="00662CCF" w:rsidP="006E16F6">
      <w:pPr>
        <w:pStyle w:val="FootnoteText"/>
      </w:pPr>
      <w:r w:rsidRPr="00FF5DC1">
        <w:tab/>
      </w:r>
      <w:r w:rsidRPr="00284AA5">
        <w:rPr>
          <w:rStyle w:val="FootnoteReference"/>
          <w:lang w:val="fr-CH"/>
        </w:rPr>
        <w:footnoteRef/>
      </w:r>
      <w:r w:rsidRPr="0035474C">
        <w:tab/>
        <w:t>Letter of the Burun</w:t>
      </w:r>
      <w:r>
        <w:t>dian Senate to the French-Speaking P</w:t>
      </w:r>
      <w:r w:rsidRPr="0035474C">
        <w:t xml:space="preserve">arliament of Brussels, dated 28 </w:t>
      </w:r>
      <w:r>
        <w:t>N</w:t>
      </w:r>
      <w:r w:rsidRPr="0035474C">
        <w:t xml:space="preserve">ovember 2018, </w:t>
      </w:r>
      <w:r>
        <w:t>to protest against the organisation “</w:t>
      </w:r>
      <w:r w:rsidRPr="006E16F6">
        <w:rPr>
          <w:i/>
        </w:rPr>
        <w:t>journées du Burundi</w:t>
      </w:r>
      <w:r>
        <w:t>”</w:t>
      </w:r>
      <w:r w:rsidRPr="0035474C">
        <w:t xml:space="preserve">, </w:t>
      </w:r>
      <w:r>
        <w:t>available on</w:t>
      </w:r>
      <w:r w:rsidRPr="0035474C">
        <w:t>:</w:t>
      </w:r>
      <w:r>
        <w:t xml:space="preserve"> </w:t>
      </w:r>
      <w:hyperlink r:id="rId2" w:history="1">
        <w:r w:rsidRPr="006E16F6">
          <w:t>https://www.uantwerpen.be/en/projects/centre-des-grands-lacs-afrique/droit-pouvoir-paix-burundi/ethnicite/ethnicite-pouvoir-conflit/</w:t>
        </w:r>
      </w:hyperlink>
      <w:r w:rsidRPr="006E16F6">
        <w:t>.</w:t>
      </w:r>
    </w:p>
  </w:footnote>
  <w:footnote w:id="17">
    <w:p w14:paraId="7C8B7084" w14:textId="751A5122" w:rsidR="00662CCF" w:rsidRPr="00FF5DC1" w:rsidRDefault="00662CCF" w:rsidP="008E4E71">
      <w:pPr>
        <w:pStyle w:val="FootnoteText"/>
      </w:pPr>
      <w:r w:rsidRPr="006E16F6">
        <w:tab/>
      </w:r>
      <w:r w:rsidRPr="007A5D8B">
        <w:rPr>
          <w:rStyle w:val="FootnoteReference"/>
          <w:lang w:val="fr-CH"/>
        </w:rPr>
        <w:footnoteRef/>
      </w:r>
      <w:r w:rsidRPr="00FF5DC1">
        <w:tab/>
        <w:t xml:space="preserve">See A/HRC/36/CRP.1/Rev.1, </w:t>
      </w:r>
      <w:r>
        <w:t>para.</w:t>
      </w:r>
      <w:r w:rsidRPr="00FF5DC1">
        <w:t xml:space="preserve"> 507-532 and A/AHR/39/CRP.1, </w:t>
      </w:r>
      <w:r>
        <w:t>para.</w:t>
      </w:r>
      <w:r w:rsidRPr="00FF5DC1">
        <w:t xml:space="preserve"> 396-420.</w:t>
      </w:r>
    </w:p>
  </w:footnote>
  <w:footnote w:id="18">
    <w:p w14:paraId="0C68790F" w14:textId="2C46638E" w:rsidR="00662CCF" w:rsidRPr="002A4DF5" w:rsidRDefault="00662CCF" w:rsidP="008E4E71">
      <w:pPr>
        <w:pStyle w:val="FootnoteText"/>
      </w:pPr>
      <w:r w:rsidRPr="00FF5DC1">
        <w:tab/>
      </w:r>
      <w:r w:rsidRPr="007A5D8B">
        <w:rPr>
          <w:rStyle w:val="FootnoteReference"/>
          <w:lang w:val="fr-CH"/>
        </w:rPr>
        <w:footnoteRef/>
      </w:r>
      <w:r w:rsidRPr="00AF45EF">
        <w:tab/>
        <w:t>Presidential decree n°100/113 of 3 July 2019 on the nomination of boar</w:t>
      </w:r>
      <w:r>
        <w:t xml:space="preserve">d members of </w:t>
      </w:r>
      <w:r w:rsidRPr="00AF45EF">
        <w:t xml:space="preserve">RTNB. </w:t>
      </w:r>
      <w:r w:rsidRPr="002A4DF5">
        <w:t>See also: Presidential decree n°100/261 of 29 December 2017 on the nomination o</w:t>
      </w:r>
      <w:r>
        <w:t xml:space="preserve">f an official for the general </w:t>
      </w:r>
      <w:r w:rsidRPr="002A4DF5">
        <w:t xml:space="preserve">administration </w:t>
      </w:r>
      <w:r>
        <w:t xml:space="preserve">of </w:t>
      </w:r>
      <w:r w:rsidRPr="002A4DF5">
        <w:t>SNR.</w:t>
      </w:r>
    </w:p>
  </w:footnote>
  <w:footnote w:id="19">
    <w:p w14:paraId="1EF8E6BA" w14:textId="77777777" w:rsidR="00662CCF" w:rsidRPr="00EA7298" w:rsidRDefault="00662CCF" w:rsidP="008E4E71">
      <w:pPr>
        <w:pStyle w:val="FootnoteText"/>
      </w:pPr>
      <w:r w:rsidRPr="002A4DF5">
        <w:tab/>
      </w:r>
      <w:r w:rsidRPr="007A5D8B">
        <w:rPr>
          <w:rStyle w:val="FootnoteReference"/>
          <w:lang w:val="fr-CH"/>
        </w:rPr>
        <w:footnoteRef/>
      </w:r>
      <w:r w:rsidRPr="00EA7298">
        <w:tab/>
        <w:t>https://rsf.org/fr/burundi.</w:t>
      </w:r>
    </w:p>
  </w:footnote>
  <w:footnote w:id="20">
    <w:p w14:paraId="4DB842D7" w14:textId="76FA7A61" w:rsidR="00662CCF" w:rsidRPr="00993920" w:rsidRDefault="00662CCF" w:rsidP="008E4E71">
      <w:pPr>
        <w:pStyle w:val="FootnoteText"/>
      </w:pPr>
      <w:r w:rsidRPr="00EA7298">
        <w:tab/>
      </w:r>
      <w:r w:rsidRPr="007A5D8B">
        <w:rPr>
          <w:rStyle w:val="FootnoteReference"/>
          <w:lang w:val="fr-CH"/>
        </w:rPr>
        <w:footnoteRef/>
      </w:r>
      <w:r w:rsidRPr="00993920">
        <w:tab/>
        <w:t xml:space="preserve">The draft </w:t>
      </w:r>
      <w:r>
        <w:t>l</w:t>
      </w:r>
      <w:r w:rsidRPr="00993920">
        <w:t xml:space="preserve">aw was unanimously adopted by the </w:t>
      </w:r>
      <w:r>
        <w:t>N</w:t>
      </w:r>
      <w:r w:rsidRPr="00993920">
        <w:t xml:space="preserve">ational </w:t>
      </w:r>
      <w:r>
        <w:t>A</w:t>
      </w:r>
      <w:r w:rsidRPr="00993920">
        <w:t>ssembly on 19 April 2018, and by the Senate on 16 August 2018, but the latter was not published no</w:t>
      </w:r>
      <w:r>
        <w:t xml:space="preserve">r shared before its </w:t>
      </w:r>
      <w:r w:rsidRPr="00993920">
        <w:t>promulgation.</w:t>
      </w:r>
    </w:p>
  </w:footnote>
  <w:footnote w:id="21">
    <w:p w14:paraId="30E900B5" w14:textId="2009E9D6" w:rsidR="00662CCF" w:rsidRPr="00D739B7" w:rsidRDefault="00662CCF" w:rsidP="008E4E71">
      <w:pPr>
        <w:pStyle w:val="FootnoteText"/>
      </w:pPr>
      <w:r w:rsidRPr="00993920">
        <w:tab/>
      </w:r>
      <w:r w:rsidRPr="007A5D8B">
        <w:rPr>
          <w:rStyle w:val="FootnoteReference"/>
          <w:lang w:val="fr-CH"/>
        </w:rPr>
        <w:footnoteRef/>
      </w:r>
      <w:r w:rsidRPr="00D739B7">
        <w:tab/>
        <w:t xml:space="preserve">Article 7 of the Law n° 1/19 of 14 </w:t>
      </w:r>
      <w:r>
        <w:t>S</w:t>
      </w:r>
      <w:r w:rsidRPr="00D739B7">
        <w:t>eptemb</w:t>
      </w:r>
      <w:r>
        <w:t xml:space="preserve">er </w:t>
      </w:r>
      <w:r w:rsidRPr="00D739B7">
        <w:t>2018.</w:t>
      </w:r>
    </w:p>
  </w:footnote>
  <w:footnote w:id="22">
    <w:p w14:paraId="49B26504" w14:textId="78B3D618" w:rsidR="00662CCF" w:rsidRPr="00D739B7" w:rsidRDefault="00662CCF" w:rsidP="00190E4B">
      <w:pPr>
        <w:pStyle w:val="FootnoteText"/>
      </w:pPr>
      <w:r w:rsidRPr="00D739B7">
        <w:tab/>
      </w:r>
      <w:r w:rsidRPr="007A5D8B">
        <w:rPr>
          <w:rStyle w:val="FootnoteReference"/>
          <w:lang w:val="fr-CH"/>
        </w:rPr>
        <w:footnoteRef/>
      </w:r>
      <w:r w:rsidRPr="00D739B7">
        <w:tab/>
        <w:t xml:space="preserve">Article 7 of the Law n° 1/19 of 14 </w:t>
      </w:r>
      <w:r>
        <w:t>S</w:t>
      </w:r>
      <w:r w:rsidRPr="00D739B7">
        <w:t>eptemb</w:t>
      </w:r>
      <w:r>
        <w:t>er</w:t>
      </w:r>
      <w:r w:rsidRPr="00D739B7">
        <w:t xml:space="preserve"> 2018.</w:t>
      </w:r>
    </w:p>
  </w:footnote>
  <w:footnote w:id="23">
    <w:p w14:paraId="1BF0DF23" w14:textId="1058F6A0" w:rsidR="00662CCF" w:rsidRPr="007B322D" w:rsidRDefault="00662CCF" w:rsidP="00190E4B">
      <w:pPr>
        <w:pStyle w:val="FootnoteText"/>
      </w:pPr>
      <w:r w:rsidRPr="00D739B7">
        <w:tab/>
      </w:r>
      <w:r w:rsidRPr="007A5D8B">
        <w:rPr>
          <w:rStyle w:val="FootnoteReference"/>
          <w:lang w:val="fr-CH"/>
        </w:rPr>
        <w:footnoteRef/>
      </w:r>
      <w:r w:rsidRPr="00530BCD">
        <w:tab/>
        <w:t xml:space="preserve">The </w:t>
      </w:r>
      <w:r>
        <w:t>Minister of C</w:t>
      </w:r>
      <w:r w:rsidRPr="00530BCD">
        <w:t xml:space="preserve">ommunication clarified during the presentation of the draft </w:t>
      </w:r>
      <w:r>
        <w:t>l</w:t>
      </w:r>
      <w:r w:rsidRPr="00530BCD">
        <w:t xml:space="preserve">aw to the Senate that journalists currently employed without meeting the set requirements will need professional training for capacity building purposes in order to </w:t>
      </w:r>
      <w:r>
        <w:t xml:space="preserve">fulfil their mission but that they would not necessarily lose their job. </w:t>
      </w:r>
      <w:r w:rsidRPr="007B322D">
        <w:t xml:space="preserve">Brief account of the session of 16 </w:t>
      </w:r>
      <w:r>
        <w:t>August</w:t>
      </w:r>
      <w:r w:rsidRPr="007B322D">
        <w:t xml:space="preserve"> 2018, </w:t>
      </w:r>
      <w:hyperlink r:id="rId3" w:history="1">
        <w:r w:rsidRPr="007B322D">
          <w:t>http://www.senat.bi/?p=6297</w:t>
        </w:r>
      </w:hyperlink>
      <w:r w:rsidRPr="007B322D">
        <w:t>.</w:t>
      </w:r>
    </w:p>
  </w:footnote>
  <w:footnote w:id="24">
    <w:p w14:paraId="1DCE88FD" w14:textId="68AE8059" w:rsidR="00662CCF" w:rsidRPr="00D739B7" w:rsidRDefault="00662CCF" w:rsidP="008E4E71">
      <w:pPr>
        <w:pStyle w:val="FootnoteText"/>
      </w:pPr>
      <w:r w:rsidRPr="007B322D">
        <w:tab/>
      </w:r>
      <w:r w:rsidRPr="007A5D8B">
        <w:rPr>
          <w:rStyle w:val="FootnoteReference"/>
          <w:lang w:val="fr-CH"/>
        </w:rPr>
        <w:footnoteRef/>
      </w:r>
      <w:r w:rsidRPr="00D739B7">
        <w:tab/>
        <w:t xml:space="preserve">Article 52 of </w:t>
      </w:r>
      <w:r>
        <w:t>l</w:t>
      </w:r>
      <w:r w:rsidRPr="00D739B7">
        <w:t xml:space="preserve">aw n°1/19 of 14 </w:t>
      </w:r>
      <w:r>
        <w:t>September</w:t>
      </w:r>
      <w:r w:rsidRPr="00D739B7">
        <w:t xml:space="preserve"> 2018. </w:t>
      </w:r>
    </w:p>
  </w:footnote>
  <w:footnote w:id="25">
    <w:p w14:paraId="176A1BCB" w14:textId="57C2007E" w:rsidR="00662CCF" w:rsidRPr="00854216" w:rsidRDefault="00662CCF" w:rsidP="008E4E71">
      <w:pPr>
        <w:pStyle w:val="FootnoteText"/>
      </w:pPr>
      <w:r w:rsidRPr="00D739B7">
        <w:tab/>
      </w:r>
      <w:r w:rsidRPr="007A5D8B">
        <w:rPr>
          <w:rStyle w:val="FootnoteReference"/>
          <w:lang w:val="fr-CH"/>
        </w:rPr>
        <w:footnoteRef/>
      </w:r>
      <w:r w:rsidRPr="00854216">
        <w:tab/>
        <w:t xml:space="preserve">Article 17 of </w:t>
      </w:r>
      <w:r>
        <w:t>l</w:t>
      </w:r>
      <w:r w:rsidRPr="00854216">
        <w:t xml:space="preserve">aw n°1/15 of 9 May 2015 </w:t>
      </w:r>
      <w:r>
        <w:t>provided</w:t>
      </w:r>
      <w:r w:rsidRPr="00854216">
        <w:t>:</w:t>
      </w:r>
      <w:r>
        <w:t xml:space="preserve"> “</w:t>
      </w:r>
      <w:r w:rsidRPr="00854216">
        <w:t>In accordance with professional ethic and conduct, journalists are called to on</w:t>
      </w:r>
      <w:r>
        <w:t>ly disseminate balanced information from sources that are rigorously verified”</w:t>
      </w:r>
      <w:r w:rsidRPr="00854216">
        <w:t>.</w:t>
      </w:r>
    </w:p>
  </w:footnote>
  <w:footnote w:id="26">
    <w:p w14:paraId="5CB8F1F8" w14:textId="1C2C1410" w:rsidR="00662CCF" w:rsidRPr="00193F55" w:rsidRDefault="00662CCF" w:rsidP="008E4E71">
      <w:pPr>
        <w:pStyle w:val="FootnoteText"/>
      </w:pPr>
      <w:r w:rsidRPr="00854216">
        <w:tab/>
      </w:r>
      <w:r w:rsidRPr="007A5D8B">
        <w:rPr>
          <w:rStyle w:val="FootnoteReference"/>
          <w:lang w:val="fr-CH"/>
        </w:rPr>
        <w:footnoteRef/>
      </w:r>
      <w:r>
        <w:tab/>
        <w:t>See the Global C</w:t>
      </w:r>
      <w:r w:rsidRPr="00193F55">
        <w:t xml:space="preserve">harter of </w:t>
      </w:r>
      <w:r>
        <w:t>J</w:t>
      </w:r>
      <w:r w:rsidRPr="00193F55">
        <w:t xml:space="preserve">ournalists of the </w:t>
      </w:r>
      <w:r>
        <w:t>International Federation of J</w:t>
      </w:r>
      <w:r w:rsidRPr="00193F55">
        <w:t xml:space="preserve">ournalists (IFJ) adopted during the 30th international congress of the IFJ in Tunis, on 12 June 2019 which completes the Code of Ethics of the IFJ on the conduct of journalists (1954), called the « </w:t>
      </w:r>
      <w:r w:rsidRPr="00193F55">
        <w:rPr>
          <w:i/>
        </w:rPr>
        <w:t>Déclaration de Bordeaux</w:t>
      </w:r>
      <w:r w:rsidRPr="00193F55">
        <w:t xml:space="preserve">», and the Ethical Code of Burundian medias adopted in 2014 available at: </w:t>
      </w:r>
      <w:hyperlink r:id="rId4" w:history="1">
        <w:r w:rsidRPr="00193F55">
          <w:t>http://cnc-burundi.bi/wp-content/uploads/2017/11/CODE-DE-DEONTOLOGIE-DES-MEDIAS-BURUNDAIS_EDITION-2014-1.pdf</w:t>
        </w:r>
      </w:hyperlink>
      <w:r w:rsidRPr="00193F55">
        <w:t>. These international standards simply require the respect of the principles of freedom and honesty in the collection and publication of information and to ensure that the comments and critics are balanced, to distinguish clearly the information from comments and critics, to offer the accused persons an opportunity to reply and the obligation to rectify any error or inaccurate information.</w:t>
      </w:r>
    </w:p>
  </w:footnote>
  <w:footnote w:id="27">
    <w:p w14:paraId="3E278BEA" w14:textId="05129079" w:rsidR="00662CCF" w:rsidRPr="00FF5DC1" w:rsidRDefault="00662CCF" w:rsidP="008E4E71">
      <w:pPr>
        <w:pStyle w:val="FootnoteText"/>
      </w:pPr>
      <w:r w:rsidRPr="00193F55">
        <w:tab/>
      </w:r>
      <w:r w:rsidRPr="007A5D8B">
        <w:rPr>
          <w:rStyle w:val="FootnoteReference"/>
          <w:lang w:val="fr-CH"/>
        </w:rPr>
        <w:footnoteRef/>
      </w:r>
      <w:r w:rsidRPr="00FF5DC1">
        <w:tab/>
        <w:t>See par</w:t>
      </w:r>
      <w:r>
        <w:t>a</w:t>
      </w:r>
      <w:r w:rsidRPr="00FF5DC1">
        <w:t xml:space="preserve">. 221-230 of this report. </w:t>
      </w:r>
    </w:p>
  </w:footnote>
  <w:footnote w:id="28">
    <w:p w14:paraId="0E2F5B2A" w14:textId="27F3F889" w:rsidR="00662CCF" w:rsidRPr="00D739B7" w:rsidRDefault="00662CCF" w:rsidP="008E4E71">
      <w:pPr>
        <w:pStyle w:val="FootnoteText"/>
      </w:pPr>
      <w:r w:rsidRPr="00FF5DC1">
        <w:tab/>
      </w:r>
      <w:r w:rsidRPr="007A5D8B">
        <w:rPr>
          <w:rStyle w:val="FootnoteReference"/>
          <w:lang w:val="fr-CH"/>
        </w:rPr>
        <w:footnoteRef/>
      </w:r>
      <w:r w:rsidRPr="00D739B7">
        <w:tab/>
        <w:t xml:space="preserve">See article 7 of the Law n°1/15 </w:t>
      </w:r>
      <w:r>
        <w:t>of 9 May</w:t>
      </w:r>
      <w:r w:rsidRPr="00D739B7">
        <w:t xml:space="preserve"> 2015.</w:t>
      </w:r>
    </w:p>
  </w:footnote>
  <w:footnote w:id="29">
    <w:p w14:paraId="49C914DA" w14:textId="4E72996E" w:rsidR="00662CCF" w:rsidRPr="00D739B7" w:rsidRDefault="00662CCF" w:rsidP="008E4E71">
      <w:pPr>
        <w:pStyle w:val="FootnoteText"/>
      </w:pPr>
      <w:r w:rsidRPr="00D739B7">
        <w:tab/>
      </w:r>
      <w:r w:rsidRPr="007A5D8B">
        <w:rPr>
          <w:rStyle w:val="FootnoteReference"/>
          <w:lang w:val="fr-CH"/>
        </w:rPr>
        <w:footnoteRef/>
      </w:r>
      <w:r w:rsidRPr="00D739B7">
        <w:tab/>
        <w:t xml:space="preserve">Articles 3 and 4 of the </w:t>
      </w:r>
      <w:r>
        <w:t>l</w:t>
      </w:r>
      <w:r w:rsidRPr="00D739B7">
        <w:t xml:space="preserve">aw n°1/19 </w:t>
      </w:r>
      <w:bookmarkStart w:id="3" w:name="_Hlk25528058"/>
      <w:r>
        <w:t>of</w:t>
      </w:r>
      <w:r w:rsidRPr="00D739B7">
        <w:t xml:space="preserve"> 14 </w:t>
      </w:r>
      <w:r>
        <w:t>S</w:t>
      </w:r>
      <w:r w:rsidRPr="00D739B7">
        <w:t>eptemb</w:t>
      </w:r>
      <w:r>
        <w:t>er</w:t>
      </w:r>
      <w:r w:rsidRPr="00D739B7">
        <w:t xml:space="preserve"> </w:t>
      </w:r>
      <w:bookmarkEnd w:id="3"/>
      <w:r w:rsidRPr="00D739B7">
        <w:t>2018.</w:t>
      </w:r>
    </w:p>
  </w:footnote>
  <w:footnote w:id="30">
    <w:p w14:paraId="4231CAAF" w14:textId="43759A27" w:rsidR="00662CCF" w:rsidRPr="00D707A9" w:rsidRDefault="00662CCF" w:rsidP="008E4E71">
      <w:pPr>
        <w:pStyle w:val="FootnoteText"/>
      </w:pPr>
      <w:r w:rsidRPr="00D739B7">
        <w:tab/>
      </w:r>
      <w:r w:rsidRPr="007A5D8B">
        <w:rPr>
          <w:rStyle w:val="FootnoteReference"/>
          <w:lang w:val="fr-CH"/>
        </w:rPr>
        <w:footnoteRef/>
      </w:r>
      <w:r w:rsidRPr="00D707A9">
        <w:tab/>
        <w:t xml:space="preserve">Article 30 of the </w:t>
      </w:r>
      <w:r>
        <w:t>l</w:t>
      </w:r>
      <w:r w:rsidRPr="00D707A9">
        <w:t xml:space="preserve">aw n°1/19 </w:t>
      </w:r>
      <w:r>
        <w:t>of</w:t>
      </w:r>
      <w:r w:rsidRPr="00D739B7">
        <w:t xml:space="preserve"> 14 </w:t>
      </w:r>
      <w:r>
        <w:t>S</w:t>
      </w:r>
      <w:r w:rsidRPr="00D739B7">
        <w:t>eptemb</w:t>
      </w:r>
      <w:r>
        <w:t>er</w:t>
      </w:r>
      <w:r w:rsidRPr="00D739B7">
        <w:t xml:space="preserve"> </w:t>
      </w:r>
      <w:r w:rsidRPr="00D707A9">
        <w:t>2018.</w:t>
      </w:r>
    </w:p>
  </w:footnote>
  <w:footnote w:id="31">
    <w:p w14:paraId="0B396D1A" w14:textId="75255531" w:rsidR="00662CCF" w:rsidRPr="00D707A9" w:rsidRDefault="00662CCF" w:rsidP="008E4E71">
      <w:pPr>
        <w:pStyle w:val="FootnoteText"/>
      </w:pPr>
      <w:r w:rsidRPr="00D707A9">
        <w:tab/>
      </w:r>
      <w:r w:rsidRPr="007A5D8B">
        <w:rPr>
          <w:rStyle w:val="FootnoteReference"/>
          <w:lang w:val="fr-CH"/>
        </w:rPr>
        <w:footnoteRef/>
      </w:r>
      <w:r w:rsidRPr="00D707A9">
        <w:tab/>
        <w:t xml:space="preserve">Article 42 of the </w:t>
      </w:r>
      <w:r>
        <w:t>l</w:t>
      </w:r>
      <w:r w:rsidRPr="00D707A9">
        <w:t xml:space="preserve">aw n°1/19 </w:t>
      </w:r>
      <w:r>
        <w:t>of</w:t>
      </w:r>
      <w:r w:rsidRPr="00D739B7">
        <w:t xml:space="preserve"> 14 </w:t>
      </w:r>
      <w:r>
        <w:t>S</w:t>
      </w:r>
      <w:r w:rsidRPr="00D739B7">
        <w:t>eptemb</w:t>
      </w:r>
      <w:r>
        <w:t>er</w:t>
      </w:r>
      <w:r w:rsidRPr="00D739B7">
        <w:t xml:space="preserve"> </w:t>
      </w:r>
      <w:r w:rsidRPr="00D707A9">
        <w:t>2018.</w:t>
      </w:r>
    </w:p>
  </w:footnote>
  <w:footnote w:id="32">
    <w:p w14:paraId="351B2389" w14:textId="694F7B3A" w:rsidR="00662CCF" w:rsidRPr="00EA7298" w:rsidRDefault="00662CCF" w:rsidP="008E4E71">
      <w:pPr>
        <w:pStyle w:val="FootnoteText"/>
      </w:pPr>
      <w:r w:rsidRPr="00D707A9">
        <w:tab/>
      </w:r>
      <w:r w:rsidRPr="007A5D8B">
        <w:rPr>
          <w:rStyle w:val="FootnoteReference"/>
          <w:lang w:val="fr-CH"/>
        </w:rPr>
        <w:footnoteRef/>
      </w:r>
      <w:r w:rsidRPr="00D707A9">
        <w:tab/>
        <w:t xml:space="preserve">See the brief account of the plenary session of the Senate of 16 </w:t>
      </w:r>
      <w:r>
        <w:t xml:space="preserve">August </w:t>
      </w:r>
      <w:r w:rsidRPr="00D707A9">
        <w:t xml:space="preserve">2018, </w:t>
      </w:r>
      <w:r>
        <w:t>available on</w:t>
      </w:r>
      <w:r w:rsidRPr="00D707A9">
        <w:t xml:space="preserve">: </w:t>
      </w:r>
      <w:hyperlink r:id="rId5" w:history="1">
        <w:r w:rsidRPr="00D707A9">
          <w:rPr>
            <w:rStyle w:val="Hyperlink"/>
          </w:rPr>
          <w:t>http://www.senat.bi/?p=6297</w:t>
        </w:r>
      </w:hyperlink>
      <w:r w:rsidRPr="00D707A9">
        <w:t xml:space="preserve">. </w:t>
      </w:r>
      <w:r w:rsidRPr="00EA7298">
        <w:t>Humura and Inzamba are internet radios based abroad.</w:t>
      </w:r>
    </w:p>
  </w:footnote>
  <w:footnote w:id="33">
    <w:p w14:paraId="6D2F153C" w14:textId="6AD98EEF" w:rsidR="00662CCF" w:rsidRPr="00D707A9" w:rsidRDefault="00662CCF" w:rsidP="008E4E71">
      <w:pPr>
        <w:pStyle w:val="FootnoteText"/>
      </w:pPr>
      <w:r w:rsidRPr="00EA7298">
        <w:tab/>
      </w:r>
      <w:r w:rsidRPr="007A5D8B">
        <w:rPr>
          <w:rStyle w:val="FootnoteReference"/>
          <w:lang w:val="fr-CH"/>
        </w:rPr>
        <w:footnoteRef/>
      </w:r>
      <w:r w:rsidRPr="00D707A9">
        <w:tab/>
        <w:t xml:space="preserve">Article 77 of the </w:t>
      </w:r>
      <w:r>
        <w:t>l</w:t>
      </w:r>
      <w:r w:rsidRPr="00D707A9">
        <w:t xml:space="preserve">aw n°1/19 </w:t>
      </w:r>
      <w:r>
        <w:t>of</w:t>
      </w:r>
      <w:r w:rsidRPr="00D739B7">
        <w:t xml:space="preserve"> 14 </w:t>
      </w:r>
      <w:r>
        <w:t>S</w:t>
      </w:r>
      <w:r w:rsidRPr="00D739B7">
        <w:t>eptemb</w:t>
      </w:r>
      <w:r>
        <w:t>er</w:t>
      </w:r>
      <w:r w:rsidRPr="00D739B7">
        <w:t xml:space="preserve"> </w:t>
      </w:r>
      <w:r w:rsidRPr="00D707A9">
        <w:t>2018.</w:t>
      </w:r>
    </w:p>
  </w:footnote>
  <w:footnote w:id="34">
    <w:p w14:paraId="424E902A" w14:textId="2675C094" w:rsidR="00662CCF" w:rsidRPr="00351240" w:rsidRDefault="00662CCF" w:rsidP="008E4E71">
      <w:pPr>
        <w:pStyle w:val="FootnoteText"/>
      </w:pPr>
      <w:r w:rsidRPr="00D707A9">
        <w:tab/>
      </w:r>
      <w:r w:rsidRPr="007A5D8B">
        <w:rPr>
          <w:rStyle w:val="FootnoteReference"/>
          <w:lang w:val="fr-CH"/>
        </w:rPr>
        <w:footnoteRef/>
      </w:r>
      <w:r w:rsidRPr="00351240">
        <w:tab/>
        <w:t xml:space="preserve">Decision of the CNC n°100/CNC/006/2019 of 29 March 2019 on </w:t>
      </w:r>
      <w:r>
        <w:t xml:space="preserve">the </w:t>
      </w:r>
      <w:r w:rsidRPr="00165273">
        <w:t xml:space="preserve">withdrawal of the operating licence </w:t>
      </w:r>
      <w:r>
        <w:t>of the radio service of the</w:t>
      </w:r>
      <w:r w:rsidRPr="00351240">
        <w:t xml:space="preserve"> British Broadcasting Corporation.</w:t>
      </w:r>
    </w:p>
  </w:footnote>
  <w:footnote w:id="35">
    <w:p w14:paraId="5AFD6E5A" w14:textId="4239034D" w:rsidR="00662CCF" w:rsidRPr="00DE4AC2" w:rsidRDefault="00662CCF" w:rsidP="008E4E71">
      <w:pPr>
        <w:pStyle w:val="FootnoteText"/>
      </w:pPr>
      <w:r w:rsidRPr="00351240">
        <w:tab/>
      </w:r>
      <w:r w:rsidRPr="007A5D8B">
        <w:rPr>
          <w:rStyle w:val="FootnoteReference"/>
          <w:lang w:val="fr-CH"/>
        </w:rPr>
        <w:footnoteRef/>
      </w:r>
      <w:r w:rsidRPr="00DE4AC2">
        <w:tab/>
        <w:t>Decision of the CNC n°100/CNC/007/2018 dated 4 May 2018.</w:t>
      </w:r>
    </w:p>
  </w:footnote>
  <w:footnote w:id="36">
    <w:p w14:paraId="477F5D65" w14:textId="0335D940" w:rsidR="00662CCF" w:rsidRPr="00475A07" w:rsidRDefault="00662CCF" w:rsidP="008E4E71">
      <w:pPr>
        <w:pStyle w:val="FootnoteText"/>
      </w:pPr>
      <w:r w:rsidRPr="00DE4AC2">
        <w:tab/>
      </w:r>
      <w:r w:rsidRPr="007A5D8B">
        <w:rPr>
          <w:rStyle w:val="FootnoteReference"/>
          <w:lang w:val="fr-CH"/>
        </w:rPr>
        <w:footnoteRef/>
      </w:r>
      <w:r w:rsidRPr="00475A07">
        <w:tab/>
        <w:t xml:space="preserve">Decision of the CNC n°100/CNC/071/2018 </w:t>
      </w:r>
      <w:r>
        <w:t>dated</w:t>
      </w:r>
      <w:r w:rsidRPr="00475A07">
        <w:t xml:space="preserve"> 16 </w:t>
      </w:r>
      <w:bookmarkStart w:id="4" w:name="_Hlk25528635"/>
      <w:r>
        <w:t>March</w:t>
      </w:r>
      <w:bookmarkEnd w:id="4"/>
      <w:r w:rsidRPr="00475A07">
        <w:t xml:space="preserve"> 2018.</w:t>
      </w:r>
    </w:p>
  </w:footnote>
  <w:footnote w:id="37">
    <w:p w14:paraId="7C2EB857" w14:textId="54DB9A3D" w:rsidR="00662CCF" w:rsidRPr="00475A07" w:rsidRDefault="00662CCF" w:rsidP="008E4E71">
      <w:pPr>
        <w:pStyle w:val="FootnoteText"/>
      </w:pPr>
      <w:r w:rsidRPr="00475A07">
        <w:tab/>
      </w:r>
      <w:r w:rsidRPr="003A7E98">
        <w:rPr>
          <w:rStyle w:val="FootnoteReference"/>
          <w:lang w:val="fr-CH"/>
        </w:rPr>
        <w:footnoteRef/>
      </w:r>
      <w:r w:rsidRPr="00475A07">
        <w:tab/>
        <w:t>Decision of the CNC n°100/CNC/007/2019 dated 29 March 2019 on the change of the d</w:t>
      </w:r>
      <w:r>
        <w:t>e</w:t>
      </w:r>
      <w:r w:rsidRPr="00475A07">
        <w:t xml:space="preserve">cision 100/CNC/006/2018 </w:t>
      </w:r>
      <w:r>
        <w:t>of</w:t>
      </w:r>
      <w:r w:rsidRPr="00475A07">
        <w:t xml:space="preserve"> 4 </w:t>
      </w:r>
      <w:r>
        <w:t>May</w:t>
      </w:r>
      <w:r w:rsidRPr="00475A07">
        <w:t xml:space="preserve"> 2018 </w:t>
      </w:r>
      <w:r>
        <w:t xml:space="preserve">on the </w:t>
      </w:r>
      <w:r w:rsidRPr="00475A07">
        <w:t xml:space="preserve">suspension </w:t>
      </w:r>
      <w:r>
        <w:t>of VOA radio service for six months</w:t>
      </w:r>
      <w:r w:rsidRPr="00475A07">
        <w:t>.</w:t>
      </w:r>
    </w:p>
  </w:footnote>
  <w:footnote w:id="38">
    <w:p w14:paraId="2762DAD7" w14:textId="773CBD01" w:rsidR="00662CCF" w:rsidRPr="00475A07" w:rsidRDefault="00662CCF" w:rsidP="008E4E71">
      <w:pPr>
        <w:pStyle w:val="FootnoteText"/>
      </w:pPr>
      <w:r w:rsidRPr="00475A07">
        <w:tab/>
      </w:r>
      <w:r w:rsidRPr="003A7E98">
        <w:rPr>
          <w:rStyle w:val="FootnoteReference"/>
          <w:lang w:val="fr-CH"/>
        </w:rPr>
        <w:footnoteRef/>
      </w:r>
      <w:r w:rsidRPr="00475A07">
        <w:tab/>
      </w:r>
      <w:r w:rsidRPr="00EA7298">
        <w:t>Decision of the CNC n° 100/CNC/007/2019 of 29 March 2019 and the decision of CNC n°100/CNC/006/2019 of 29 March 2019.</w:t>
      </w:r>
    </w:p>
  </w:footnote>
  <w:footnote w:id="39">
    <w:p w14:paraId="1672400D" w14:textId="77777777" w:rsidR="00662CCF" w:rsidRPr="00EA7298" w:rsidRDefault="00662CCF" w:rsidP="008E4E71">
      <w:pPr>
        <w:pStyle w:val="FootnoteText"/>
      </w:pPr>
      <w:r w:rsidRPr="00475A07">
        <w:tab/>
      </w:r>
      <w:r w:rsidRPr="003A7E98">
        <w:rPr>
          <w:rStyle w:val="FootnoteReference"/>
          <w:lang w:val="fr-CH"/>
        </w:rPr>
        <w:footnoteRef/>
      </w:r>
      <w:r w:rsidRPr="00EA7298">
        <w:tab/>
      </w:r>
      <w:hyperlink r:id="rId6" w:history="1">
        <w:r w:rsidRPr="00EA7298">
          <w:t>https://twitter.com/LeRenouveauBdi/status/1135587955014361088</w:t>
        </w:r>
      </w:hyperlink>
      <w:r w:rsidRPr="00EA7298">
        <w:t>.</w:t>
      </w:r>
    </w:p>
  </w:footnote>
  <w:footnote w:id="40">
    <w:p w14:paraId="380FF350" w14:textId="77777777" w:rsidR="00662CCF" w:rsidRPr="00EA7298" w:rsidRDefault="00662CCF" w:rsidP="008E4E71">
      <w:pPr>
        <w:pStyle w:val="FootnoteText"/>
      </w:pPr>
      <w:r w:rsidRPr="00EA7298">
        <w:tab/>
      </w:r>
      <w:r w:rsidRPr="003A7E98">
        <w:rPr>
          <w:rStyle w:val="FootnoteReference"/>
          <w:lang w:val="fr-CH"/>
        </w:rPr>
        <w:footnoteRef/>
      </w:r>
      <w:r w:rsidRPr="00EA7298">
        <w:tab/>
        <w:t>http://cnc-burundi.bi/assemblee-pleniere-ordinaire-au-cnc-2/.</w:t>
      </w:r>
    </w:p>
  </w:footnote>
  <w:footnote w:id="41">
    <w:p w14:paraId="56F60D91" w14:textId="68767A2E" w:rsidR="00662CCF" w:rsidRPr="00475A07" w:rsidRDefault="00662CCF" w:rsidP="008E4E71">
      <w:pPr>
        <w:pStyle w:val="FootnoteText"/>
      </w:pPr>
      <w:r w:rsidRPr="00EA7298">
        <w:tab/>
      </w:r>
      <w:r w:rsidRPr="003A7E98">
        <w:rPr>
          <w:rStyle w:val="FootnoteReference"/>
          <w:lang w:val="fr-CH"/>
        </w:rPr>
        <w:footnoteRef/>
      </w:r>
      <w:r w:rsidRPr="00475A07">
        <w:tab/>
        <w:t xml:space="preserve">Decision of the CNC n°100/CNC/005/2018 of 10 April 2018 on the suspension of the « comments » page for three months of the </w:t>
      </w:r>
      <w:r>
        <w:t xml:space="preserve">online </w:t>
      </w:r>
      <w:r w:rsidRPr="00475A07">
        <w:t>newspaper Iwacu.</w:t>
      </w:r>
    </w:p>
  </w:footnote>
  <w:footnote w:id="42">
    <w:p w14:paraId="387354C9" w14:textId="77777777" w:rsidR="00662CCF" w:rsidRPr="00EA7298" w:rsidRDefault="00662CCF" w:rsidP="008E4E71">
      <w:pPr>
        <w:pStyle w:val="FootnoteText"/>
      </w:pPr>
      <w:r w:rsidRPr="00475A07">
        <w:tab/>
      </w:r>
      <w:r w:rsidRPr="003A7E98">
        <w:rPr>
          <w:rStyle w:val="FootnoteReference"/>
          <w:lang w:val="fr-CH"/>
        </w:rPr>
        <w:footnoteRef/>
      </w:r>
      <w:r w:rsidRPr="00EA7298">
        <w:tab/>
        <w:t>http://cnc-burundi.bi/le-cnc-met-en-place-un-numero-de-telephone-pour-le-public/.</w:t>
      </w:r>
    </w:p>
  </w:footnote>
  <w:footnote w:id="43">
    <w:p w14:paraId="3B886615" w14:textId="02103AF4" w:rsidR="00662CCF" w:rsidRPr="00475A07" w:rsidRDefault="00662CCF" w:rsidP="008E4E71">
      <w:pPr>
        <w:pStyle w:val="FootnoteText"/>
      </w:pPr>
      <w:r w:rsidRPr="00EA7298">
        <w:tab/>
      </w:r>
      <w:r w:rsidRPr="003A7E98">
        <w:rPr>
          <w:rStyle w:val="FootnoteReference"/>
          <w:lang w:val="fr-CH"/>
        </w:rPr>
        <w:footnoteRef/>
      </w:r>
      <w:r w:rsidRPr="00EA7298">
        <w:tab/>
      </w:r>
      <w:hyperlink r:id="rId7" w:history="1">
        <w:r w:rsidRPr="00EA7298">
          <w:t>http://www.rfi.fr/afrique/20190524-burundi-communication-president-mise-mal-apres-couac</w:t>
        </w:r>
      </w:hyperlink>
      <w:r w:rsidRPr="00EA7298">
        <w:t xml:space="preserve">. </w:t>
      </w:r>
      <w:r w:rsidRPr="00475A07">
        <w:t xml:space="preserve">Decree of 21 May 2019 is available on the presidential online site: </w:t>
      </w:r>
      <w:hyperlink r:id="rId8" w:history="1">
        <w:r w:rsidRPr="00475A07">
          <w:t>http://www.presidence.gov.bi/wp-content/uploads/2019/05/decret-073-2019-3.pdf</w:t>
        </w:r>
      </w:hyperlink>
      <w:r w:rsidRPr="00475A07">
        <w:t xml:space="preserve">; the image of the initial decree of 15 May 2019 that mentioned the members of CNC bureau was published on the </w:t>
      </w:r>
      <w:r>
        <w:t xml:space="preserve">twitter account of the pro Governmental newspaper </w:t>
      </w:r>
      <w:r w:rsidRPr="00475A07">
        <w:t xml:space="preserve">« Le Renouveau » : </w:t>
      </w:r>
      <w:hyperlink r:id="rId9" w:history="1">
        <w:r w:rsidRPr="00475A07">
          <w:t>https://twitter.com/LeRenouveauBdi/status/1130510363223633920</w:t>
        </w:r>
      </w:hyperlink>
    </w:p>
  </w:footnote>
  <w:footnote w:id="44">
    <w:p w14:paraId="7AC0FCE8" w14:textId="77777777" w:rsidR="00662CCF" w:rsidRPr="00EA7298" w:rsidRDefault="00662CCF" w:rsidP="008E4E71">
      <w:pPr>
        <w:pStyle w:val="FootnoteText"/>
      </w:pPr>
      <w:r w:rsidRPr="00475A07">
        <w:tab/>
      </w:r>
      <w:r w:rsidRPr="003A7E98">
        <w:rPr>
          <w:rStyle w:val="FootnoteReference"/>
          <w:lang w:val="fr-CH"/>
        </w:rPr>
        <w:footnoteRef/>
      </w:r>
      <w:r w:rsidRPr="00EA7298">
        <w:tab/>
      </w:r>
      <w:hyperlink r:id="rId10" w:history="1">
        <w:r w:rsidRPr="00EA7298">
          <w:t>https://www.voaafrique.com/a/un-commissaire-de-la-c%c3%a9ni-appelle-%c3%a0-barrer-la-route-aux-m%c3%a9dias-ind%c3%a9pendants/4908952.html</w:t>
        </w:r>
      </w:hyperlink>
      <w:r w:rsidRPr="00EA7298">
        <w:t xml:space="preserve">. </w:t>
      </w:r>
    </w:p>
  </w:footnote>
  <w:footnote w:id="45">
    <w:p w14:paraId="58B342D8" w14:textId="61DA0555" w:rsidR="00662CCF" w:rsidRPr="00475A07" w:rsidRDefault="00662CCF" w:rsidP="008E4E71">
      <w:pPr>
        <w:pStyle w:val="FootnoteText"/>
      </w:pPr>
      <w:r w:rsidRPr="00EA7298">
        <w:tab/>
      </w:r>
      <w:r w:rsidRPr="003A7E98">
        <w:rPr>
          <w:rStyle w:val="FootnoteReference"/>
          <w:lang w:val="fr-CH"/>
        </w:rPr>
        <w:footnoteRef/>
      </w:r>
      <w:r w:rsidRPr="00475A07">
        <w:tab/>
        <w:t>See also A/HRC/39/CRP.1, para. 686 on the Burundian authorities’ rejection of data on the humanitarian situation presente</w:t>
      </w:r>
      <w:r>
        <w:t>d by humanitarian agencies</w:t>
      </w:r>
      <w:r w:rsidRPr="00475A07">
        <w:t>.</w:t>
      </w:r>
    </w:p>
  </w:footnote>
  <w:footnote w:id="46">
    <w:p w14:paraId="70184E54" w14:textId="77777777" w:rsidR="00662CCF" w:rsidRPr="00EA7298" w:rsidRDefault="00662CCF" w:rsidP="008E4E71">
      <w:pPr>
        <w:pStyle w:val="FootnoteText"/>
      </w:pPr>
      <w:r w:rsidRPr="00475A07">
        <w:tab/>
      </w:r>
      <w:r w:rsidRPr="003A7E98">
        <w:rPr>
          <w:rStyle w:val="FootnoteReference"/>
          <w:lang w:val="fr-CH"/>
        </w:rPr>
        <w:footnoteRef/>
      </w:r>
      <w:r w:rsidRPr="00EA7298">
        <w:tab/>
      </w:r>
      <w:hyperlink r:id="rId11" w:history="1">
        <w:r w:rsidRPr="00EA7298">
          <w:t>http://www.parcem.org/index.php/9-uncategorised/236-campagne-ukuri-ku-biduhanze</w:t>
        </w:r>
      </w:hyperlink>
      <w:r w:rsidRPr="00EA7298">
        <w:t>.</w:t>
      </w:r>
    </w:p>
  </w:footnote>
  <w:footnote w:id="47">
    <w:p w14:paraId="6F81E200" w14:textId="77777777" w:rsidR="00662CCF" w:rsidRPr="00EA7298" w:rsidRDefault="00662CCF" w:rsidP="008E4E71">
      <w:pPr>
        <w:pStyle w:val="FootnoteText"/>
      </w:pPr>
      <w:r w:rsidRPr="00EA7298">
        <w:tab/>
      </w:r>
      <w:r w:rsidRPr="003A7E98">
        <w:rPr>
          <w:rStyle w:val="FootnoteReference"/>
          <w:lang w:val="fr-CH"/>
        </w:rPr>
        <w:footnoteRef/>
      </w:r>
      <w:r w:rsidRPr="00EA7298">
        <w:tab/>
      </w:r>
      <w:hyperlink r:id="rId12" w:history="1">
        <w:r w:rsidRPr="00EA7298">
          <w:t>http://www.rfi.fr/afrique/20190618-burundi-ong-parcem-suspendue</w:t>
        </w:r>
      </w:hyperlink>
      <w:r w:rsidRPr="00EA7298">
        <w:t>.</w:t>
      </w:r>
    </w:p>
  </w:footnote>
  <w:footnote w:id="48">
    <w:p w14:paraId="64C81302" w14:textId="21746EB7" w:rsidR="00662CCF" w:rsidRPr="00FF5DC1" w:rsidRDefault="00662CCF" w:rsidP="008E4E71">
      <w:pPr>
        <w:pStyle w:val="FootnoteText"/>
      </w:pPr>
      <w:r w:rsidRPr="00EA7298">
        <w:tab/>
      </w:r>
      <w:r w:rsidRPr="003A7E98">
        <w:rPr>
          <w:rStyle w:val="FootnoteReference"/>
          <w:lang w:val="fr-CH"/>
        </w:rPr>
        <w:footnoteRef/>
      </w:r>
      <w:r w:rsidRPr="00FF5DC1">
        <w:tab/>
        <w:t xml:space="preserve">See A/HRC/39/CRP.1, </w:t>
      </w:r>
      <w:r>
        <w:t>para.</w:t>
      </w:r>
      <w:r w:rsidRPr="00FF5DC1">
        <w:t xml:space="preserve"> 410-420.</w:t>
      </w:r>
    </w:p>
  </w:footnote>
  <w:footnote w:id="49">
    <w:p w14:paraId="6A8E1B0D" w14:textId="77777777" w:rsidR="00662CCF" w:rsidRPr="006E78C4" w:rsidRDefault="00662CCF" w:rsidP="008E4E71">
      <w:pPr>
        <w:pStyle w:val="FootnoteText"/>
      </w:pPr>
      <w:r w:rsidRPr="00FF5DC1">
        <w:tab/>
      </w:r>
      <w:r w:rsidRPr="003A7E98">
        <w:rPr>
          <w:rStyle w:val="FootnoteReference"/>
          <w:lang w:val="fr-CH"/>
        </w:rPr>
        <w:footnoteRef/>
      </w:r>
      <w:r w:rsidRPr="006E78C4">
        <w:tab/>
        <w:t>JI-077, TI-231, TI-246, HI-020.</w:t>
      </w:r>
    </w:p>
  </w:footnote>
  <w:footnote w:id="50">
    <w:p w14:paraId="68B0AE11" w14:textId="77777777" w:rsidR="00662CCF" w:rsidRPr="006E78C4" w:rsidRDefault="00662CCF" w:rsidP="008E4E71">
      <w:pPr>
        <w:pStyle w:val="FootnoteText"/>
      </w:pPr>
      <w:r w:rsidRPr="006E78C4">
        <w:tab/>
      </w:r>
      <w:r w:rsidRPr="003A7E98">
        <w:rPr>
          <w:rStyle w:val="FootnoteReference"/>
          <w:lang w:val="fr-CH"/>
        </w:rPr>
        <w:footnoteRef/>
      </w:r>
      <w:r w:rsidRPr="006E78C4">
        <w:tab/>
        <w:t>TI-231, JI-124.</w:t>
      </w:r>
    </w:p>
  </w:footnote>
  <w:footnote w:id="51">
    <w:p w14:paraId="5D12B50A" w14:textId="77777777" w:rsidR="00662CCF" w:rsidRPr="00FF5DC1" w:rsidRDefault="00662CCF" w:rsidP="008E4E71">
      <w:pPr>
        <w:pStyle w:val="FootnoteText"/>
      </w:pPr>
      <w:r w:rsidRPr="006E78C4">
        <w:tab/>
      </w:r>
      <w:r w:rsidRPr="003A7E98">
        <w:rPr>
          <w:rStyle w:val="FootnoteReference"/>
          <w:lang w:val="fr-CH"/>
        </w:rPr>
        <w:footnoteRef/>
      </w:r>
      <w:r w:rsidRPr="00FF5DC1">
        <w:tab/>
        <w:t>TI-231, JI-124.</w:t>
      </w:r>
    </w:p>
  </w:footnote>
  <w:footnote w:id="52">
    <w:p w14:paraId="31B82BEE" w14:textId="3B3B3E54" w:rsidR="00662CCF" w:rsidRPr="00FF5DC1" w:rsidRDefault="00662CCF" w:rsidP="008E4E71">
      <w:pPr>
        <w:pStyle w:val="FootnoteText"/>
      </w:pPr>
      <w:r w:rsidRPr="00FF5DC1">
        <w:tab/>
      </w:r>
      <w:r w:rsidRPr="003A7E98">
        <w:rPr>
          <w:rStyle w:val="FootnoteReference"/>
          <w:lang w:val="fr-CH"/>
        </w:rPr>
        <w:footnoteRef/>
      </w:r>
      <w:r w:rsidRPr="00FF5DC1">
        <w:tab/>
        <w:t xml:space="preserve">See </w:t>
      </w:r>
      <w:r>
        <w:t>para.</w:t>
      </w:r>
      <w:r w:rsidRPr="00FF5DC1">
        <w:t xml:space="preserve"> 268-272 of this report.</w:t>
      </w:r>
    </w:p>
  </w:footnote>
  <w:footnote w:id="53">
    <w:p w14:paraId="017A2780" w14:textId="77777777" w:rsidR="00662CCF" w:rsidRPr="00B05CAD" w:rsidRDefault="00662CCF" w:rsidP="008E4E71">
      <w:pPr>
        <w:pStyle w:val="FootnoteText"/>
        <w:rPr>
          <w:lang w:val="fr-CH"/>
        </w:rPr>
      </w:pPr>
      <w:r w:rsidRPr="00FF5DC1">
        <w:tab/>
      </w:r>
      <w:r w:rsidRPr="003A7E98">
        <w:rPr>
          <w:rStyle w:val="FootnoteReference"/>
          <w:lang w:val="fr-CH"/>
        </w:rPr>
        <w:footnoteRef/>
      </w:r>
      <w:r>
        <w:rPr>
          <w:lang w:val="fr-CH"/>
        </w:rPr>
        <w:tab/>
      </w:r>
      <w:r w:rsidRPr="00B05CAD">
        <w:rPr>
          <w:lang w:val="fr-CH"/>
        </w:rPr>
        <w:t>HI-017, HI-020, JI-124, TI-246.</w:t>
      </w:r>
    </w:p>
  </w:footnote>
  <w:footnote w:id="54">
    <w:p w14:paraId="464A0B67" w14:textId="77777777" w:rsidR="00662CCF" w:rsidRPr="00B05CAD" w:rsidRDefault="00662CCF" w:rsidP="008E4E71">
      <w:pPr>
        <w:pStyle w:val="FootnoteText"/>
        <w:rPr>
          <w:lang w:val="fr-CH"/>
        </w:rPr>
      </w:pPr>
      <w:r>
        <w:rPr>
          <w:lang w:val="fr-CH"/>
        </w:rPr>
        <w:tab/>
      </w:r>
      <w:r w:rsidRPr="003A7E98">
        <w:rPr>
          <w:rStyle w:val="FootnoteReference"/>
          <w:lang w:val="fr-CH"/>
        </w:rPr>
        <w:footnoteRef/>
      </w:r>
      <w:r>
        <w:rPr>
          <w:lang w:val="fr-CH"/>
        </w:rPr>
        <w:tab/>
      </w:r>
      <w:hyperlink r:id="rId13" w:history="1">
        <w:r w:rsidRPr="00B05CAD">
          <w:rPr>
            <w:lang w:val="fr-CH"/>
          </w:rPr>
          <w:t>https://www.voaafrique.com/a/4910314.html</w:t>
        </w:r>
      </w:hyperlink>
      <w:r w:rsidRPr="00B05CAD">
        <w:rPr>
          <w:lang w:val="fr-CH"/>
        </w:rPr>
        <w:t xml:space="preserve"> ; https://www.ifj.org/fr/salle-de-presse/nouvelles/detail/category/safety/article/burundi-ifj-condemns-arrest-of-broadcast-journalist.html</w:t>
      </w:r>
      <w:r>
        <w:rPr>
          <w:lang w:val="fr-CH"/>
        </w:rPr>
        <w:t>.</w:t>
      </w:r>
    </w:p>
  </w:footnote>
  <w:footnote w:id="55">
    <w:p w14:paraId="21A44736" w14:textId="77777777" w:rsidR="00662CCF" w:rsidRPr="00B05CAD" w:rsidRDefault="00662CCF" w:rsidP="008E4E71">
      <w:pPr>
        <w:pStyle w:val="FootnoteText"/>
        <w:rPr>
          <w:lang w:val="fr-CH"/>
        </w:rPr>
      </w:pPr>
      <w:r>
        <w:rPr>
          <w:lang w:val="fr-CH"/>
        </w:rPr>
        <w:tab/>
      </w:r>
      <w:r w:rsidRPr="003A7E98">
        <w:rPr>
          <w:rStyle w:val="FootnoteReference"/>
          <w:lang w:val="fr-CH"/>
        </w:rPr>
        <w:footnoteRef/>
      </w:r>
      <w:r>
        <w:rPr>
          <w:lang w:val="fr-CH"/>
        </w:rPr>
        <w:tab/>
      </w:r>
      <w:r w:rsidRPr="00B05CAD">
        <w:rPr>
          <w:lang w:val="fr-CH"/>
        </w:rPr>
        <w:t>HI-005, HI-020.</w:t>
      </w:r>
    </w:p>
  </w:footnote>
  <w:footnote w:id="56">
    <w:p w14:paraId="364CAAED" w14:textId="77777777" w:rsidR="00662CCF" w:rsidRPr="00B05CAD" w:rsidRDefault="00662CCF" w:rsidP="008E4E71">
      <w:pPr>
        <w:pStyle w:val="FootnoteText"/>
        <w:rPr>
          <w:lang w:val="fr-CH"/>
        </w:rPr>
      </w:pPr>
      <w:r>
        <w:rPr>
          <w:lang w:val="fr-CH"/>
        </w:rPr>
        <w:tab/>
      </w:r>
      <w:r w:rsidRPr="003A7E98">
        <w:rPr>
          <w:rStyle w:val="FootnoteReference"/>
          <w:lang w:val="fr-CH"/>
        </w:rPr>
        <w:footnoteRef/>
      </w:r>
      <w:r>
        <w:rPr>
          <w:lang w:val="fr-CH"/>
        </w:rPr>
        <w:tab/>
      </w:r>
      <w:r w:rsidRPr="00B05CAD">
        <w:rPr>
          <w:lang w:val="fr-CH"/>
        </w:rPr>
        <w:t>JI-124.</w:t>
      </w:r>
    </w:p>
  </w:footnote>
  <w:footnote w:id="57">
    <w:p w14:paraId="36460470" w14:textId="77777777" w:rsidR="00662CCF" w:rsidRPr="00B05CAD" w:rsidRDefault="00662CCF" w:rsidP="008E4E71">
      <w:pPr>
        <w:pStyle w:val="FootnoteText"/>
        <w:rPr>
          <w:lang w:val="fr-CH"/>
        </w:rPr>
      </w:pPr>
      <w:r>
        <w:rPr>
          <w:lang w:val="fr-CH"/>
        </w:rPr>
        <w:tab/>
      </w:r>
      <w:r w:rsidRPr="003A7E98">
        <w:rPr>
          <w:rStyle w:val="FootnoteReference"/>
          <w:lang w:val="fr-CH"/>
        </w:rPr>
        <w:footnoteRef/>
      </w:r>
      <w:r>
        <w:rPr>
          <w:lang w:val="fr-CH"/>
        </w:rPr>
        <w:tab/>
      </w:r>
      <w:r w:rsidRPr="00B05CAD">
        <w:rPr>
          <w:lang w:val="fr-CH"/>
        </w:rPr>
        <w:t>JI-124, JI-125.</w:t>
      </w:r>
    </w:p>
  </w:footnote>
  <w:footnote w:id="58">
    <w:p w14:paraId="37251B53" w14:textId="77777777" w:rsidR="00662CCF" w:rsidRPr="00FF5DC1" w:rsidRDefault="00662CCF" w:rsidP="008E4E71">
      <w:pPr>
        <w:pStyle w:val="FootnoteText"/>
      </w:pPr>
      <w:r>
        <w:rPr>
          <w:lang w:val="fr-CH"/>
        </w:rPr>
        <w:tab/>
      </w:r>
      <w:r w:rsidRPr="003A7E98">
        <w:rPr>
          <w:rStyle w:val="FootnoteReference"/>
          <w:lang w:val="fr-CH"/>
        </w:rPr>
        <w:footnoteRef/>
      </w:r>
      <w:r w:rsidRPr="00FF5DC1">
        <w:tab/>
        <w:t>JI-124.</w:t>
      </w:r>
    </w:p>
  </w:footnote>
  <w:footnote w:id="59">
    <w:p w14:paraId="25960271" w14:textId="77777777" w:rsidR="00662CCF" w:rsidRPr="00FF5DC1" w:rsidRDefault="00662CCF" w:rsidP="008E4E71">
      <w:pPr>
        <w:pStyle w:val="FootnoteText"/>
      </w:pPr>
      <w:r w:rsidRPr="00FF5DC1">
        <w:tab/>
      </w:r>
      <w:r w:rsidRPr="003A7E98">
        <w:rPr>
          <w:rStyle w:val="FootnoteReference"/>
          <w:lang w:val="fr-CH"/>
        </w:rPr>
        <w:footnoteRef/>
      </w:r>
      <w:r w:rsidRPr="00FF5DC1">
        <w:tab/>
        <w:t>TI-231.</w:t>
      </w:r>
    </w:p>
  </w:footnote>
  <w:footnote w:id="60">
    <w:p w14:paraId="06E860E0" w14:textId="374DD4BE" w:rsidR="00662CCF" w:rsidRPr="00FF5DC1" w:rsidRDefault="00662CCF" w:rsidP="008E4E71">
      <w:pPr>
        <w:pStyle w:val="FootnoteText"/>
      </w:pPr>
      <w:r w:rsidRPr="00FF5DC1">
        <w:tab/>
      </w:r>
      <w:r w:rsidRPr="003A7E98">
        <w:rPr>
          <w:rStyle w:val="FootnoteReference"/>
          <w:lang w:val="fr-CH"/>
        </w:rPr>
        <w:footnoteRef/>
      </w:r>
      <w:r w:rsidRPr="00FF5DC1">
        <w:tab/>
        <w:t xml:space="preserve">See </w:t>
      </w:r>
      <w:r>
        <w:t>para.</w:t>
      </w:r>
      <w:r w:rsidRPr="00FF5DC1">
        <w:t xml:space="preserve"> 220-230 of this report.</w:t>
      </w:r>
    </w:p>
  </w:footnote>
  <w:footnote w:id="61">
    <w:p w14:paraId="1BD93137" w14:textId="2A609DEC" w:rsidR="00662CCF" w:rsidRPr="00FF5DC1" w:rsidRDefault="00662CCF" w:rsidP="008E4E71">
      <w:pPr>
        <w:pStyle w:val="FootnoteText"/>
      </w:pPr>
      <w:r w:rsidRPr="00FF5DC1">
        <w:tab/>
      </w:r>
      <w:r w:rsidRPr="003A7E98">
        <w:rPr>
          <w:rStyle w:val="FootnoteReference"/>
          <w:lang w:val="fr-CH"/>
        </w:rPr>
        <w:footnoteRef/>
      </w:r>
      <w:r w:rsidRPr="00FF5DC1">
        <w:tab/>
        <w:t xml:space="preserve">See A/HRC/39/CRP.1, </w:t>
      </w:r>
      <w:r>
        <w:t>para.</w:t>
      </w:r>
      <w:r w:rsidRPr="00FF5DC1">
        <w:t xml:space="preserve"> 429-438.</w:t>
      </w:r>
    </w:p>
  </w:footnote>
  <w:footnote w:id="62">
    <w:p w14:paraId="7641DB87" w14:textId="77777777" w:rsidR="00662CCF" w:rsidRPr="00FF5DC1" w:rsidRDefault="00662CCF" w:rsidP="008E4E71">
      <w:pPr>
        <w:pStyle w:val="FootnoteText"/>
      </w:pPr>
      <w:r w:rsidRPr="00FF5DC1">
        <w:tab/>
      </w:r>
      <w:r w:rsidRPr="003A7E98">
        <w:rPr>
          <w:rStyle w:val="FootnoteReference"/>
          <w:lang w:val="fr-CH"/>
        </w:rPr>
        <w:footnoteRef/>
      </w:r>
      <w:r w:rsidRPr="00FF5DC1">
        <w:tab/>
      </w:r>
      <w:hyperlink r:id="rId14" w:history="1">
        <w:r w:rsidRPr="00FF5DC1">
          <w:t>http://www.rfi.fr/afrique/20190420-burundi-commissaire-menace-publiquement-eliminer-opposants</w:t>
        </w:r>
      </w:hyperlink>
      <w:r w:rsidRPr="00FF5DC1">
        <w:t xml:space="preserve"> ; </w:t>
      </w:r>
      <w:hyperlink r:id="rId15" w:history="1">
        <w:r w:rsidRPr="00FF5DC1">
          <w:t>https://www.voaafrique.com/a/un-haut-responsable-policier-menace-publiquement-d-%c3%a9liminer-des-opposants/4883155.html</w:t>
        </w:r>
      </w:hyperlink>
      <w:r w:rsidRPr="00FF5DC1">
        <w:t>.</w:t>
      </w:r>
    </w:p>
  </w:footnote>
  <w:footnote w:id="63">
    <w:p w14:paraId="578FADFF" w14:textId="0C135DDE" w:rsidR="00662CCF" w:rsidRPr="00475A07" w:rsidRDefault="00662CCF" w:rsidP="008E4E71">
      <w:pPr>
        <w:pStyle w:val="FootnoteText"/>
      </w:pPr>
      <w:r w:rsidRPr="00FF5DC1">
        <w:tab/>
      </w:r>
      <w:r w:rsidRPr="003A7E98">
        <w:rPr>
          <w:rStyle w:val="FootnoteReference"/>
          <w:lang w:val="fr-CH"/>
        </w:rPr>
        <w:footnoteRef/>
      </w:r>
      <w:r w:rsidRPr="00475A07">
        <w:tab/>
        <w:t>Informal translation of an audio recording obtained by the Commission.</w:t>
      </w:r>
    </w:p>
  </w:footnote>
  <w:footnote w:id="64">
    <w:p w14:paraId="3E12F577" w14:textId="12823638" w:rsidR="00662CCF" w:rsidRPr="00EA7298" w:rsidRDefault="00662CCF" w:rsidP="008E4E71">
      <w:pPr>
        <w:pStyle w:val="FootnoteText"/>
      </w:pPr>
      <w:r w:rsidRPr="00475A07">
        <w:tab/>
      </w:r>
      <w:r w:rsidRPr="003A7E98">
        <w:rPr>
          <w:rStyle w:val="FootnoteReference"/>
          <w:lang w:val="fr-CH"/>
        </w:rPr>
        <w:footnoteRef/>
      </w:r>
      <w:r w:rsidRPr="008E4309">
        <w:tab/>
        <w:t xml:space="preserve">Song in Kirundi, informal translation done by the Commission. </w:t>
      </w:r>
      <w:r w:rsidRPr="00EA7298">
        <w:t xml:space="preserve">See </w:t>
      </w:r>
      <w:r>
        <w:t>also</w:t>
      </w:r>
      <w:r w:rsidRPr="00EA7298">
        <w:t xml:space="preserve"> JI-126.</w:t>
      </w:r>
    </w:p>
  </w:footnote>
  <w:footnote w:id="65">
    <w:p w14:paraId="785FAA4C" w14:textId="77777777" w:rsidR="00662CCF" w:rsidRPr="00EA7298" w:rsidRDefault="00662CCF" w:rsidP="008E4E71">
      <w:pPr>
        <w:pStyle w:val="FootnoteText"/>
      </w:pPr>
      <w:r w:rsidRPr="00EA7298">
        <w:tab/>
      </w:r>
      <w:r w:rsidRPr="003A7E98">
        <w:rPr>
          <w:rStyle w:val="FootnoteReference"/>
          <w:lang w:val="fr-CH"/>
        </w:rPr>
        <w:footnoteRef/>
      </w:r>
      <w:r w:rsidRPr="00EA7298">
        <w:tab/>
      </w:r>
      <w:hyperlink r:id="rId16" w:history="1">
        <w:r w:rsidRPr="00EA7298">
          <w:t>https://twitter.com/iburundi/status/1058675255466704897?s=12</w:t>
        </w:r>
      </w:hyperlink>
      <w:r w:rsidRPr="00EA7298">
        <w:t xml:space="preserve"> ; </w:t>
      </w:r>
      <w:hyperlink r:id="rId17" w:history="1">
        <w:r w:rsidRPr="00EA7298">
          <w:t>https://twitter.com/akanyegeri/status/1134022935184859136</w:t>
        </w:r>
      </w:hyperlink>
      <w:r w:rsidRPr="00EA7298">
        <w:t>.</w:t>
      </w:r>
    </w:p>
  </w:footnote>
  <w:footnote w:id="66">
    <w:p w14:paraId="09151E2C" w14:textId="5EAC6F0F" w:rsidR="00662CCF" w:rsidRPr="00EA7298" w:rsidRDefault="00662CCF" w:rsidP="008E4E71">
      <w:pPr>
        <w:pStyle w:val="FootnoteText"/>
      </w:pPr>
      <w:r w:rsidRPr="00EA7298">
        <w:tab/>
      </w:r>
      <w:r w:rsidRPr="003A7E98">
        <w:rPr>
          <w:rStyle w:val="FootnoteReference"/>
          <w:lang w:val="fr-CH"/>
        </w:rPr>
        <w:footnoteRef/>
      </w:r>
      <w:r w:rsidRPr="00D707A9">
        <w:tab/>
        <w:t xml:space="preserve">See A/HRC/39/CRP.1, para. </w:t>
      </w:r>
      <w:r w:rsidRPr="00EA7298">
        <w:t>439-448.</w:t>
      </w:r>
    </w:p>
  </w:footnote>
  <w:footnote w:id="67">
    <w:p w14:paraId="0A333B81" w14:textId="37AA0CBD" w:rsidR="00662CCF" w:rsidRPr="00475A07" w:rsidRDefault="00662CCF" w:rsidP="008E4E71">
      <w:pPr>
        <w:pStyle w:val="FootnoteText"/>
      </w:pPr>
      <w:r w:rsidRPr="00EA7298">
        <w:tab/>
      </w:r>
      <w:r w:rsidRPr="003A7E98">
        <w:rPr>
          <w:rStyle w:val="FootnoteReference"/>
          <w:lang w:val="fr-CH"/>
        </w:rPr>
        <w:footnoteRef/>
      </w:r>
      <w:r w:rsidRPr="00475A07">
        <w:tab/>
        <w:t>Law n°1/02 of 27 January 2017 on</w:t>
      </w:r>
      <w:r>
        <w:t xml:space="preserve"> the organic framework of non-profit </w:t>
      </w:r>
      <w:r w:rsidRPr="00EA7298">
        <w:t>organisations (ASBL).</w:t>
      </w:r>
    </w:p>
  </w:footnote>
  <w:footnote w:id="68">
    <w:p w14:paraId="6A7E7C35" w14:textId="23101401" w:rsidR="00662CCF" w:rsidRPr="00FF5DC1" w:rsidRDefault="00662CCF" w:rsidP="008E4E71">
      <w:pPr>
        <w:pStyle w:val="FootnoteText"/>
      </w:pPr>
      <w:r w:rsidRPr="00475A07">
        <w:tab/>
      </w:r>
      <w:r w:rsidRPr="003A7E98">
        <w:rPr>
          <w:rStyle w:val="FootnoteReference"/>
          <w:lang w:val="fr-CH"/>
        </w:rPr>
        <w:footnoteRef/>
      </w:r>
      <w:r w:rsidRPr="00FF5DC1">
        <w:tab/>
        <w:t xml:space="preserve">See A/HRC/36/CRP.1, </w:t>
      </w:r>
      <w:r>
        <w:t>para.</w:t>
      </w:r>
      <w:r w:rsidRPr="00FF5DC1">
        <w:t xml:space="preserve"> 565-569.</w:t>
      </w:r>
    </w:p>
  </w:footnote>
  <w:footnote w:id="69">
    <w:p w14:paraId="116FEDE0" w14:textId="77777777" w:rsidR="00662CCF" w:rsidRPr="00FF5DC1" w:rsidRDefault="00662CCF" w:rsidP="008E4E71">
      <w:pPr>
        <w:pStyle w:val="FootnoteText"/>
      </w:pPr>
      <w:r w:rsidRPr="00FF5DC1">
        <w:tab/>
      </w:r>
      <w:r w:rsidRPr="003A7E98">
        <w:rPr>
          <w:rStyle w:val="FootnoteReference"/>
          <w:lang w:val="fr-CH"/>
        </w:rPr>
        <w:footnoteRef/>
      </w:r>
      <w:r w:rsidRPr="00FF5DC1">
        <w:tab/>
      </w:r>
      <w:hyperlink r:id="rId18" w:history="1">
        <w:r w:rsidRPr="00FF5DC1">
          <w:t>https://twitter.com/IntumwaNews/status/1131099256784400386</w:t>
        </w:r>
      </w:hyperlink>
      <w:r w:rsidRPr="00FF5DC1">
        <w:t>.</w:t>
      </w:r>
    </w:p>
  </w:footnote>
  <w:footnote w:id="70">
    <w:p w14:paraId="0E055E14" w14:textId="070E44B7" w:rsidR="00662CCF" w:rsidRPr="00EA7298" w:rsidRDefault="00662CCF" w:rsidP="008E4E71">
      <w:pPr>
        <w:pStyle w:val="FootnoteText"/>
      </w:pPr>
      <w:r w:rsidRPr="00FF5DC1">
        <w:tab/>
      </w:r>
      <w:r w:rsidRPr="003A7E98">
        <w:rPr>
          <w:rStyle w:val="FootnoteReference"/>
          <w:lang w:val="fr-CH"/>
        </w:rPr>
        <w:footnoteRef/>
      </w:r>
      <w:r w:rsidRPr="00EA7298">
        <w:tab/>
        <w:t xml:space="preserve">Law n°1/01 of 23 January 2017 on the general cooperation framework between the Republic of Burundi and </w:t>
      </w:r>
      <w:r>
        <w:t xml:space="preserve">the foreign NGOs. </w:t>
      </w:r>
      <w:r w:rsidRPr="00EA7298">
        <w:t>.</w:t>
      </w:r>
    </w:p>
  </w:footnote>
  <w:footnote w:id="71">
    <w:p w14:paraId="7EF6E57A" w14:textId="7843324F" w:rsidR="00662CCF" w:rsidRPr="00EA7298" w:rsidRDefault="00662CCF" w:rsidP="008E4E71">
      <w:pPr>
        <w:pStyle w:val="FootnoteText"/>
      </w:pPr>
      <w:r w:rsidRPr="00EA7298">
        <w:tab/>
      </w:r>
      <w:r w:rsidRPr="003A7E98">
        <w:rPr>
          <w:rStyle w:val="FootnoteReference"/>
          <w:lang w:val="fr-CH"/>
        </w:rPr>
        <w:footnoteRef/>
      </w:r>
      <w:r w:rsidRPr="00EA7298">
        <w:tab/>
        <w:t xml:space="preserve">Official framework of the Council of </w:t>
      </w:r>
      <w:r>
        <w:t>M</w:t>
      </w:r>
      <w:r w:rsidRPr="00EA7298">
        <w:t xml:space="preserve">inisters of the 10 May 2019 during which three draft decrees on the functioning of foreign NGOs </w:t>
      </w:r>
      <w:r>
        <w:t>were presented by the Minister of Foreign Affairs</w:t>
      </w:r>
      <w:r w:rsidRPr="00EA7298">
        <w:t>: http://burundi.gov.bi/spip.php?article4280.</w:t>
      </w:r>
    </w:p>
  </w:footnote>
  <w:footnote w:id="72">
    <w:p w14:paraId="60CE6CB5" w14:textId="77777777" w:rsidR="00662CCF" w:rsidRPr="00193F55" w:rsidRDefault="00662CCF" w:rsidP="008E4E71">
      <w:pPr>
        <w:pStyle w:val="FootnoteText"/>
      </w:pPr>
      <w:r w:rsidRPr="00EA7298">
        <w:tab/>
      </w:r>
      <w:r w:rsidRPr="003A7E98">
        <w:rPr>
          <w:rStyle w:val="FootnoteReference"/>
          <w:lang w:val="fr-CH"/>
        </w:rPr>
        <w:footnoteRef/>
      </w:r>
      <w:r w:rsidRPr="00193F55">
        <w:tab/>
        <w:t>http://www.bujumbura.eu/2018/10/suspension-des-onge-le-ministre-de-l-interieur-clarifie-la-decision-du-conseil-national-de-securite.html.</w:t>
      </w:r>
    </w:p>
  </w:footnote>
  <w:footnote w:id="73">
    <w:p w14:paraId="6A2D5177" w14:textId="2AD04300" w:rsidR="00662CCF" w:rsidRPr="00FF5DC1" w:rsidRDefault="00662CCF" w:rsidP="008E4E71">
      <w:pPr>
        <w:pStyle w:val="FootnoteText"/>
      </w:pPr>
      <w:r w:rsidRPr="00193F55">
        <w:tab/>
      </w:r>
      <w:r w:rsidRPr="003A7E98">
        <w:rPr>
          <w:rStyle w:val="FootnoteReference"/>
          <w:lang w:val="fr-CH"/>
        </w:rPr>
        <w:footnoteRef/>
      </w:r>
      <w:r w:rsidRPr="00FF5DC1">
        <w:tab/>
        <w:t xml:space="preserve">See A/HRC/39/CRP.1, </w:t>
      </w:r>
      <w:r>
        <w:t>para.</w:t>
      </w:r>
      <w:r w:rsidRPr="00FF5DC1">
        <w:t xml:space="preserve"> 69-78.</w:t>
      </w:r>
    </w:p>
  </w:footnote>
  <w:footnote w:id="74">
    <w:p w14:paraId="679B29C7" w14:textId="2B70EFBB" w:rsidR="00662CCF" w:rsidRPr="00FF5DC1" w:rsidRDefault="00662CCF" w:rsidP="008E4E71">
      <w:pPr>
        <w:pStyle w:val="FootnoteText"/>
      </w:pPr>
      <w:r w:rsidRPr="00FF5DC1">
        <w:tab/>
      </w:r>
      <w:r w:rsidRPr="003A7E98">
        <w:rPr>
          <w:rStyle w:val="FootnoteReference"/>
          <w:lang w:val="fr-CH"/>
        </w:rPr>
        <w:footnoteRef/>
      </w:r>
      <w:r w:rsidRPr="00FF5DC1">
        <w:tab/>
      </w:r>
      <w:hyperlink r:id="rId19" w:history="1">
        <w:r w:rsidRPr="00FF5DC1">
          <w:t>https://www.presidence.gov.bi/wp-content/uploads/2019/07/Communiqué-Conseil-du-17-</w:t>
        </w:r>
        <w:r>
          <w:t xml:space="preserve">July </w:t>
        </w:r>
        <w:r w:rsidRPr="00FF5DC1">
          <w:t>-2019.pdf</w:t>
        </w:r>
      </w:hyperlink>
      <w:r w:rsidRPr="00FF5DC1">
        <w:t>.</w:t>
      </w:r>
    </w:p>
  </w:footnote>
  <w:footnote w:id="75">
    <w:p w14:paraId="469EB88B" w14:textId="56D4AC42" w:rsidR="00662CCF" w:rsidRPr="00FF5DC1" w:rsidRDefault="00662CCF" w:rsidP="008E4E71">
      <w:pPr>
        <w:pStyle w:val="FootnoteText"/>
      </w:pPr>
      <w:r w:rsidRPr="00FF5DC1">
        <w:tab/>
      </w:r>
      <w:r w:rsidRPr="003A7E98">
        <w:rPr>
          <w:rStyle w:val="FootnoteReference"/>
          <w:lang w:val="fr-CH"/>
        </w:rPr>
        <w:footnoteRef/>
      </w:r>
      <w:r w:rsidRPr="00FF5DC1">
        <w:tab/>
      </w:r>
      <w:hyperlink r:id="rId20" w:history="1">
        <w:r w:rsidRPr="00FF5DC1">
          <w:t>https://www.presidence.gov.bi/wp-content/uploads/2019/07/Communiqué-Conseil-du-17-</w:t>
        </w:r>
        <w:r>
          <w:t xml:space="preserve">July </w:t>
        </w:r>
        <w:r w:rsidRPr="00FF5DC1">
          <w:t>-2019.pdf</w:t>
        </w:r>
      </w:hyperlink>
      <w:r w:rsidRPr="00FF5DC1">
        <w:t>.</w:t>
      </w:r>
    </w:p>
  </w:footnote>
  <w:footnote w:id="76">
    <w:p w14:paraId="521A92FF" w14:textId="77777777" w:rsidR="00662CCF" w:rsidRPr="00FF5DC1" w:rsidRDefault="00662CCF" w:rsidP="008E4E71">
      <w:pPr>
        <w:pStyle w:val="FootnoteText"/>
      </w:pPr>
      <w:r w:rsidRPr="00FF5DC1">
        <w:tab/>
      </w:r>
      <w:r w:rsidRPr="003A7E98">
        <w:rPr>
          <w:rStyle w:val="FootnoteReference"/>
          <w:lang w:val="fr-CH"/>
        </w:rPr>
        <w:footnoteRef/>
      </w:r>
      <w:r w:rsidRPr="00FF5DC1">
        <w:tab/>
        <w:t>http://www.rtnb.bi/fr/art.php?idapi=3/2/147.</w:t>
      </w:r>
    </w:p>
  </w:footnote>
  <w:footnote w:id="77">
    <w:p w14:paraId="60862D0E" w14:textId="6E054867" w:rsidR="00662CCF" w:rsidRPr="00193F55" w:rsidRDefault="00662CCF" w:rsidP="008E4E71">
      <w:pPr>
        <w:pStyle w:val="FootnoteText"/>
      </w:pPr>
      <w:r w:rsidRPr="00FF5DC1">
        <w:tab/>
      </w:r>
      <w:r w:rsidRPr="003A7E98">
        <w:rPr>
          <w:rStyle w:val="FootnoteReference"/>
          <w:lang w:val="fr-CH"/>
        </w:rPr>
        <w:footnoteRef/>
      </w:r>
      <w:r w:rsidRPr="00275C9B">
        <w:tab/>
        <w:t xml:space="preserve">See the report of the special Rapporteur on the right </w:t>
      </w:r>
      <w:r>
        <w:t xml:space="preserve">to </w:t>
      </w:r>
      <w:r w:rsidRPr="00275C9B">
        <w:t xml:space="preserve">peaceful assembly and freedom of association,     A/HRC/20/27, para. </w:t>
      </w:r>
      <w:r w:rsidRPr="00193F55">
        <w:t>65-67.</w:t>
      </w:r>
    </w:p>
  </w:footnote>
  <w:footnote w:id="78">
    <w:p w14:paraId="167B6BEC" w14:textId="77777777" w:rsidR="00662CCF" w:rsidRPr="00193F55" w:rsidRDefault="00662CCF" w:rsidP="008E4E71">
      <w:pPr>
        <w:pStyle w:val="FootnoteText"/>
      </w:pPr>
      <w:r w:rsidRPr="00193F55">
        <w:tab/>
      </w:r>
      <w:r w:rsidRPr="003A7E98">
        <w:rPr>
          <w:rStyle w:val="FootnoteReference"/>
          <w:lang w:val="fr-CH"/>
        </w:rPr>
        <w:footnoteRef/>
      </w:r>
      <w:r w:rsidRPr="00193F55">
        <w:tab/>
      </w:r>
      <w:hyperlink r:id="rId21" w:history="1">
        <w:r w:rsidRPr="00193F55">
          <w:t>http://www.rtnb.bi/fr/art.php?idapi=3/2/147</w:t>
        </w:r>
      </w:hyperlink>
      <w:r w:rsidRPr="00193F55">
        <w:t>.</w:t>
      </w:r>
    </w:p>
  </w:footnote>
  <w:footnote w:id="79">
    <w:p w14:paraId="17E7FD8D" w14:textId="77777777" w:rsidR="00662CCF" w:rsidRPr="00193F55" w:rsidRDefault="00662CCF" w:rsidP="008E4E71">
      <w:pPr>
        <w:pStyle w:val="FootnoteText"/>
      </w:pPr>
      <w:r w:rsidRPr="00193F55">
        <w:tab/>
      </w:r>
      <w:r w:rsidRPr="003A7E98">
        <w:rPr>
          <w:rStyle w:val="FootnoteReference"/>
          <w:lang w:val="fr-CH"/>
        </w:rPr>
        <w:footnoteRef/>
      </w:r>
      <w:r w:rsidRPr="00193F55">
        <w:tab/>
      </w:r>
      <w:hyperlink r:id="rId22" w:history="1">
        <w:r w:rsidRPr="00193F55">
          <w:t>http://rtnb.bi/fr/art.php?idapi=3/3/52</w:t>
        </w:r>
      </w:hyperlink>
      <w:r w:rsidRPr="00193F55">
        <w:t>.</w:t>
      </w:r>
    </w:p>
  </w:footnote>
  <w:footnote w:id="80">
    <w:p w14:paraId="39F6C245" w14:textId="77777777" w:rsidR="00662CCF" w:rsidRPr="00193F55" w:rsidRDefault="00662CCF" w:rsidP="008E4E71">
      <w:pPr>
        <w:pStyle w:val="FootnoteText"/>
      </w:pPr>
      <w:r w:rsidRPr="00193F55">
        <w:tab/>
      </w:r>
      <w:r w:rsidRPr="003A7E98">
        <w:rPr>
          <w:rStyle w:val="FootnoteReference"/>
          <w:lang w:val="fr-CH"/>
        </w:rPr>
        <w:footnoteRef/>
      </w:r>
      <w:r w:rsidRPr="00193F55">
        <w:tab/>
        <w:t xml:space="preserve">TI-164. </w:t>
      </w:r>
    </w:p>
  </w:footnote>
  <w:footnote w:id="81">
    <w:p w14:paraId="4A87A5CF" w14:textId="77777777" w:rsidR="00662CCF" w:rsidRPr="00193F55" w:rsidRDefault="00662CCF" w:rsidP="008E4E71">
      <w:pPr>
        <w:pStyle w:val="FootnoteText"/>
      </w:pPr>
      <w:r w:rsidRPr="00193F55">
        <w:tab/>
      </w:r>
      <w:r w:rsidRPr="003A7E98">
        <w:rPr>
          <w:rStyle w:val="FootnoteReference"/>
          <w:lang w:val="fr-CH"/>
        </w:rPr>
        <w:footnoteRef/>
      </w:r>
      <w:r w:rsidRPr="00193F55">
        <w:tab/>
      </w:r>
      <w:hyperlink r:id="rId23" w:history="1">
        <w:r w:rsidRPr="00193F55">
          <w:t>https://burundi-agnews.org/societe-civile/burundi-naissance-dune-societe-civile-alternative/</w:t>
        </w:r>
      </w:hyperlink>
      <w:r w:rsidRPr="00193F55">
        <w:t>.</w:t>
      </w:r>
    </w:p>
  </w:footnote>
  <w:footnote w:id="82">
    <w:p w14:paraId="50F0E0BF" w14:textId="77777777" w:rsidR="00662CCF" w:rsidRPr="00193F55" w:rsidRDefault="00662CCF" w:rsidP="008E4E71">
      <w:pPr>
        <w:pStyle w:val="FootnoteText"/>
      </w:pPr>
      <w:r w:rsidRPr="00193F55">
        <w:tab/>
      </w:r>
      <w:r w:rsidRPr="003A7E98">
        <w:rPr>
          <w:rStyle w:val="FootnoteReference"/>
          <w:lang w:val="fr-CH"/>
        </w:rPr>
        <w:footnoteRef/>
      </w:r>
      <w:r w:rsidRPr="00193F55">
        <w:tab/>
      </w:r>
      <w:hyperlink r:id="rId24" w:history="1">
        <w:r w:rsidRPr="00193F55">
          <w:t>http://rtnb.bi/fr/art.php?idapi=1/4/129</w:t>
        </w:r>
      </w:hyperlink>
      <w:r w:rsidRPr="00193F55">
        <w:t>.</w:t>
      </w:r>
    </w:p>
  </w:footnote>
  <w:footnote w:id="83">
    <w:p w14:paraId="43EAE477" w14:textId="77777777" w:rsidR="00662CCF" w:rsidRPr="00193F55" w:rsidRDefault="00662CCF" w:rsidP="008E4E71">
      <w:pPr>
        <w:pStyle w:val="FootnoteText"/>
      </w:pPr>
      <w:r w:rsidRPr="00193F55">
        <w:tab/>
      </w:r>
      <w:r w:rsidRPr="003A7E98">
        <w:rPr>
          <w:rStyle w:val="FootnoteReference"/>
          <w:lang w:val="fr-CH"/>
        </w:rPr>
        <w:footnoteRef/>
      </w:r>
      <w:r w:rsidRPr="00193F55">
        <w:tab/>
      </w:r>
      <w:hyperlink r:id="rId25" w:history="1">
        <w:r w:rsidRPr="00193F55">
          <w:t>https://www.kabazawebtv.org/?p=3144&amp;lang=fr</w:t>
        </w:r>
      </w:hyperlink>
      <w:r w:rsidRPr="00193F55">
        <w:t>.</w:t>
      </w:r>
    </w:p>
  </w:footnote>
  <w:footnote w:id="84">
    <w:p w14:paraId="254B8458" w14:textId="2CD5009B" w:rsidR="00662CCF" w:rsidRPr="00FF5DC1" w:rsidRDefault="00662CCF" w:rsidP="008E4E71">
      <w:pPr>
        <w:pStyle w:val="FootnoteText"/>
      </w:pPr>
      <w:r w:rsidRPr="00193F55">
        <w:tab/>
      </w:r>
      <w:r w:rsidRPr="003A7E98">
        <w:rPr>
          <w:rStyle w:val="FootnoteReference"/>
          <w:lang w:val="fr-CH"/>
        </w:rPr>
        <w:footnoteRef/>
      </w:r>
      <w:r w:rsidRPr="00FF5DC1">
        <w:tab/>
      </w:r>
      <w:hyperlink r:id="rId26" w:history="1">
        <w:r w:rsidRPr="00FF5DC1">
          <w:t>http://www.en.igihe.com/politics-48/rights-groups-allied-to-burundi-</w:t>
        </w:r>
        <w:r>
          <w:t>Government</w:t>
        </w:r>
        <w:r w:rsidRPr="00FF5DC1">
          <w:t>-no.html</w:t>
        </w:r>
      </w:hyperlink>
      <w:r w:rsidRPr="00FF5DC1">
        <w:t xml:space="preserve"> and </w:t>
      </w:r>
      <w:hyperlink r:id="rId27" w:history="1">
        <w:r w:rsidRPr="00FF5DC1">
          <w:t>https://regionweek.com/burundi-politics-two-civil-societies-organizations-do-not-see-the-need-of-the-5th-round-of-inter-burundian-dialogue/</w:t>
        </w:r>
      </w:hyperlink>
      <w:r w:rsidRPr="00FF5DC1">
        <w:t>.</w:t>
      </w:r>
    </w:p>
  </w:footnote>
  <w:footnote w:id="85">
    <w:p w14:paraId="5D20F903" w14:textId="0F8CE791" w:rsidR="00662CCF" w:rsidRPr="00FF5DC1" w:rsidRDefault="00662CCF" w:rsidP="008E4E71">
      <w:pPr>
        <w:pStyle w:val="FootnoteText"/>
      </w:pPr>
      <w:r w:rsidRPr="00FF5DC1">
        <w:tab/>
      </w:r>
      <w:r w:rsidRPr="003A7E98">
        <w:rPr>
          <w:rStyle w:val="FootnoteReference"/>
          <w:lang w:val="fr-CH"/>
        </w:rPr>
        <w:footnoteRef/>
      </w:r>
      <w:r w:rsidRPr="00FF5DC1">
        <w:tab/>
        <w:t>https://www.iwacu-burundi.org/pisc-burundi-and-capes-remontes-contre-le-groupe-de-partenaires-du-burundi/.</w:t>
      </w:r>
    </w:p>
  </w:footnote>
  <w:footnote w:id="86">
    <w:p w14:paraId="54FDC826" w14:textId="77777777" w:rsidR="00662CCF" w:rsidRPr="00FF5DC1" w:rsidRDefault="00662CCF" w:rsidP="008E4E71">
      <w:pPr>
        <w:pStyle w:val="FootnoteText"/>
      </w:pPr>
      <w:r w:rsidRPr="00FF5DC1">
        <w:tab/>
      </w:r>
      <w:r w:rsidRPr="003A7E98">
        <w:rPr>
          <w:rStyle w:val="FootnoteReference"/>
          <w:lang w:val="fr-CH"/>
        </w:rPr>
        <w:footnoteRef/>
      </w:r>
      <w:r w:rsidRPr="00FF5DC1">
        <w:tab/>
        <w:t>https://www.youtube.com/watch?v=9qDWgUhAeiU.</w:t>
      </w:r>
    </w:p>
  </w:footnote>
  <w:footnote w:id="87">
    <w:p w14:paraId="26F42E67" w14:textId="2FD71A1B" w:rsidR="00662CCF" w:rsidRPr="00275C9B" w:rsidRDefault="00662CCF" w:rsidP="008E4E71">
      <w:pPr>
        <w:pStyle w:val="FootnoteText"/>
      </w:pPr>
      <w:r w:rsidRPr="00FF5DC1">
        <w:tab/>
      </w:r>
      <w:r w:rsidRPr="003A7E98">
        <w:rPr>
          <w:rStyle w:val="FootnoteReference"/>
          <w:lang w:val="fr-CH"/>
        </w:rPr>
        <w:footnoteRef/>
      </w:r>
      <w:r w:rsidRPr="00275C9B">
        <w:tab/>
        <w:t>Human Rights Committee</w:t>
      </w:r>
      <w:r>
        <w:t xml:space="preserve">, General Comment </w:t>
      </w:r>
      <w:r w:rsidRPr="00275C9B">
        <w:t xml:space="preserve">n° 25 (57) </w:t>
      </w:r>
      <w:r>
        <w:t>on article</w:t>
      </w:r>
      <w:r w:rsidRPr="00275C9B">
        <w:t xml:space="preserve"> 25 of the International Covenant on Civil and Political Rights.</w:t>
      </w:r>
    </w:p>
  </w:footnote>
  <w:footnote w:id="88">
    <w:p w14:paraId="00A4DBAC" w14:textId="50635857" w:rsidR="00662CCF" w:rsidRPr="00275C9B" w:rsidRDefault="00662CCF" w:rsidP="008E4E71">
      <w:pPr>
        <w:pStyle w:val="FootnoteText"/>
      </w:pPr>
      <w:r w:rsidRPr="00275C9B">
        <w:tab/>
      </w:r>
      <w:r w:rsidRPr="003A7E98">
        <w:rPr>
          <w:rStyle w:val="FootnoteReference"/>
          <w:lang w:val="fr-CH"/>
        </w:rPr>
        <w:footnoteRef/>
      </w:r>
      <w:r w:rsidRPr="00275C9B">
        <w:tab/>
        <w:t xml:space="preserve">Law n°1/16 of 10 September 2011 on the revision of </w:t>
      </w:r>
      <w:r>
        <w:t>l</w:t>
      </w:r>
      <w:r w:rsidRPr="00275C9B">
        <w:t xml:space="preserve">aw n°1/006 of 26 June 2003 </w:t>
      </w:r>
      <w:r>
        <w:t xml:space="preserve">on the </w:t>
      </w:r>
      <w:r w:rsidRPr="00275C9B">
        <w:t>organisation and</w:t>
      </w:r>
      <w:r>
        <w:t xml:space="preserve"> functioning of political parties</w:t>
      </w:r>
      <w:r w:rsidRPr="00275C9B">
        <w:t>.</w:t>
      </w:r>
    </w:p>
  </w:footnote>
  <w:footnote w:id="89">
    <w:p w14:paraId="4F8BF614" w14:textId="5CA9D258" w:rsidR="00662CCF" w:rsidRPr="00275C9B" w:rsidRDefault="00662CCF" w:rsidP="008E4E71">
      <w:pPr>
        <w:pStyle w:val="FootnoteText"/>
      </w:pPr>
      <w:r w:rsidRPr="00275C9B">
        <w:tab/>
      </w:r>
      <w:r w:rsidRPr="003A7E98">
        <w:rPr>
          <w:rStyle w:val="FootnoteReference"/>
          <w:lang w:val="fr-CH"/>
        </w:rPr>
        <w:footnoteRef/>
      </w:r>
      <w:r w:rsidRPr="00275C9B">
        <w:tab/>
        <w:t xml:space="preserve">Article 8 of the </w:t>
      </w:r>
      <w:r>
        <w:t>l</w:t>
      </w:r>
      <w:r w:rsidRPr="00275C9B">
        <w:t>aw n°1/16 of</w:t>
      </w:r>
      <w:r>
        <w:t xml:space="preserve"> 10 S</w:t>
      </w:r>
      <w:r w:rsidRPr="00275C9B">
        <w:t>eptemb</w:t>
      </w:r>
      <w:r>
        <w:t xml:space="preserve">er </w:t>
      </w:r>
      <w:r w:rsidRPr="00275C9B">
        <w:t>2011.</w:t>
      </w:r>
    </w:p>
  </w:footnote>
  <w:footnote w:id="90">
    <w:p w14:paraId="476C37A1" w14:textId="4D216C75" w:rsidR="00662CCF" w:rsidRPr="00275C9B" w:rsidRDefault="00662CCF" w:rsidP="008E4E71">
      <w:pPr>
        <w:pStyle w:val="FootnoteText"/>
      </w:pPr>
      <w:r w:rsidRPr="00275C9B">
        <w:tab/>
      </w:r>
      <w:r w:rsidRPr="003A7E98">
        <w:rPr>
          <w:rStyle w:val="FootnoteReference"/>
          <w:lang w:val="fr-CH"/>
        </w:rPr>
        <w:footnoteRef/>
      </w:r>
      <w:r w:rsidRPr="00275C9B">
        <w:tab/>
        <w:t xml:space="preserve">Articles 11 and 38 of the </w:t>
      </w:r>
      <w:r>
        <w:t>l</w:t>
      </w:r>
      <w:r w:rsidRPr="00275C9B">
        <w:t xml:space="preserve">aw n°1/16 of 10 </w:t>
      </w:r>
      <w:r>
        <w:t>September</w:t>
      </w:r>
      <w:r w:rsidRPr="00275C9B">
        <w:t xml:space="preserve"> 2011.</w:t>
      </w:r>
    </w:p>
  </w:footnote>
  <w:footnote w:id="91">
    <w:p w14:paraId="1D9F030B" w14:textId="53B64180" w:rsidR="00662CCF" w:rsidRPr="00193F55" w:rsidRDefault="00662CCF" w:rsidP="008E4E71">
      <w:pPr>
        <w:pStyle w:val="FootnoteText"/>
      </w:pPr>
      <w:r w:rsidRPr="00275C9B">
        <w:tab/>
      </w:r>
      <w:r w:rsidRPr="003A7E98">
        <w:rPr>
          <w:rStyle w:val="FootnoteReference"/>
          <w:lang w:val="fr-CH"/>
        </w:rPr>
        <w:footnoteRef/>
      </w:r>
      <w:r w:rsidRPr="00193F55">
        <w:tab/>
      </w:r>
      <w:r>
        <w:t>“</w:t>
      </w:r>
      <w:r w:rsidRPr="00193F55">
        <w:t>A declaration of subscription to the Charter of National Unity signed by all the founding members ; a social project ; an application signed by the legal representative along with a list of all the founding members indicating their names, first name, identity card number, date and place of birth as well as the profession and function of each member, a declaration indicating the complete identity of the leaders ; proof of residence of the founding members and the leaders ; birth certificates and recent extracts from the criminal record as well as certificates of good conduct of the founding members and the leaders; the name and addess of the political party; notorised internal bylaws and regulations in two copies; the name of the legal representative and his/her deputy</w:t>
      </w:r>
      <w:r>
        <w:t>”</w:t>
      </w:r>
      <w:r w:rsidRPr="00193F55">
        <w:t xml:space="preserve">, article 47 of the </w:t>
      </w:r>
      <w:r>
        <w:t>l</w:t>
      </w:r>
      <w:r w:rsidRPr="00193F55">
        <w:t>aw n°1/16 of 10 September 2011.</w:t>
      </w:r>
    </w:p>
  </w:footnote>
  <w:footnote w:id="92">
    <w:p w14:paraId="78447185" w14:textId="535C70B9" w:rsidR="00662CCF" w:rsidRPr="00275C9B" w:rsidRDefault="00662CCF" w:rsidP="008E4E71">
      <w:pPr>
        <w:pStyle w:val="FootnoteText"/>
      </w:pPr>
      <w:r w:rsidRPr="00193F55">
        <w:tab/>
      </w:r>
      <w:r w:rsidRPr="00AE2F72">
        <w:rPr>
          <w:rStyle w:val="FootnoteReference"/>
          <w:lang w:val="fr-CH"/>
        </w:rPr>
        <w:footnoteRef/>
      </w:r>
      <w:r w:rsidRPr="00275C9B">
        <w:tab/>
        <w:t xml:space="preserve">Article 48 of the </w:t>
      </w:r>
      <w:r>
        <w:t>l</w:t>
      </w:r>
      <w:r w:rsidRPr="00275C9B">
        <w:t xml:space="preserve">aw n°1/16 </w:t>
      </w:r>
      <w:r>
        <w:t>of</w:t>
      </w:r>
      <w:r w:rsidRPr="00275C9B">
        <w:t xml:space="preserve"> 10 September 2011.</w:t>
      </w:r>
    </w:p>
  </w:footnote>
  <w:footnote w:id="93">
    <w:p w14:paraId="74C3E1D1" w14:textId="124B6EE3" w:rsidR="00662CCF" w:rsidRPr="00193F55" w:rsidRDefault="00662CCF" w:rsidP="008E4E71">
      <w:pPr>
        <w:pStyle w:val="FootnoteText"/>
      </w:pPr>
      <w:r w:rsidRPr="00275C9B">
        <w:tab/>
      </w:r>
      <w:r w:rsidRPr="00AE2F72">
        <w:rPr>
          <w:rStyle w:val="FootnoteReference"/>
          <w:lang w:val="fr-CH"/>
        </w:rPr>
        <w:footnoteRef/>
      </w:r>
      <w:r w:rsidRPr="00275C9B">
        <w:tab/>
        <w:t xml:space="preserve">For matters related to the organisation of political meetings, see para. </w:t>
      </w:r>
      <w:r w:rsidRPr="00193F55">
        <w:t>259-267 of this report.</w:t>
      </w:r>
    </w:p>
  </w:footnote>
  <w:footnote w:id="94">
    <w:p w14:paraId="19BAFB5A" w14:textId="782A076D" w:rsidR="00662CCF" w:rsidRPr="008F771C" w:rsidRDefault="00662CCF" w:rsidP="008E4E71">
      <w:pPr>
        <w:pStyle w:val="FootnoteText"/>
      </w:pPr>
      <w:r w:rsidRPr="00193F55">
        <w:tab/>
      </w:r>
      <w:r w:rsidRPr="00AE2F72">
        <w:rPr>
          <w:rStyle w:val="FootnoteReference"/>
          <w:lang w:val="fr-CH"/>
        </w:rPr>
        <w:footnoteRef/>
      </w:r>
      <w:r w:rsidRPr="00193F55">
        <w:tab/>
        <w:t xml:space="preserve">DI-052, CI-065, HI-017. </w:t>
      </w:r>
      <w:r w:rsidRPr="008F771C">
        <w:t xml:space="preserve">See also: </w:t>
      </w:r>
      <w:hyperlink r:id="rId28" w:history="1">
        <w:r w:rsidRPr="008F771C">
          <w:t>http://www.rfi.fr/afrique/20190730-burundi-cnl-imbonerakure-permanences-vandalisees</w:t>
        </w:r>
      </w:hyperlink>
      <w:r w:rsidRPr="008F771C">
        <w:t xml:space="preserve">; </w:t>
      </w:r>
      <w:hyperlink r:id="rId29" w:history="1">
        <w:r w:rsidRPr="008F771C">
          <w:t>https://www.voaafrique.com/a/une-permanence-du-principal-parti-d-opposition-burundais-incendi%C3%A9e/4961824.html</w:t>
        </w:r>
      </w:hyperlink>
      <w:r w:rsidRPr="008F771C">
        <w:t>.</w:t>
      </w:r>
    </w:p>
  </w:footnote>
  <w:footnote w:id="95">
    <w:p w14:paraId="354958E1" w14:textId="77777777" w:rsidR="00662CCF" w:rsidRPr="00193F55" w:rsidRDefault="00662CCF" w:rsidP="008E4E71">
      <w:pPr>
        <w:pStyle w:val="FootnoteText"/>
      </w:pPr>
      <w:r w:rsidRPr="008F771C">
        <w:tab/>
      </w:r>
      <w:r w:rsidRPr="00AE2F72">
        <w:rPr>
          <w:rStyle w:val="FootnoteReference"/>
          <w:lang w:val="fr-CH"/>
        </w:rPr>
        <w:footnoteRef/>
      </w:r>
      <w:r w:rsidRPr="00193F55">
        <w:tab/>
      </w:r>
      <w:hyperlink r:id="rId30" w:history="1">
        <w:r w:rsidRPr="00193F55">
          <w:t>https://www.jeuneafrique.com/744238/politique/burundi-agathon-rwasa-denonce-les-restrictions-imposees-a-son-parti/</w:t>
        </w:r>
      </w:hyperlink>
      <w:r w:rsidRPr="00193F55">
        <w:t>.</w:t>
      </w:r>
    </w:p>
  </w:footnote>
  <w:footnote w:id="96">
    <w:p w14:paraId="59E37785" w14:textId="77777777" w:rsidR="00662CCF" w:rsidRPr="00FF5DC1" w:rsidRDefault="00662CCF" w:rsidP="008E4E71">
      <w:pPr>
        <w:pStyle w:val="FootnoteText"/>
      </w:pPr>
      <w:r w:rsidRPr="00193F55">
        <w:tab/>
      </w:r>
      <w:r w:rsidRPr="00AE2F72">
        <w:rPr>
          <w:rStyle w:val="FootnoteReference"/>
          <w:lang w:val="fr-CH"/>
        </w:rPr>
        <w:footnoteRef/>
      </w:r>
      <w:r w:rsidRPr="00FF5DC1">
        <w:tab/>
        <w:t>DI-052.</w:t>
      </w:r>
    </w:p>
  </w:footnote>
  <w:footnote w:id="97">
    <w:p w14:paraId="066D039C" w14:textId="3B2C61A9" w:rsidR="00662CCF" w:rsidRPr="00FF5DC1" w:rsidRDefault="00662CCF" w:rsidP="008E4E71">
      <w:pPr>
        <w:pStyle w:val="FootnoteText"/>
      </w:pPr>
      <w:r w:rsidRPr="00FF5DC1">
        <w:tab/>
      </w:r>
      <w:r w:rsidRPr="00AE2F72">
        <w:rPr>
          <w:rStyle w:val="FootnoteReference"/>
          <w:lang w:val="fr-CH"/>
        </w:rPr>
        <w:footnoteRef/>
      </w:r>
      <w:r w:rsidRPr="00FF5DC1">
        <w:tab/>
        <w:t xml:space="preserve">See </w:t>
      </w:r>
      <w:r>
        <w:t>para.</w:t>
      </w:r>
      <w:r w:rsidRPr="00FF5DC1">
        <w:t xml:space="preserve"> 80, 106, 120-121, 149 and 180 of this report.</w:t>
      </w:r>
    </w:p>
  </w:footnote>
  <w:footnote w:id="98">
    <w:p w14:paraId="1F30266E" w14:textId="3C8D00A8" w:rsidR="00662CCF" w:rsidRPr="00193F55" w:rsidRDefault="00662CCF" w:rsidP="008E4E71">
      <w:pPr>
        <w:pStyle w:val="FootnoteText"/>
      </w:pPr>
      <w:r w:rsidRPr="00FF5DC1">
        <w:tab/>
      </w:r>
      <w:r w:rsidRPr="00AE2F72">
        <w:rPr>
          <w:rStyle w:val="FootnoteReference"/>
          <w:lang w:val="fr-CH"/>
        </w:rPr>
        <w:footnoteRef/>
      </w:r>
      <w:r w:rsidRPr="00FF5DC1">
        <w:tab/>
        <w:t xml:space="preserve">See A/HRC/39/CRP.1, </w:t>
      </w:r>
      <w:r>
        <w:t>para.</w:t>
      </w:r>
      <w:r w:rsidRPr="00FF5DC1">
        <w:t xml:space="preserve"> </w:t>
      </w:r>
      <w:r w:rsidRPr="00193F55">
        <w:t>447-448.</w:t>
      </w:r>
    </w:p>
  </w:footnote>
  <w:footnote w:id="99">
    <w:p w14:paraId="153F0AA1" w14:textId="08D189FC" w:rsidR="00662CCF" w:rsidRPr="00032F02" w:rsidRDefault="00662CCF" w:rsidP="008E4E71">
      <w:pPr>
        <w:pStyle w:val="FootnoteText"/>
      </w:pPr>
      <w:r w:rsidRPr="00193F55">
        <w:tab/>
      </w:r>
      <w:r w:rsidRPr="00AE2F72">
        <w:rPr>
          <w:rStyle w:val="FootnoteReference"/>
          <w:lang w:val="fr-CH"/>
        </w:rPr>
        <w:footnoteRef/>
      </w:r>
      <w:r w:rsidRPr="00032F02">
        <w:tab/>
        <w:t>See African Court on Human and People's rights, Tanganyika Law Society, the Legal and Human Rights Center and Reverend Christopher R. Mtikila c. R</w:t>
      </w:r>
      <w:r>
        <w:t>epublic of Tanzania</w:t>
      </w:r>
      <w:r w:rsidRPr="00032F02">
        <w:t>, 14 June 2013 ; African C</w:t>
      </w:r>
      <w:r>
        <w:t xml:space="preserve">ommission </w:t>
      </w:r>
      <w:r w:rsidRPr="00032F02">
        <w:t xml:space="preserve">on Human and People's rights, communication n° 355/07, Hossam Ezzat and Rania Enayet c. </w:t>
      </w:r>
      <w:r>
        <w:t>E</w:t>
      </w:r>
      <w:r w:rsidRPr="00032F02">
        <w:t xml:space="preserve">gypt. </w:t>
      </w:r>
    </w:p>
  </w:footnote>
  <w:footnote w:id="100">
    <w:p w14:paraId="2E876C99" w14:textId="77777777" w:rsidR="00662CCF" w:rsidRPr="00B05CAD" w:rsidRDefault="00662CCF" w:rsidP="008E4E71">
      <w:pPr>
        <w:pStyle w:val="FootnoteText"/>
        <w:rPr>
          <w:lang w:val="fr-CH"/>
        </w:rPr>
      </w:pPr>
      <w:r w:rsidRPr="00032F02">
        <w:tab/>
      </w:r>
      <w:r w:rsidRPr="00AE2F72">
        <w:rPr>
          <w:rStyle w:val="FootnoteReference"/>
          <w:lang w:val="fr-CH"/>
        </w:rPr>
        <w:footnoteRef/>
      </w:r>
      <w:r>
        <w:rPr>
          <w:lang w:val="fr-CH"/>
        </w:rPr>
        <w:tab/>
      </w:r>
      <w:r w:rsidRPr="00B05CAD">
        <w:rPr>
          <w:lang w:val="fr-CH"/>
        </w:rPr>
        <w:t>HI-002, HI-016, TI-213, TI-219, TI-223, CI-018, CI-042, CI-058, DI-009, DI-017, DI-018, DI-030, DI-035, DI-041, DI-044, DI-005.</w:t>
      </w:r>
    </w:p>
  </w:footnote>
  <w:footnote w:id="101">
    <w:p w14:paraId="1C5E0692" w14:textId="6609D26F" w:rsidR="00662CCF" w:rsidRPr="008F771C" w:rsidRDefault="00662CCF" w:rsidP="008E4E71">
      <w:pPr>
        <w:pStyle w:val="FootnoteText"/>
      </w:pPr>
      <w:r>
        <w:rPr>
          <w:lang w:val="fr-CH"/>
        </w:rPr>
        <w:tab/>
      </w:r>
      <w:r w:rsidRPr="00AE2F72">
        <w:rPr>
          <w:rStyle w:val="FootnoteReference"/>
          <w:lang w:val="fr-CH"/>
        </w:rPr>
        <w:footnoteRef/>
      </w:r>
      <w:r w:rsidRPr="008F771C">
        <w:tab/>
        <w:t>See part C. Violations of civil and political rights, below.</w:t>
      </w:r>
    </w:p>
  </w:footnote>
  <w:footnote w:id="102">
    <w:p w14:paraId="5E2ED279" w14:textId="77777777" w:rsidR="00662CCF" w:rsidRPr="00EA7298" w:rsidRDefault="00662CCF" w:rsidP="008E4E71">
      <w:pPr>
        <w:pStyle w:val="FootnoteText"/>
      </w:pPr>
      <w:r w:rsidRPr="008F771C">
        <w:tab/>
      </w:r>
      <w:r w:rsidRPr="00AE2F72">
        <w:rPr>
          <w:rStyle w:val="FootnoteReference"/>
          <w:lang w:val="fr-CH"/>
        </w:rPr>
        <w:footnoteRef/>
      </w:r>
      <w:r w:rsidRPr="00EA7298">
        <w:tab/>
        <w:t>DI-017.</w:t>
      </w:r>
    </w:p>
  </w:footnote>
  <w:footnote w:id="103">
    <w:p w14:paraId="454D5814" w14:textId="77777777" w:rsidR="00662CCF" w:rsidRPr="00EA7298" w:rsidRDefault="00662CCF" w:rsidP="008E4E71">
      <w:pPr>
        <w:pStyle w:val="FootnoteText"/>
      </w:pPr>
      <w:r w:rsidRPr="00EA7298">
        <w:tab/>
      </w:r>
      <w:r w:rsidRPr="00AE2F72">
        <w:rPr>
          <w:rStyle w:val="FootnoteReference"/>
          <w:lang w:val="fr-CH"/>
        </w:rPr>
        <w:footnoteRef/>
      </w:r>
      <w:r w:rsidRPr="00EA7298">
        <w:tab/>
        <w:t>TI-219.</w:t>
      </w:r>
    </w:p>
  </w:footnote>
  <w:footnote w:id="104">
    <w:p w14:paraId="4338D53A" w14:textId="40B9E922" w:rsidR="00662CCF" w:rsidRPr="00193F55" w:rsidRDefault="00662CCF" w:rsidP="008E4E71">
      <w:pPr>
        <w:pStyle w:val="FootnoteText"/>
      </w:pPr>
      <w:r w:rsidRPr="00EA7298">
        <w:tab/>
      </w:r>
      <w:r w:rsidRPr="00AE2F72">
        <w:rPr>
          <w:rStyle w:val="FootnoteReference"/>
          <w:lang w:val="fr-CH"/>
        </w:rPr>
        <w:footnoteRef/>
      </w:r>
      <w:r w:rsidRPr="00D707A9">
        <w:tab/>
        <w:t xml:space="preserve">See A/HRC/39/CRP.1, para. </w:t>
      </w:r>
      <w:r w:rsidRPr="00193F55">
        <w:t>449-450.</w:t>
      </w:r>
    </w:p>
  </w:footnote>
  <w:footnote w:id="105">
    <w:p w14:paraId="7658E35D" w14:textId="6F227F04" w:rsidR="00662CCF" w:rsidRPr="008F771C" w:rsidRDefault="00662CCF" w:rsidP="008E4E71">
      <w:pPr>
        <w:pStyle w:val="FootnoteText"/>
      </w:pPr>
      <w:r w:rsidRPr="00193F55">
        <w:tab/>
      </w:r>
      <w:r w:rsidRPr="00AE2F72">
        <w:rPr>
          <w:rStyle w:val="FootnoteReference"/>
          <w:lang w:val="fr-CH"/>
        </w:rPr>
        <w:footnoteRef/>
      </w:r>
      <w:r w:rsidRPr="008F771C">
        <w:tab/>
        <w:t xml:space="preserve">Report of special Rapporteur on the right to peaceful assembly and freedom of association, A/68/299, para. 16. </w:t>
      </w:r>
    </w:p>
  </w:footnote>
  <w:footnote w:id="106">
    <w:p w14:paraId="4B176A0F" w14:textId="7E8E5119" w:rsidR="00662CCF" w:rsidRPr="00193F55" w:rsidRDefault="00662CCF" w:rsidP="008E4E71">
      <w:pPr>
        <w:pStyle w:val="FootnoteText"/>
      </w:pPr>
      <w:r w:rsidRPr="008F771C">
        <w:tab/>
      </w:r>
      <w:r w:rsidRPr="00AE2F72">
        <w:rPr>
          <w:rStyle w:val="FootnoteReference"/>
          <w:lang w:val="fr-CH"/>
        </w:rPr>
        <w:footnoteRef/>
      </w:r>
      <w:r w:rsidRPr="008F771C">
        <w:tab/>
        <w:t xml:space="preserve">Report of special Rapporteur on the right to peaceful assembly and freedom of association, A/68/299, para. </w:t>
      </w:r>
      <w:r w:rsidRPr="00193F55">
        <w:t>24-25.</w:t>
      </w:r>
    </w:p>
  </w:footnote>
  <w:footnote w:id="107">
    <w:p w14:paraId="5C4CA447" w14:textId="77777777" w:rsidR="00662CCF" w:rsidRPr="00193F55" w:rsidRDefault="00662CCF" w:rsidP="008E4E71">
      <w:pPr>
        <w:pStyle w:val="FootnoteText"/>
      </w:pPr>
      <w:r w:rsidRPr="00193F55">
        <w:tab/>
      </w:r>
      <w:r w:rsidRPr="00AE2F72">
        <w:rPr>
          <w:rStyle w:val="FootnoteReference"/>
          <w:lang w:val="fr-CH"/>
        </w:rPr>
        <w:footnoteRef/>
      </w:r>
      <w:r w:rsidRPr="00193F55">
        <w:tab/>
        <w:t>JI-123, JI-124.</w:t>
      </w:r>
    </w:p>
  </w:footnote>
  <w:footnote w:id="108">
    <w:p w14:paraId="0347280A" w14:textId="35701B9B" w:rsidR="00662CCF" w:rsidRPr="00FF5DC1" w:rsidRDefault="00662CCF" w:rsidP="008E4E71">
      <w:pPr>
        <w:pStyle w:val="FootnoteText"/>
      </w:pPr>
      <w:r w:rsidRPr="00193F55">
        <w:tab/>
      </w:r>
      <w:r w:rsidRPr="00AE2F72">
        <w:rPr>
          <w:rStyle w:val="FootnoteReference"/>
          <w:lang w:val="fr-CH"/>
        </w:rPr>
        <w:footnoteRef/>
      </w:r>
      <w:r w:rsidRPr="008F771C">
        <w:tab/>
        <w:t xml:space="preserve">Law n°1/28 of 5 December 2013 on the regulations for demonstrations on public roads and on public meetings art. 4 </w:t>
      </w:r>
      <w:r>
        <w:t>to</w:t>
      </w:r>
      <w:r w:rsidRPr="008F771C">
        <w:t xml:space="preserve"> 10. </w:t>
      </w:r>
      <w:r w:rsidRPr="00FF5DC1">
        <w:t xml:space="preserve">See A/HRC/36/CRP.1, </w:t>
      </w:r>
      <w:r>
        <w:t>para.</w:t>
      </w:r>
      <w:r w:rsidRPr="00FF5DC1">
        <w:t xml:space="preserve"> 591-592.</w:t>
      </w:r>
    </w:p>
  </w:footnote>
  <w:footnote w:id="109">
    <w:p w14:paraId="5BD7BEDB" w14:textId="77777777" w:rsidR="00662CCF" w:rsidRPr="00FF5DC1" w:rsidRDefault="00662CCF" w:rsidP="008E4E71">
      <w:pPr>
        <w:pStyle w:val="FootnoteText"/>
      </w:pPr>
      <w:r w:rsidRPr="00FF5DC1">
        <w:tab/>
      </w:r>
      <w:r w:rsidRPr="00AE2F72">
        <w:rPr>
          <w:rStyle w:val="FootnoteReference"/>
          <w:lang w:val="fr-CH"/>
        </w:rPr>
        <w:footnoteRef/>
      </w:r>
      <w:r w:rsidRPr="00FF5DC1">
        <w:tab/>
        <w:t>HI-017, https://www.jeuneafrique.com/744238/politique/burundi-agathon-rwasa-denonce-les-restrictions-imposees-a-son-parti/.</w:t>
      </w:r>
    </w:p>
  </w:footnote>
  <w:footnote w:id="110">
    <w:p w14:paraId="7EC1AC60" w14:textId="080AA941" w:rsidR="00662CCF" w:rsidRPr="008F771C" w:rsidRDefault="00662CCF" w:rsidP="008E4E71">
      <w:pPr>
        <w:pStyle w:val="FootnoteText"/>
      </w:pPr>
      <w:r w:rsidRPr="00FF5DC1">
        <w:tab/>
      </w:r>
      <w:r w:rsidRPr="00345231">
        <w:rPr>
          <w:rStyle w:val="FootnoteReference"/>
          <w:lang w:val="fr-CH"/>
        </w:rPr>
        <w:footnoteRef/>
      </w:r>
      <w:r w:rsidRPr="008F771C">
        <w:tab/>
      </w:r>
      <w:hyperlink r:id="rId31" w:history="1">
        <w:r w:rsidRPr="008F771C">
          <w:t>https://twitter.com/IntumwaNews/status/1141988875939848192</w:t>
        </w:r>
      </w:hyperlink>
      <w:r>
        <w:t>: “</w:t>
      </w:r>
      <w:r w:rsidRPr="008F771C">
        <w:t>no political party has the right to be active in any locality in Burundi in which it is not represented</w:t>
      </w:r>
      <w:r>
        <w:t>”</w:t>
      </w:r>
      <w:r w:rsidRPr="008F771C">
        <w:t xml:space="preserve"> </w:t>
      </w:r>
      <w:r>
        <w:t>according to Minister</w:t>
      </w:r>
      <w:r w:rsidRPr="008F771C">
        <w:t xml:space="preserve"> Pascal Barandagiye.</w:t>
      </w:r>
    </w:p>
  </w:footnote>
  <w:footnote w:id="111">
    <w:p w14:paraId="66FEE764" w14:textId="77777777" w:rsidR="00662CCF" w:rsidRPr="006E78C4" w:rsidRDefault="00662CCF" w:rsidP="008E4E71">
      <w:pPr>
        <w:pStyle w:val="FootnoteText"/>
      </w:pPr>
      <w:r w:rsidRPr="008F771C">
        <w:tab/>
      </w:r>
      <w:r w:rsidRPr="00345231">
        <w:rPr>
          <w:rStyle w:val="FootnoteReference"/>
          <w:lang w:val="fr-CH"/>
        </w:rPr>
        <w:footnoteRef/>
      </w:r>
      <w:r w:rsidRPr="006E78C4">
        <w:tab/>
        <w:t>TI-215, TI-216, TI-226, HI-003, HI-017.</w:t>
      </w:r>
    </w:p>
  </w:footnote>
  <w:footnote w:id="112">
    <w:p w14:paraId="5BFFE5BB" w14:textId="77777777" w:rsidR="00662CCF" w:rsidRPr="00FF5DC1" w:rsidRDefault="00662CCF" w:rsidP="008E4E71">
      <w:pPr>
        <w:pStyle w:val="FootnoteText"/>
      </w:pPr>
      <w:r w:rsidRPr="006E78C4">
        <w:tab/>
      </w:r>
      <w:r w:rsidRPr="00345231">
        <w:rPr>
          <w:rStyle w:val="FootnoteReference"/>
          <w:lang w:val="fr-CH"/>
        </w:rPr>
        <w:footnoteRef/>
      </w:r>
      <w:r w:rsidRPr="00FF5DC1">
        <w:tab/>
        <w:t>TI-226.</w:t>
      </w:r>
    </w:p>
  </w:footnote>
  <w:footnote w:id="113">
    <w:p w14:paraId="031D2130" w14:textId="7DAD0C7A" w:rsidR="00662CCF" w:rsidRPr="00FF5DC1" w:rsidRDefault="00662CCF" w:rsidP="008E4E71">
      <w:pPr>
        <w:pStyle w:val="FootnoteText"/>
      </w:pPr>
      <w:r w:rsidRPr="00FF5DC1">
        <w:tab/>
      </w:r>
      <w:r w:rsidRPr="00345231">
        <w:rPr>
          <w:rStyle w:val="FootnoteReference"/>
          <w:lang w:val="fr-CH"/>
        </w:rPr>
        <w:footnoteRef/>
      </w:r>
      <w:r w:rsidRPr="00FF5DC1">
        <w:tab/>
        <w:t>A/HRC/39/63 and A/HRC/39/CRP.1.</w:t>
      </w:r>
    </w:p>
  </w:footnote>
  <w:footnote w:id="114">
    <w:p w14:paraId="0F8ED148" w14:textId="77777777" w:rsidR="00662CCF" w:rsidRPr="00FF5DC1" w:rsidRDefault="00662CCF" w:rsidP="008E4E71">
      <w:pPr>
        <w:pStyle w:val="FootnoteText"/>
      </w:pPr>
      <w:r w:rsidRPr="00FF5DC1">
        <w:tab/>
      </w:r>
      <w:r w:rsidRPr="00345231">
        <w:rPr>
          <w:rStyle w:val="FootnoteReference"/>
          <w:lang w:val="fr-CH"/>
        </w:rPr>
        <w:footnoteRef/>
      </w:r>
      <w:r w:rsidRPr="00FF5DC1">
        <w:tab/>
        <w:t>https://www.youtube.com/watch?v=WZPkRLkUiYo.</w:t>
      </w:r>
    </w:p>
  </w:footnote>
  <w:footnote w:id="115">
    <w:p w14:paraId="74FF7C64" w14:textId="77777777" w:rsidR="00662CCF" w:rsidRPr="00FF5DC1" w:rsidRDefault="00662CCF" w:rsidP="008E4E71">
      <w:pPr>
        <w:pStyle w:val="FootnoteText"/>
      </w:pPr>
      <w:r w:rsidRPr="00FF5DC1">
        <w:tab/>
      </w:r>
      <w:r w:rsidRPr="00345231">
        <w:rPr>
          <w:rStyle w:val="FootnoteReference"/>
          <w:lang w:val="fr-CH"/>
        </w:rPr>
        <w:footnoteRef/>
      </w:r>
      <w:r w:rsidRPr="00FF5DC1">
        <w:tab/>
      </w:r>
      <w:hyperlink r:id="rId32" w:history="1">
        <w:r w:rsidRPr="00FF5DC1">
          <w:t>http://www.radiomaria.bi/message-de-la-conference-des-eveques-catholiques-du-burundi-pour-noel-2018/</w:t>
        </w:r>
      </w:hyperlink>
      <w:r w:rsidRPr="00FF5DC1">
        <w:t>.</w:t>
      </w:r>
    </w:p>
  </w:footnote>
  <w:footnote w:id="116">
    <w:p w14:paraId="0853F2E1" w14:textId="17C50E31" w:rsidR="00662CCF" w:rsidRPr="00FF5DC1" w:rsidRDefault="00662CCF" w:rsidP="008E4E71">
      <w:pPr>
        <w:pStyle w:val="FootnoteText"/>
      </w:pPr>
      <w:r w:rsidRPr="00FF5DC1">
        <w:tab/>
      </w:r>
      <w:r w:rsidRPr="00345231">
        <w:rPr>
          <w:rStyle w:val="FootnoteReference"/>
          <w:lang w:val="fr-CH"/>
        </w:rPr>
        <w:footnoteRef/>
      </w:r>
      <w:r w:rsidRPr="00FF5DC1">
        <w:tab/>
      </w:r>
      <w:hyperlink r:id="rId33" w:history="1">
        <w:r w:rsidRPr="00FF5DC1">
          <w:t>http://www.rfi.fr/emission/20190602-barankitse-marguerite-burundaise-refugiee-rwanda-guerre-civile-interethnique</w:t>
        </w:r>
      </w:hyperlink>
      <w:r w:rsidRPr="00FF5DC1">
        <w:t xml:space="preserve">; </w:t>
      </w:r>
      <w:hyperlink r:id="rId34" w:history="1">
        <w:r w:rsidRPr="00FF5DC1">
          <w:t>http://www.tv5monde.com/emissions/episode/internationales-marguerite-barankitse</w:t>
        </w:r>
      </w:hyperlink>
      <w:r w:rsidRPr="00FF5DC1">
        <w:t xml:space="preserve">; see </w:t>
      </w:r>
      <w:hyperlink r:id="rId35" w:history="1">
        <w:r w:rsidRPr="00FF5DC1">
          <w:t>https://www.bbc.com/afrique/region-48568133</w:t>
        </w:r>
      </w:hyperlink>
      <w:r w:rsidRPr="00FF5DC1">
        <w:t>.</w:t>
      </w:r>
    </w:p>
  </w:footnote>
  <w:footnote w:id="117">
    <w:p w14:paraId="1799609B" w14:textId="77777777" w:rsidR="00662CCF" w:rsidRPr="00FF5DC1" w:rsidRDefault="00662CCF" w:rsidP="008E4E71">
      <w:pPr>
        <w:pStyle w:val="FootnoteText"/>
      </w:pPr>
      <w:r w:rsidRPr="00FF5DC1">
        <w:tab/>
      </w:r>
      <w:r w:rsidRPr="00345231">
        <w:rPr>
          <w:rStyle w:val="FootnoteReference"/>
          <w:lang w:val="fr-CH"/>
        </w:rPr>
        <w:footnoteRef/>
      </w:r>
      <w:r w:rsidRPr="00FF5DC1">
        <w:tab/>
      </w:r>
      <w:hyperlink r:id="rId36" w:history="1">
        <w:r w:rsidRPr="00FF5DC1">
          <w:t>https://www.crisisgroup.org/fr/africa/central-africa/burundi/278-running-out-options-burundi</w:t>
        </w:r>
      </w:hyperlink>
      <w:r w:rsidRPr="00FF5DC1">
        <w:t>.</w:t>
      </w:r>
    </w:p>
  </w:footnote>
  <w:footnote w:id="118">
    <w:p w14:paraId="721BDCFE" w14:textId="77777777" w:rsidR="00662CCF" w:rsidRPr="00FF5DC1" w:rsidRDefault="00662CCF" w:rsidP="008E4E71">
      <w:pPr>
        <w:pStyle w:val="FootnoteText"/>
      </w:pPr>
      <w:r w:rsidRPr="00FF5DC1">
        <w:tab/>
      </w:r>
      <w:r w:rsidRPr="00345231">
        <w:rPr>
          <w:rStyle w:val="FootnoteReference"/>
          <w:lang w:val="fr-CH"/>
        </w:rPr>
        <w:footnoteRef/>
      </w:r>
      <w:r w:rsidRPr="00FF5DC1">
        <w:tab/>
      </w:r>
      <w:hyperlink r:id="rId37" w:history="1">
        <w:r w:rsidRPr="00FF5DC1">
          <w:t>https://www.hrw.org/fr/news/2019/06/12/burundi-abus-generalises-visant-lopposition</w:t>
        </w:r>
      </w:hyperlink>
      <w:r w:rsidRPr="00FF5DC1">
        <w:t>.</w:t>
      </w:r>
    </w:p>
  </w:footnote>
  <w:footnote w:id="119">
    <w:p w14:paraId="31F9EF70" w14:textId="77777777" w:rsidR="00662CCF" w:rsidRPr="000410DE" w:rsidRDefault="00662CCF" w:rsidP="008E4E71">
      <w:pPr>
        <w:pStyle w:val="FootnoteText"/>
        <w:rPr>
          <w:lang w:val="es-ES"/>
        </w:rPr>
      </w:pPr>
      <w:r w:rsidRPr="00FF5DC1">
        <w:tab/>
      </w:r>
      <w:r w:rsidRPr="00345231">
        <w:rPr>
          <w:rStyle w:val="FootnoteReference"/>
          <w:lang w:val="fr-CH"/>
        </w:rPr>
        <w:footnoteRef/>
      </w:r>
      <w:r w:rsidRPr="000410DE">
        <w:rPr>
          <w:lang w:val="es-ES"/>
        </w:rPr>
        <w:tab/>
        <w:t>TI-226, JI-069, CM-008.</w:t>
      </w:r>
    </w:p>
  </w:footnote>
  <w:footnote w:id="120">
    <w:p w14:paraId="5C637C92" w14:textId="33CC548D" w:rsidR="00662CCF" w:rsidRPr="00B806D8" w:rsidRDefault="00662CCF" w:rsidP="008E4E71">
      <w:pPr>
        <w:pStyle w:val="FootnoteText"/>
      </w:pPr>
      <w:r w:rsidRPr="000410DE">
        <w:rPr>
          <w:lang w:val="es-ES"/>
        </w:rPr>
        <w:tab/>
      </w:r>
      <w:r w:rsidRPr="00345231">
        <w:rPr>
          <w:rStyle w:val="FootnoteReference"/>
          <w:lang w:val="fr-CH"/>
        </w:rPr>
        <w:footnoteRef/>
      </w:r>
      <w:r w:rsidRPr="000410DE">
        <w:rPr>
          <w:lang w:val="es-ES"/>
        </w:rPr>
        <w:tab/>
        <w:t xml:space="preserve">JI-077, JI-100. </w:t>
      </w:r>
      <w:r w:rsidRPr="00B806D8">
        <w:t xml:space="preserve">See also </w:t>
      </w:r>
      <w:hyperlink r:id="rId38" w:history="1">
        <w:r w:rsidRPr="00B806D8">
          <w:t>https://twitter.com/IntumwaNews/status/1127107743528177666</w:t>
        </w:r>
      </w:hyperlink>
      <w:r w:rsidRPr="00B806D8">
        <w:t xml:space="preserve"> ; </w:t>
      </w:r>
      <w:hyperlink r:id="rId39" w:history="1">
        <w:r w:rsidRPr="00B806D8">
          <w:t>https://twitter.com/LeRenouveauBdi/status/1125133608753270784</w:t>
        </w:r>
      </w:hyperlink>
      <w:r w:rsidRPr="00B806D8">
        <w:t xml:space="preserve"> ; </w:t>
      </w:r>
      <w:hyperlink r:id="rId40" w:history="1">
        <w:r w:rsidRPr="00B806D8">
          <w:t>https://twitter.com/akanyegeri/status/1125114984474845184</w:t>
        </w:r>
      </w:hyperlink>
      <w:r w:rsidRPr="00B806D8">
        <w:t xml:space="preserve">; </w:t>
      </w:r>
      <w:hyperlink r:id="rId41" w:history="1">
        <w:r w:rsidRPr="00B806D8">
          <w:t>https://twitter.com/RTNBurundi/status/1134916711004725254</w:t>
        </w:r>
      </w:hyperlink>
      <w:r w:rsidRPr="00B806D8">
        <w:t>.</w:t>
      </w:r>
    </w:p>
  </w:footnote>
  <w:footnote w:id="121">
    <w:p w14:paraId="6FAEC18E" w14:textId="77777777" w:rsidR="00662CCF" w:rsidRPr="00FF5DC1" w:rsidRDefault="00662CCF" w:rsidP="008E4E71">
      <w:pPr>
        <w:pStyle w:val="FootnoteText"/>
      </w:pPr>
      <w:r w:rsidRPr="00B806D8">
        <w:tab/>
      </w:r>
      <w:r w:rsidRPr="00345231">
        <w:rPr>
          <w:rStyle w:val="FootnoteReference"/>
          <w:lang w:val="fr-CH"/>
        </w:rPr>
        <w:footnoteRef/>
      </w:r>
      <w:r w:rsidRPr="00FF5DC1">
        <w:tab/>
        <w:t>JI-069, JI-114, TI-213.</w:t>
      </w:r>
    </w:p>
  </w:footnote>
  <w:footnote w:id="122">
    <w:p w14:paraId="1E446098" w14:textId="77777777" w:rsidR="00662CCF" w:rsidRPr="00FF5DC1" w:rsidRDefault="00662CCF" w:rsidP="008E4E71">
      <w:pPr>
        <w:pStyle w:val="FootnoteText"/>
      </w:pPr>
      <w:r w:rsidRPr="00FF5DC1">
        <w:tab/>
      </w:r>
      <w:r w:rsidRPr="00345231">
        <w:rPr>
          <w:rStyle w:val="FootnoteReference"/>
          <w:lang w:val="fr-CH"/>
        </w:rPr>
        <w:footnoteRef/>
      </w:r>
      <w:r w:rsidRPr="00FF5DC1">
        <w:tab/>
        <w:t>TI-213.</w:t>
      </w:r>
    </w:p>
  </w:footnote>
  <w:footnote w:id="123">
    <w:p w14:paraId="403A725F" w14:textId="6D3FDB84" w:rsidR="00662CCF" w:rsidRPr="00FF5DC1" w:rsidRDefault="00662CCF" w:rsidP="008E4E71">
      <w:pPr>
        <w:pStyle w:val="FootnoteText"/>
      </w:pPr>
      <w:r w:rsidRPr="00FF5DC1">
        <w:tab/>
      </w:r>
      <w:r w:rsidRPr="00345231">
        <w:rPr>
          <w:rStyle w:val="FootnoteReference"/>
          <w:lang w:val="fr-CH"/>
        </w:rPr>
        <w:footnoteRef/>
      </w:r>
      <w:r w:rsidRPr="00FF5DC1">
        <w:tab/>
        <w:t xml:space="preserve">See A/HRC/39/CRP.1, </w:t>
      </w:r>
      <w:r>
        <w:t>para.</w:t>
      </w:r>
      <w:r w:rsidRPr="00FF5DC1">
        <w:t>451-461.</w:t>
      </w:r>
    </w:p>
  </w:footnote>
  <w:footnote w:id="124">
    <w:p w14:paraId="1D428779" w14:textId="266DC813" w:rsidR="00662CCF" w:rsidRPr="004F1146" w:rsidRDefault="00662CCF" w:rsidP="008E4E71">
      <w:pPr>
        <w:pStyle w:val="FootnoteText"/>
      </w:pPr>
      <w:r w:rsidRPr="00FF5DC1">
        <w:tab/>
      </w:r>
      <w:r w:rsidRPr="00345231">
        <w:rPr>
          <w:rStyle w:val="FootnoteReference"/>
          <w:lang w:val="fr-CH"/>
        </w:rPr>
        <w:footnoteRef/>
      </w:r>
      <w:r w:rsidRPr="004F1146">
        <w:tab/>
        <w:t xml:space="preserve">The components of the </w:t>
      </w:r>
      <w:r w:rsidRPr="004F1146">
        <w:rPr>
          <w:i/>
        </w:rPr>
        <w:t>quadrilogie</w:t>
      </w:r>
      <w:r w:rsidRPr="004F1146">
        <w:t xml:space="preserve"> are administrative authorities, high ranking officers from the defence and security forces, authorities from the judiciary and the population. Imbonerakure are included in the </w:t>
      </w:r>
      <w:r w:rsidRPr="004F1146">
        <w:rPr>
          <w:i/>
        </w:rPr>
        <w:t>quadrilogie</w:t>
      </w:r>
      <w:r w:rsidRPr="004F1146">
        <w:t xml:space="preserve"> under the umbrella of civil society wh</w:t>
      </w:r>
      <w:r>
        <w:t>ich is itself included in the “</w:t>
      </w:r>
      <w:r w:rsidRPr="004F1146">
        <w:t>population</w:t>
      </w:r>
      <w:r>
        <w:t>” component</w:t>
      </w:r>
      <w:r w:rsidRPr="004F1146">
        <w:t>.</w:t>
      </w:r>
    </w:p>
  </w:footnote>
  <w:footnote w:id="125">
    <w:p w14:paraId="1C53E215" w14:textId="77777777" w:rsidR="00662CCF" w:rsidRPr="00193F55" w:rsidRDefault="00662CCF" w:rsidP="008E4E71">
      <w:pPr>
        <w:pStyle w:val="FootnoteText"/>
      </w:pPr>
      <w:r w:rsidRPr="004F1146">
        <w:tab/>
      </w:r>
      <w:r w:rsidRPr="00345231">
        <w:rPr>
          <w:rStyle w:val="FootnoteReference"/>
          <w:lang w:val="fr-CH"/>
        </w:rPr>
        <w:footnoteRef/>
      </w:r>
      <w:r w:rsidRPr="00193F55">
        <w:tab/>
      </w:r>
      <w:hyperlink r:id="rId42" w:history="1">
        <w:r w:rsidRPr="00193F55">
          <w:t>http://www.rtnb.bi/fr/art.php?idapi=3/1/215</w:t>
        </w:r>
      </w:hyperlink>
      <w:r w:rsidRPr="00193F55">
        <w:t>.</w:t>
      </w:r>
    </w:p>
  </w:footnote>
  <w:footnote w:id="126">
    <w:p w14:paraId="59151126" w14:textId="77777777" w:rsidR="00662CCF" w:rsidRPr="00B05CAD" w:rsidRDefault="00662CCF" w:rsidP="008E4E71">
      <w:pPr>
        <w:pStyle w:val="FootnoteText"/>
        <w:rPr>
          <w:lang w:val="fr-CH"/>
        </w:rPr>
      </w:pPr>
      <w:r w:rsidRPr="00193F55">
        <w:tab/>
      </w:r>
      <w:r w:rsidRPr="00345231">
        <w:rPr>
          <w:rStyle w:val="FootnoteReference"/>
          <w:lang w:val="fr-CH"/>
        </w:rPr>
        <w:footnoteRef/>
      </w:r>
      <w:r>
        <w:rPr>
          <w:lang w:val="fr-CH"/>
        </w:rPr>
        <w:tab/>
      </w:r>
      <w:r w:rsidRPr="00B05CAD">
        <w:rPr>
          <w:lang w:val="fr-CH"/>
        </w:rPr>
        <w:t>TI-203, JI-063, JI-100, CI-055.</w:t>
      </w:r>
    </w:p>
  </w:footnote>
  <w:footnote w:id="127">
    <w:p w14:paraId="183FD0A0" w14:textId="77777777" w:rsidR="00662CCF" w:rsidRPr="00B05CAD" w:rsidRDefault="00662CCF" w:rsidP="008E4E71">
      <w:pPr>
        <w:pStyle w:val="FootnoteText"/>
        <w:rPr>
          <w:lang w:val="fr-CH"/>
        </w:rPr>
      </w:pPr>
      <w:r>
        <w:rPr>
          <w:lang w:val="fr-CH"/>
        </w:rPr>
        <w:tab/>
      </w:r>
      <w:r w:rsidRPr="00345231">
        <w:rPr>
          <w:rStyle w:val="FootnoteReference"/>
          <w:lang w:val="fr-CH"/>
        </w:rPr>
        <w:footnoteRef/>
      </w:r>
      <w:r>
        <w:rPr>
          <w:lang w:val="fr-CH"/>
        </w:rPr>
        <w:tab/>
      </w:r>
      <w:r w:rsidRPr="00B05CAD">
        <w:rPr>
          <w:lang w:val="fr-CH"/>
        </w:rPr>
        <w:t>TI-190, TI-209, CI-051, CI-054, JI-071, JI-100.</w:t>
      </w:r>
    </w:p>
  </w:footnote>
  <w:footnote w:id="128">
    <w:p w14:paraId="63333A3A" w14:textId="77777777" w:rsidR="00662CCF" w:rsidRPr="00B05CAD" w:rsidRDefault="00662CCF" w:rsidP="008E4E71">
      <w:pPr>
        <w:pStyle w:val="FootnoteText"/>
        <w:rPr>
          <w:lang w:val="fr-CH"/>
        </w:rPr>
      </w:pPr>
      <w:r>
        <w:rPr>
          <w:lang w:val="fr-CH"/>
        </w:rPr>
        <w:tab/>
      </w:r>
      <w:r w:rsidRPr="00345231">
        <w:rPr>
          <w:rStyle w:val="FootnoteReference"/>
          <w:lang w:val="fr-CH"/>
        </w:rPr>
        <w:footnoteRef/>
      </w:r>
      <w:r>
        <w:rPr>
          <w:lang w:val="fr-CH"/>
        </w:rPr>
        <w:tab/>
      </w:r>
      <w:r w:rsidRPr="00B05CAD">
        <w:rPr>
          <w:lang w:val="fr-CH"/>
        </w:rPr>
        <w:t>TI-190.</w:t>
      </w:r>
    </w:p>
  </w:footnote>
  <w:footnote w:id="129">
    <w:p w14:paraId="3F4DB470" w14:textId="77777777" w:rsidR="00662CCF" w:rsidRPr="00B05CAD" w:rsidRDefault="00662CCF" w:rsidP="008E4E71">
      <w:pPr>
        <w:pStyle w:val="FootnoteText"/>
        <w:rPr>
          <w:lang w:val="fr-CH"/>
        </w:rPr>
      </w:pPr>
      <w:r>
        <w:rPr>
          <w:lang w:val="fr-CH"/>
        </w:rPr>
        <w:tab/>
      </w:r>
      <w:r w:rsidRPr="00345231">
        <w:rPr>
          <w:rStyle w:val="FootnoteReference"/>
          <w:lang w:val="fr-CH"/>
        </w:rPr>
        <w:footnoteRef/>
      </w:r>
      <w:r>
        <w:rPr>
          <w:lang w:val="fr-CH"/>
        </w:rPr>
        <w:tab/>
      </w:r>
      <w:r w:rsidRPr="00B05CAD">
        <w:rPr>
          <w:lang w:val="fr-CH"/>
        </w:rPr>
        <w:t>TI-190, TI-209, TI-226, CI-003, CI-051, CI-054, CI-055, JI-071, HI-005.</w:t>
      </w:r>
    </w:p>
  </w:footnote>
  <w:footnote w:id="130">
    <w:p w14:paraId="230FFFB6" w14:textId="77777777" w:rsidR="00662CCF" w:rsidRPr="00B05CAD" w:rsidRDefault="00662CCF" w:rsidP="008E4E71">
      <w:pPr>
        <w:pStyle w:val="FootnoteText"/>
        <w:rPr>
          <w:lang w:val="fr-CH"/>
        </w:rPr>
      </w:pPr>
      <w:r>
        <w:rPr>
          <w:lang w:val="fr-CH"/>
        </w:rPr>
        <w:tab/>
      </w:r>
      <w:r w:rsidRPr="00345231">
        <w:rPr>
          <w:rStyle w:val="FootnoteReference"/>
          <w:lang w:val="fr-CH"/>
        </w:rPr>
        <w:footnoteRef/>
      </w:r>
      <w:r>
        <w:rPr>
          <w:lang w:val="fr-CH"/>
        </w:rPr>
        <w:tab/>
      </w:r>
      <w:r w:rsidRPr="00B05CAD">
        <w:rPr>
          <w:lang w:val="fr-CH"/>
        </w:rPr>
        <w:t>TI-209, CI-054, JI-071.</w:t>
      </w:r>
    </w:p>
  </w:footnote>
  <w:footnote w:id="131">
    <w:p w14:paraId="37D1A67C" w14:textId="77777777" w:rsidR="00662CCF" w:rsidRPr="00B05CAD" w:rsidRDefault="00662CCF" w:rsidP="008E4E71">
      <w:pPr>
        <w:pStyle w:val="FootnoteText"/>
        <w:rPr>
          <w:lang w:val="fr-CH"/>
        </w:rPr>
      </w:pPr>
      <w:r>
        <w:rPr>
          <w:lang w:val="fr-CH"/>
        </w:rPr>
        <w:tab/>
      </w:r>
      <w:r w:rsidRPr="00345231">
        <w:rPr>
          <w:rStyle w:val="FootnoteReference"/>
          <w:lang w:val="fr-CH"/>
        </w:rPr>
        <w:footnoteRef/>
      </w:r>
      <w:r>
        <w:rPr>
          <w:lang w:val="fr-CH"/>
        </w:rPr>
        <w:tab/>
      </w:r>
      <w:r w:rsidRPr="00B05CAD">
        <w:rPr>
          <w:lang w:val="fr-CH"/>
        </w:rPr>
        <w:t>TI-209.</w:t>
      </w:r>
    </w:p>
  </w:footnote>
  <w:footnote w:id="132">
    <w:p w14:paraId="00ECB3D3" w14:textId="77777777" w:rsidR="00662CCF" w:rsidRPr="00B05CAD" w:rsidRDefault="00662CCF" w:rsidP="008E4E71">
      <w:pPr>
        <w:pStyle w:val="FootnoteText"/>
        <w:rPr>
          <w:lang w:val="fr-CH"/>
        </w:rPr>
      </w:pPr>
      <w:r>
        <w:rPr>
          <w:lang w:val="fr-CH"/>
        </w:rPr>
        <w:tab/>
      </w:r>
      <w:r w:rsidRPr="00345231">
        <w:rPr>
          <w:rStyle w:val="FootnoteReference"/>
          <w:lang w:val="fr-CH"/>
        </w:rPr>
        <w:footnoteRef/>
      </w:r>
      <w:r>
        <w:rPr>
          <w:lang w:val="fr-CH"/>
        </w:rPr>
        <w:tab/>
      </w:r>
      <w:r w:rsidRPr="00B05CAD">
        <w:rPr>
          <w:lang w:val="fr-CH"/>
        </w:rPr>
        <w:t>TI-223.</w:t>
      </w:r>
    </w:p>
  </w:footnote>
  <w:footnote w:id="133">
    <w:p w14:paraId="13BB51CA" w14:textId="4FFAC273" w:rsidR="00662CCF" w:rsidRPr="00FF5DC1" w:rsidRDefault="00662CCF" w:rsidP="008E4E71">
      <w:pPr>
        <w:pStyle w:val="FootnoteText"/>
      </w:pPr>
      <w:r>
        <w:rPr>
          <w:lang w:val="fr-CH"/>
        </w:rPr>
        <w:tab/>
      </w:r>
      <w:r w:rsidRPr="00345231">
        <w:rPr>
          <w:rStyle w:val="FootnoteReference"/>
          <w:lang w:val="fr-CH"/>
        </w:rPr>
        <w:footnoteRef/>
      </w:r>
      <w:r w:rsidRPr="00FF5DC1">
        <w:tab/>
        <w:t>Article 18 of the International Covenant on Civil and Political Rights.</w:t>
      </w:r>
    </w:p>
  </w:footnote>
  <w:footnote w:id="134">
    <w:p w14:paraId="143D6557" w14:textId="1B0B4146" w:rsidR="00662CCF" w:rsidRPr="00FF5DC1" w:rsidRDefault="00662CCF" w:rsidP="008E4E71">
      <w:pPr>
        <w:pStyle w:val="FootnoteText"/>
      </w:pPr>
      <w:r w:rsidRPr="00FF5DC1">
        <w:tab/>
      </w:r>
      <w:r w:rsidRPr="00345231">
        <w:rPr>
          <w:rStyle w:val="FootnoteReference"/>
          <w:lang w:val="fr-CH"/>
        </w:rPr>
        <w:footnoteRef/>
      </w:r>
      <w:r w:rsidRPr="00FF5DC1">
        <w:tab/>
        <w:t xml:space="preserve">Human Rights Committee, General Comment n°22 (48) </w:t>
      </w:r>
      <w:r>
        <w:t>on a</w:t>
      </w:r>
      <w:r w:rsidRPr="00FF5DC1">
        <w:t>rticle 18 of the International Covenant on Civil and Political Rights, para. 3.</w:t>
      </w:r>
    </w:p>
  </w:footnote>
  <w:footnote w:id="135">
    <w:p w14:paraId="12656701" w14:textId="542478F4" w:rsidR="00662CCF" w:rsidRPr="00FF5DC1" w:rsidRDefault="00662CCF" w:rsidP="008E4E71">
      <w:pPr>
        <w:pStyle w:val="FootnoteText"/>
      </w:pPr>
      <w:r w:rsidRPr="00FF5DC1">
        <w:tab/>
      </w:r>
      <w:r w:rsidRPr="00345231">
        <w:rPr>
          <w:rStyle w:val="FootnoteReference"/>
          <w:lang w:val="fr-CH"/>
        </w:rPr>
        <w:footnoteRef/>
      </w:r>
      <w:r w:rsidRPr="00FF5DC1">
        <w:tab/>
        <w:t>Article 19 (1) of the International Covenant on Civil and Political Rights.</w:t>
      </w:r>
    </w:p>
  </w:footnote>
  <w:footnote w:id="136">
    <w:p w14:paraId="572D4985" w14:textId="10D21AA4" w:rsidR="00662CCF" w:rsidRPr="00FF5DC1" w:rsidRDefault="00662CCF" w:rsidP="008E4E71">
      <w:pPr>
        <w:pStyle w:val="FootnoteText"/>
      </w:pPr>
      <w:r w:rsidRPr="00FF5DC1">
        <w:tab/>
      </w:r>
      <w:r w:rsidRPr="00345231">
        <w:rPr>
          <w:rStyle w:val="FootnoteReference"/>
          <w:lang w:val="fr-CH"/>
        </w:rPr>
        <w:footnoteRef/>
      </w:r>
      <w:r w:rsidRPr="00FF5DC1">
        <w:tab/>
        <w:t xml:space="preserve">Human Rights Committee, General Comment n°34 </w:t>
      </w:r>
      <w:r>
        <w:t xml:space="preserve">on </w:t>
      </w:r>
      <w:r w:rsidRPr="00FF5DC1">
        <w:t>article 19 of the International Covenant on Civil and Political Rights , para. 9-10.</w:t>
      </w:r>
    </w:p>
  </w:footnote>
  <w:footnote w:id="137">
    <w:p w14:paraId="7F6A65B1" w14:textId="77777777" w:rsidR="00662CCF" w:rsidRPr="00FF5DC1" w:rsidRDefault="00662CCF" w:rsidP="008E4E71">
      <w:pPr>
        <w:pStyle w:val="FootnoteText"/>
      </w:pPr>
      <w:r w:rsidRPr="00FF5DC1">
        <w:tab/>
      </w:r>
      <w:r w:rsidRPr="00F838F3">
        <w:rPr>
          <w:rStyle w:val="FootnoteReference"/>
          <w:lang w:val="fr-CH"/>
        </w:rPr>
        <w:footnoteRef/>
      </w:r>
      <w:r w:rsidRPr="00FF5DC1">
        <w:tab/>
        <w:t>CI-042, CI-058.</w:t>
      </w:r>
    </w:p>
  </w:footnote>
  <w:footnote w:id="138">
    <w:p w14:paraId="2FCC2EE3" w14:textId="77777777" w:rsidR="00662CCF" w:rsidRPr="00FF5DC1" w:rsidRDefault="00662CCF" w:rsidP="008E4E71">
      <w:pPr>
        <w:pStyle w:val="FootnoteText"/>
      </w:pPr>
      <w:r w:rsidRPr="00FF5DC1">
        <w:tab/>
      </w:r>
      <w:r w:rsidRPr="00F838F3">
        <w:rPr>
          <w:rStyle w:val="FootnoteReference"/>
          <w:lang w:val="fr-CH"/>
        </w:rPr>
        <w:footnoteRef/>
      </w:r>
      <w:r w:rsidRPr="00FF5DC1">
        <w:tab/>
        <w:t>CI-042.</w:t>
      </w:r>
    </w:p>
  </w:footnote>
  <w:footnote w:id="139">
    <w:p w14:paraId="472F9068" w14:textId="0FCB8F02" w:rsidR="00662CCF" w:rsidRPr="00FF5DC1" w:rsidRDefault="00662CCF" w:rsidP="008E4E71">
      <w:pPr>
        <w:pStyle w:val="FootnoteText"/>
      </w:pPr>
      <w:r w:rsidRPr="00FF5DC1">
        <w:tab/>
      </w:r>
      <w:r w:rsidRPr="00F838F3">
        <w:rPr>
          <w:rStyle w:val="FootnoteReference"/>
          <w:lang w:val="fr-CH"/>
        </w:rPr>
        <w:footnoteRef/>
      </w:r>
      <w:r w:rsidRPr="00FF5DC1">
        <w:tab/>
        <w:t xml:space="preserve">Human Rights Committee, General Comment n°22 (48) </w:t>
      </w:r>
      <w:r>
        <w:t xml:space="preserve">on </w:t>
      </w:r>
      <w:r w:rsidRPr="00FF5DC1">
        <w:t xml:space="preserve">article 18 of the International Covenant on Civil and Political Rights, </w:t>
      </w:r>
      <w:r>
        <w:t>para.</w:t>
      </w:r>
      <w:r w:rsidRPr="00FF5DC1">
        <w:t xml:space="preserve"> 4.</w:t>
      </w:r>
    </w:p>
  </w:footnote>
  <w:footnote w:id="140">
    <w:p w14:paraId="06C3CCBD" w14:textId="77777777" w:rsidR="00662CCF" w:rsidRPr="00FF5DC1" w:rsidRDefault="00662CCF" w:rsidP="008E4E71">
      <w:pPr>
        <w:pStyle w:val="FootnoteText"/>
      </w:pPr>
      <w:r w:rsidRPr="00FF5DC1">
        <w:tab/>
      </w:r>
      <w:r w:rsidRPr="00F838F3">
        <w:rPr>
          <w:rStyle w:val="FootnoteReference"/>
          <w:lang w:val="fr-CH"/>
        </w:rPr>
        <w:footnoteRef/>
      </w:r>
      <w:r w:rsidRPr="00FF5DC1">
        <w:tab/>
      </w:r>
      <w:hyperlink r:id="rId43" w:history="1">
        <w:r w:rsidRPr="00FF5DC1">
          <w:t>https://presidence.gov.bi/2019/05/07/reunion-devaluation-de-la-securite-autour-du-chef-de-letat-2/-</w:t>
        </w:r>
      </w:hyperlink>
      <w:r w:rsidRPr="00FF5DC1">
        <w:t>.</w:t>
      </w:r>
    </w:p>
  </w:footnote>
  <w:footnote w:id="141">
    <w:p w14:paraId="209211CE" w14:textId="5B0034F7" w:rsidR="00662CCF" w:rsidRPr="00EA7298" w:rsidRDefault="00662CCF" w:rsidP="008E4E71">
      <w:pPr>
        <w:pStyle w:val="FootnoteText"/>
        <w:rPr>
          <w:lang w:val="fr-FR"/>
        </w:rPr>
      </w:pPr>
      <w:r w:rsidRPr="00FF5DC1">
        <w:tab/>
      </w:r>
      <w:r w:rsidRPr="00F838F3">
        <w:rPr>
          <w:rStyle w:val="FootnoteReference"/>
          <w:lang w:val="fr-CH"/>
        </w:rPr>
        <w:footnoteRef/>
      </w:r>
      <w:r w:rsidRPr="00FF5DC1">
        <w:tab/>
        <w:t xml:space="preserve">See A/HRC/36/CRP.1/Rev.1, </w:t>
      </w:r>
      <w:r>
        <w:t>para.</w:t>
      </w:r>
      <w:r w:rsidRPr="00FF5DC1">
        <w:t xml:space="preserve"> </w:t>
      </w:r>
      <w:r w:rsidRPr="00EA7298">
        <w:rPr>
          <w:lang w:val="fr-FR"/>
        </w:rPr>
        <w:t>185-186.</w:t>
      </w:r>
    </w:p>
  </w:footnote>
  <w:footnote w:id="142">
    <w:p w14:paraId="1EC1C695" w14:textId="77777777" w:rsidR="00662CCF" w:rsidRPr="00B05CAD" w:rsidRDefault="00662CCF" w:rsidP="008E4E71">
      <w:pPr>
        <w:pStyle w:val="FootnoteText"/>
        <w:rPr>
          <w:lang w:val="fr-CH"/>
        </w:rPr>
      </w:pPr>
      <w:r w:rsidRPr="00EA7298">
        <w:rPr>
          <w:lang w:val="fr-FR"/>
        </w:rPr>
        <w:tab/>
      </w:r>
      <w:r w:rsidRPr="00F838F3">
        <w:rPr>
          <w:rStyle w:val="FootnoteReference"/>
          <w:lang w:val="fr-CH"/>
        </w:rPr>
        <w:footnoteRef/>
      </w:r>
      <w:r>
        <w:rPr>
          <w:lang w:val="fr-CH"/>
        </w:rPr>
        <w:tab/>
      </w:r>
      <w:r w:rsidRPr="00B05CAD">
        <w:rPr>
          <w:lang w:val="fr-CH"/>
        </w:rPr>
        <w:t xml:space="preserve">DI-055, </w:t>
      </w:r>
      <w:hyperlink r:id="rId44" w:history="1">
        <w:r w:rsidRPr="00B05CAD">
          <w:rPr>
            <w:lang w:val="fr-CH"/>
          </w:rPr>
          <w:t>https://news.adventist.org/en/all-news/news/go/2019-05-16/commentary-what-seventh-day-adventists-face-in-burundi/</w:t>
        </w:r>
      </w:hyperlink>
      <w:r w:rsidRPr="00B05CAD">
        <w:rPr>
          <w:lang w:val="fr-CH"/>
        </w:rPr>
        <w:t xml:space="preserve">; </w:t>
      </w:r>
      <w:hyperlink r:id="rId45" w:history="1">
        <w:r w:rsidRPr="00B05CAD">
          <w:rPr>
            <w:lang w:val="fr-CH"/>
          </w:rPr>
          <w:t>http://www.rfi.fr/afrique/20190515-burundi-eglise-adventiste-7e-jour-denonce-emprisonnement-responsables-branche-local</w:t>
        </w:r>
      </w:hyperlink>
      <w:r>
        <w:rPr>
          <w:lang w:val="fr-CH"/>
        </w:rPr>
        <w:t xml:space="preserve"> ;</w:t>
      </w:r>
      <w:r w:rsidRPr="00B05CAD">
        <w:rPr>
          <w:lang w:val="fr-CH"/>
        </w:rPr>
        <w:t xml:space="preserve"> </w:t>
      </w:r>
      <w:hyperlink r:id="rId46" w:history="1">
        <w:r w:rsidRPr="00B05CAD">
          <w:rPr>
            <w:lang w:val="fr-CH"/>
          </w:rPr>
          <w:t>https://www.voaafrique.com/a/lib%C3%A9ration-de-membres-de-l-%C3%A9glise-adventiste-/4922890.html</w:t>
        </w:r>
      </w:hyperlink>
      <w:r w:rsidRPr="00B05CAD">
        <w:rPr>
          <w:lang w:val="fr-CH"/>
        </w:rPr>
        <w:t xml:space="preserve">; </w:t>
      </w:r>
      <w:hyperlink r:id="rId47" w:history="1">
        <w:r w:rsidRPr="00B05CAD">
          <w:rPr>
            <w:lang w:val="fr-CH"/>
          </w:rPr>
          <w:t>https://news.adventist.org/en/all-news/news/go/2019-05-13/appeal-from-seventh-day-adventist-world-church-president-for-urgent-prayer/</w:t>
        </w:r>
      </w:hyperlink>
      <w:r w:rsidRPr="00B05CAD">
        <w:rPr>
          <w:lang w:val="fr-CH"/>
        </w:rPr>
        <w:t>; https://news.adventist.org/en/all-news/news/go/2019-05-17/adventist-detainees-released-from-burundi-prison/.</w:t>
      </w:r>
    </w:p>
  </w:footnote>
  <w:footnote w:id="143">
    <w:p w14:paraId="0AEC0531" w14:textId="1B8C449A" w:rsidR="00662CCF" w:rsidRPr="004F1146" w:rsidRDefault="00662CCF" w:rsidP="008E4E71">
      <w:pPr>
        <w:pStyle w:val="FootnoteText"/>
      </w:pPr>
      <w:r>
        <w:rPr>
          <w:lang w:val="fr-CH"/>
        </w:rPr>
        <w:tab/>
      </w:r>
      <w:r w:rsidRPr="00F838F3">
        <w:rPr>
          <w:rStyle w:val="FootnoteReference"/>
          <w:lang w:val="fr-CH"/>
        </w:rPr>
        <w:footnoteRef/>
      </w:r>
      <w:r w:rsidRPr="00193F55">
        <w:tab/>
        <w:t xml:space="preserve">LM-003, HI-020. </w:t>
      </w:r>
      <w:r w:rsidRPr="004F1146">
        <w:t xml:space="preserve">See also CNDD-FDD communiqué dated 25 April 2019, </w:t>
      </w:r>
      <w:r>
        <w:t>available on</w:t>
      </w:r>
      <w:r w:rsidRPr="004F1146">
        <w:t>: http://cndd-fdd.org/2019/04/25/declaration-du-parti-cndd-fdd-quatre-ans-apres-la-tenue-du-congres-qui-a-designe-son-excellence-pierre-nkurunziza-candidat-a-la-presidentielle-de-2015/.</w:t>
      </w:r>
    </w:p>
  </w:footnote>
  <w:footnote w:id="144">
    <w:p w14:paraId="1B8FF215" w14:textId="77777777" w:rsidR="00662CCF" w:rsidRPr="00193F55" w:rsidRDefault="00662CCF" w:rsidP="008E4E71">
      <w:pPr>
        <w:pStyle w:val="FootnoteText"/>
      </w:pPr>
      <w:r w:rsidRPr="004F1146">
        <w:tab/>
      </w:r>
      <w:r w:rsidRPr="00F838F3">
        <w:rPr>
          <w:rStyle w:val="FootnoteReference"/>
          <w:lang w:val="fr-CH"/>
        </w:rPr>
        <w:footnoteRef/>
      </w:r>
      <w:r w:rsidRPr="00193F55">
        <w:tab/>
      </w:r>
      <w:hyperlink r:id="rId48" w:history="1">
        <w:r w:rsidRPr="00193F55">
          <w:t>https://www.la-croix.com/Religion/Au-Burundi-eveques-interdisent-prises-parole-cours-messe-2019-04-23-1201017404</w:t>
        </w:r>
      </w:hyperlink>
      <w:r w:rsidRPr="00193F55">
        <w:t>.</w:t>
      </w:r>
    </w:p>
  </w:footnote>
  <w:footnote w:id="145">
    <w:p w14:paraId="7C46DBD4" w14:textId="726CD721" w:rsidR="00662CCF" w:rsidRPr="004F1146" w:rsidRDefault="00662CCF" w:rsidP="008E4E71">
      <w:pPr>
        <w:pStyle w:val="FootnoteText"/>
      </w:pPr>
      <w:r w:rsidRPr="00193F55">
        <w:tab/>
      </w:r>
      <w:r w:rsidRPr="00F838F3">
        <w:rPr>
          <w:rStyle w:val="FootnoteReference"/>
          <w:lang w:val="fr-CH"/>
        </w:rPr>
        <w:footnoteRef/>
      </w:r>
      <w:r w:rsidRPr="004F1146">
        <w:tab/>
      </w:r>
      <w:hyperlink r:id="rId49" w:history="1">
        <w:r w:rsidRPr="004F1146">
          <w:t>https://twitter.com/Mutama2017/status/1137831692268449793</w:t>
        </w:r>
      </w:hyperlink>
      <w:r w:rsidRPr="004F1146">
        <w:t>, Translation by the Commission of the extracts.</w:t>
      </w:r>
    </w:p>
  </w:footnote>
  <w:footnote w:id="146">
    <w:p w14:paraId="456C49CE" w14:textId="0C0A85D9" w:rsidR="00662CCF" w:rsidRPr="004F1146" w:rsidRDefault="00662CCF" w:rsidP="008E4E71">
      <w:pPr>
        <w:pStyle w:val="FootnoteText"/>
      </w:pPr>
      <w:r w:rsidRPr="004F1146">
        <w:tab/>
      </w:r>
      <w:r w:rsidRPr="00F838F3">
        <w:rPr>
          <w:rStyle w:val="FootnoteReference"/>
          <w:lang w:val="fr-CH"/>
        </w:rPr>
        <w:footnoteRef/>
      </w:r>
      <w:r>
        <w:tab/>
        <w:t xml:space="preserve">Final </w:t>
      </w:r>
      <w:r w:rsidRPr="007B7AFD">
        <w:rPr>
          <w:i/>
        </w:rPr>
        <w:t>Communiqué</w:t>
      </w:r>
      <w:r w:rsidRPr="004F1146">
        <w:t xml:space="preserve"> following the or</w:t>
      </w:r>
      <w:r>
        <w:t>dinary plenary assembly of the Conference of Catholic B</w:t>
      </w:r>
      <w:r w:rsidRPr="004F1146">
        <w:t>ishops of Burundi, dat</w:t>
      </w:r>
      <w:r>
        <w:t xml:space="preserve">ed </w:t>
      </w:r>
      <w:r w:rsidRPr="004F1146">
        <w:t xml:space="preserve">11 </w:t>
      </w:r>
      <w:r>
        <w:t>June</w:t>
      </w:r>
      <w:r w:rsidRPr="004F1146">
        <w:t xml:space="preserve"> 2019, </w:t>
      </w:r>
      <w:r>
        <w:t>available at</w:t>
      </w:r>
      <w:r w:rsidRPr="004F1146">
        <w:t xml:space="preserve"> : </w:t>
      </w:r>
      <w:hyperlink r:id="rId50" w:history="1">
        <w:r w:rsidRPr="004F1146">
          <w:t>http://www.eglisecatholique.bi/index.php/2016-10-03-18-35-17/communiques/502-communique-de-cloture-de-l-assemblee-pleniere-de-la-conference-des-eveques-catholiques-du-burundi-du-mois-de-</w:t>
        </w:r>
        <w:r>
          <w:t>June</w:t>
        </w:r>
        <w:r w:rsidRPr="004F1146">
          <w:t>-2019</w:t>
        </w:r>
      </w:hyperlink>
      <w:r w:rsidRPr="004F1146">
        <w:t>.</w:t>
      </w:r>
    </w:p>
  </w:footnote>
  <w:footnote w:id="147">
    <w:p w14:paraId="66582BFD" w14:textId="77777777" w:rsidR="00662CCF" w:rsidRPr="00193F55" w:rsidRDefault="00662CCF" w:rsidP="008E4E71">
      <w:pPr>
        <w:pStyle w:val="FootnoteText"/>
      </w:pPr>
      <w:r w:rsidRPr="004F1146">
        <w:tab/>
      </w:r>
      <w:r w:rsidRPr="00F838F3">
        <w:rPr>
          <w:rStyle w:val="FootnoteReference"/>
          <w:lang w:val="fr-CH"/>
        </w:rPr>
        <w:footnoteRef/>
      </w:r>
      <w:r w:rsidRPr="00193F55">
        <w:tab/>
        <w:t>http://www.rtnb.bi/fr/art.php?idapi=3/3/84.</w:t>
      </w:r>
    </w:p>
  </w:footnote>
  <w:footnote w:id="148">
    <w:p w14:paraId="5F9C860A" w14:textId="011E7FEA" w:rsidR="00662CCF" w:rsidRPr="00FF5DC1" w:rsidRDefault="00662CCF" w:rsidP="008E4E71">
      <w:pPr>
        <w:pStyle w:val="FootnoteText"/>
      </w:pPr>
      <w:r w:rsidRPr="00193F55">
        <w:tab/>
      </w:r>
      <w:r w:rsidRPr="00F838F3">
        <w:rPr>
          <w:rStyle w:val="FootnoteReference"/>
          <w:lang w:val="fr-CH"/>
        </w:rPr>
        <w:footnoteRef/>
      </w:r>
      <w:r w:rsidRPr="00FF5DC1">
        <w:tab/>
        <w:t>Article 25 of the International Covenant on Civil and Political Rights, and article 13 of the Afric</w:t>
      </w:r>
      <w:r>
        <w:t>an Charter on Human and Peoples’</w:t>
      </w:r>
      <w:r w:rsidRPr="00FF5DC1">
        <w:t xml:space="preserve"> Rights.</w:t>
      </w:r>
    </w:p>
  </w:footnote>
  <w:footnote w:id="149">
    <w:p w14:paraId="12CF1483" w14:textId="49993483" w:rsidR="00662CCF" w:rsidRPr="00FF5DC1" w:rsidRDefault="00662CCF" w:rsidP="008E4E71">
      <w:pPr>
        <w:pStyle w:val="FootnoteText"/>
      </w:pPr>
      <w:r w:rsidRPr="00FF5DC1">
        <w:tab/>
      </w:r>
      <w:r w:rsidRPr="00F838F3">
        <w:rPr>
          <w:rStyle w:val="FootnoteReference"/>
          <w:lang w:val="fr-CH"/>
        </w:rPr>
        <w:footnoteRef/>
      </w:r>
      <w:r w:rsidRPr="00FF5DC1">
        <w:tab/>
        <w:t>Human Rights Committee, General Comment n°25 (57) on article 25 of the Conven</w:t>
      </w:r>
      <w:r>
        <w:t>ant</w:t>
      </w:r>
      <w:r w:rsidRPr="00FF5DC1">
        <w:t xml:space="preserve">, CCR/C/Rev.1/Add.7. </w:t>
      </w:r>
    </w:p>
  </w:footnote>
  <w:footnote w:id="150">
    <w:p w14:paraId="2D52A821" w14:textId="116BE089" w:rsidR="00662CCF" w:rsidRPr="007808E0" w:rsidRDefault="00662CCF" w:rsidP="008E4E71">
      <w:pPr>
        <w:pStyle w:val="FootnoteText"/>
      </w:pPr>
      <w:r w:rsidRPr="00FF5DC1">
        <w:tab/>
      </w:r>
      <w:r w:rsidRPr="00F838F3">
        <w:rPr>
          <w:rStyle w:val="FootnoteReference"/>
          <w:lang w:val="fr-CH"/>
        </w:rPr>
        <w:footnoteRef/>
      </w:r>
      <w:r w:rsidRPr="007808E0">
        <w:tab/>
        <w:t xml:space="preserve">Law n°1/11 of 20 May 2019 </w:t>
      </w:r>
      <w:r>
        <w:t>on the</w:t>
      </w:r>
      <w:r w:rsidRPr="007808E0">
        <w:t xml:space="preserve"> modification of the </w:t>
      </w:r>
      <w:r>
        <w:t>l</w:t>
      </w:r>
      <w:r w:rsidRPr="007808E0">
        <w:t xml:space="preserve">aw n°1/20 </w:t>
      </w:r>
      <w:r>
        <w:t>of</w:t>
      </w:r>
      <w:r w:rsidRPr="007808E0">
        <w:t xml:space="preserve"> 3 </w:t>
      </w:r>
      <w:r>
        <w:t>June</w:t>
      </w:r>
      <w:r w:rsidRPr="007808E0">
        <w:t xml:space="preserve"> 2014 </w:t>
      </w:r>
      <w:r>
        <w:t>on the Electoral Code</w:t>
      </w:r>
      <w:r w:rsidRPr="007808E0">
        <w:t xml:space="preserve">. </w:t>
      </w:r>
    </w:p>
  </w:footnote>
  <w:footnote w:id="151">
    <w:p w14:paraId="5708B8DA" w14:textId="4A751A5F" w:rsidR="00662CCF" w:rsidRPr="00FF5DC1" w:rsidRDefault="00662CCF" w:rsidP="008E4E71">
      <w:pPr>
        <w:pStyle w:val="FootnoteText"/>
      </w:pPr>
      <w:r w:rsidRPr="007808E0">
        <w:tab/>
      </w:r>
      <w:r w:rsidRPr="00F838F3">
        <w:rPr>
          <w:rStyle w:val="FootnoteReference"/>
          <w:lang w:val="fr-CH"/>
        </w:rPr>
        <w:footnoteRef/>
      </w:r>
      <w:r w:rsidRPr="00FF5DC1">
        <w:tab/>
        <w:t xml:space="preserve">See </w:t>
      </w:r>
      <w:r>
        <w:t>para.</w:t>
      </w:r>
      <w:r w:rsidRPr="00FF5DC1">
        <w:t xml:space="preserve"> 442-446 of this report.</w:t>
      </w:r>
    </w:p>
  </w:footnote>
  <w:footnote w:id="152">
    <w:p w14:paraId="04A86C40" w14:textId="20E5B133" w:rsidR="00662CCF" w:rsidRPr="00FF5DC1" w:rsidRDefault="00662CCF" w:rsidP="008E4E71">
      <w:pPr>
        <w:pStyle w:val="FootnoteText"/>
      </w:pPr>
      <w:r w:rsidRPr="00FF5DC1">
        <w:tab/>
      </w:r>
      <w:r w:rsidRPr="00F838F3">
        <w:rPr>
          <w:rStyle w:val="FootnoteReference"/>
          <w:lang w:val="fr-CH"/>
        </w:rPr>
        <w:footnoteRef/>
      </w:r>
      <w:r w:rsidRPr="00FF5DC1">
        <w:tab/>
        <w:t>A</w:t>
      </w:r>
      <w:r>
        <w:t>rticles 101 (m) and 128 of the E</w:t>
      </w:r>
      <w:r w:rsidRPr="00FF5DC1">
        <w:t xml:space="preserve">lectoral </w:t>
      </w:r>
      <w:r>
        <w:t>C</w:t>
      </w:r>
      <w:r w:rsidRPr="00FF5DC1">
        <w:t>ode.</w:t>
      </w:r>
    </w:p>
  </w:footnote>
  <w:footnote w:id="153">
    <w:p w14:paraId="4C4D79B0" w14:textId="7CB76F83" w:rsidR="00662CCF" w:rsidRPr="00FF5DC1" w:rsidRDefault="00662CCF" w:rsidP="008E4E71">
      <w:pPr>
        <w:pStyle w:val="FootnoteText"/>
      </w:pPr>
      <w:r w:rsidRPr="00FF5DC1">
        <w:tab/>
      </w:r>
      <w:r w:rsidRPr="00F838F3">
        <w:rPr>
          <w:rStyle w:val="FootnoteReference"/>
          <w:lang w:val="fr-CH"/>
        </w:rPr>
        <w:footnoteRef/>
      </w:r>
      <w:r w:rsidRPr="00FF5DC1">
        <w:tab/>
        <w:t xml:space="preserve">Article 136 of the </w:t>
      </w:r>
      <w:r>
        <w:t>E</w:t>
      </w:r>
      <w:r w:rsidRPr="00FF5DC1">
        <w:t xml:space="preserve">lectoral </w:t>
      </w:r>
      <w:r>
        <w:t>C</w:t>
      </w:r>
      <w:r w:rsidRPr="00FF5DC1">
        <w:t>ode.</w:t>
      </w:r>
    </w:p>
  </w:footnote>
  <w:footnote w:id="154">
    <w:p w14:paraId="534235BE" w14:textId="132D1E59" w:rsidR="00662CCF" w:rsidRPr="00FF5DC1" w:rsidRDefault="00662CCF" w:rsidP="008E4E71">
      <w:pPr>
        <w:pStyle w:val="FootnoteText"/>
      </w:pPr>
      <w:r w:rsidRPr="00FF5DC1">
        <w:tab/>
      </w:r>
      <w:r w:rsidRPr="00F838F3">
        <w:rPr>
          <w:rStyle w:val="FootnoteReference"/>
          <w:lang w:val="fr-CH"/>
        </w:rPr>
        <w:footnoteRef/>
      </w:r>
      <w:r w:rsidRPr="00FF5DC1">
        <w:tab/>
        <w:t xml:space="preserve">Article 108 of the </w:t>
      </w:r>
      <w:r>
        <w:t>E</w:t>
      </w:r>
      <w:r w:rsidRPr="00FF5DC1">
        <w:t xml:space="preserve">lectoral </w:t>
      </w:r>
      <w:r>
        <w:t>C</w:t>
      </w:r>
      <w:r w:rsidRPr="00FF5DC1">
        <w:t>ode.</w:t>
      </w:r>
    </w:p>
  </w:footnote>
  <w:footnote w:id="155">
    <w:p w14:paraId="2E14ADF0" w14:textId="44E5645E" w:rsidR="00662CCF" w:rsidRPr="00FF5DC1" w:rsidRDefault="00662CCF" w:rsidP="008E4E71">
      <w:pPr>
        <w:pStyle w:val="FootnoteText"/>
      </w:pPr>
      <w:r w:rsidRPr="00FF5DC1">
        <w:tab/>
      </w:r>
      <w:r w:rsidRPr="00F838F3">
        <w:rPr>
          <w:rStyle w:val="FootnoteReference"/>
          <w:lang w:val="fr-CH"/>
        </w:rPr>
        <w:footnoteRef/>
      </w:r>
      <w:r w:rsidRPr="00FF5DC1">
        <w:tab/>
        <w:t xml:space="preserve">Article 142 of the </w:t>
      </w:r>
      <w:r>
        <w:t>E</w:t>
      </w:r>
      <w:r w:rsidRPr="00FF5DC1">
        <w:t xml:space="preserve">lectoral </w:t>
      </w:r>
      <w:r>
        <w:t>C</w:t>
      </w:r>
      <w:r w:rsidRPr="00FF5DC1">
        <w:t>ode.</w:t>
      </w:r>
    </w:p>
  </w:footnote>
  <w:footnote w:id="156">
    <w:p w14:paraId="6A61A9F3" w14:textId="2A6F0FBF" w:rsidR="00662CCF" w:rsidRPr="00FF5DC1" w:rsidRDefault="00662CCF" w:rsidP="008E4E71">
      <w:pPr>
        <w:pStyle w:val="FootnoteText"/>
      </w:pPr>
      <w:r w:rsidRPr="00FF5DC1">
        <w:tab/>
      </w:r>
      <w:r w:rsidRPr="00F838F3">
        <w:rPr>
          <w:rStyle w:val="FootnoteReference"/>
          <w:lang w:val="fr-CH"/>
        </w:rPr>
        <w:footnoteRef/>
      </w:r>
      <w:r w:rsidRPr="00FF5DC1">
        <w:tab/>
        <w:t xml:space="preserve">Article 113 of the </w:t>
      </w:r>
      <w:r>
        <w:t>E</w:t>
      </w:r>
      <w:r w:rsidRPr="00FF5DC1">
        <w:t xml:space="preserve">lectoral </w:t>
      </w:r>
      <w:r>
        <w:t>C</w:t>
      </w:r>
      <w:r w:rsidRPr="00FF5DC1">
        <w:t>ode.</w:t>
      </w:r>
    </w:p>
  </w:footnote>
  <w:footnote w:id="157">
    <w:p w14:paraId="3FC1C058" w14:textId="2BA31C52" w:rsidR="00662CCF" w:rsidRPr="00FF5DC1" w:rsidRDefault="00662CCF" w:rsidP="008E4E71">
      <w:pPr>
        <w:pStyle w:val="FootnoteText"/>
      </w:pPr>
      <w:r w:rsidRPr="00FF5DC1">
        <w:tab/>
      </w:r>
      <w:r w:rsidRPr="00F838F3">
        <w:rPr>
          <w:rStyle w:val="FootnoteReference"/>
          <w:lang w:val="fr-CH"/>
        </w:rPr>
        <w:footnoteRef/>
      </w:r>
      <w:r w:rsidRPr="00FF5DC1">
        <w:tab/>
        <w:t xml:space="preserve">Articles 182 and 185 of the </w:t>
      </w:r>
      <w:r>
        <w:t>E</w:t>
      </w:r>
      <w:r w:rsidRPr="00FF5DC1">
        <w:t xml:space="preserve">lectoral </w:t>
      </w:r>
      <w:r>
        <w:t>C</w:t>
      </w:r>
      <w:r w:rsidRPr="00FF5DC1">
        <w:t>ode.</w:t>
      </w:r>
    </w:p>
  </w:footnote>
  <w:footnote w:id="158">
    <w:p w14:paraId="06FCCD7C" w14:textId="3CAA9A60" w:rsidR="00662CCF" w:rsidRPr="00FF5DC1" w:rsidRDefault="00662CCF" w:rsidP="008E4E71">
      <w:pPr>
        <w:pStyle w:val="FootnoteText"/>
      </w:pPr>
      <w:r w:rsidRPr="00FF5DC1">
        <w:tab/>
      </w:r>
      <w:r w:rsidRPr="00F838F3">
        <w:rPr>
          <w:rStyle w:val="FootnoteReference"/>
          <w:lang w:val="fr-CH"/>
        </w:rPr>
        <w:footnoteRef/>
      </w:r>
      <w:r w:rsidRPr="00FF5DC1">
        <w:tab/>
        <w:t xml:space="preserve">Article 135 of the </w:t>
      </w:r>
      <w:r>
        <w:t>E</w:t>
      </w:r>
      <w:r w:rsidRPr="00FF5DC1">
        <w:t xml:space="preserve">lectoral </w:t>
      </w:r>
      <w:r>
        <w:t>C</w:t>
      </w:r>
      <w:r w:rsidRPr="00FF5DC1">
        <w:t>ode.</w:t>
      </w:r>
    </w:p>
  </w:footnote>
  <w:footnote w:id="159">
    <w:p w14:paraId="2B63B589" w14:textId="371800FF" w:rsidR="00662CCF" w:rsidRPr="00FF5DC1" w:rsidRDefault="00662CCF" w:rsidP="008E4E71">
      <w:pPr>
        <w:pStyle w:val="FootnoteText"/>
      </w:pPr>
      <w:r w:rsidRPr="00FF5DC1">
        <w:tab/>
      </w:r>
      <w:r w:rsidRPr="00F838F3">
        <w:rPr>
          <w:rStyle w:val="FootnoteReference"/>
          <w:lang w:val="fr-CH"/>
        </w:rPr>
        <w:footnoteRef/>
      </w:r>
      <w:r w:rsidRPr="00FF5DC1">
        <w:tab/>
        <w:t xml:space="preserve">Article 104 of the </w:t>
      </w:r>
      <w:r>
        <w:t>E</w:t>
      </w:r>
      <w:r w:rsidRPr="00FF5DC1">
        <w:t xml:space="preserve">lectoral </w:t>
      </w:r>
      <w:r>
        <w:t>C</w:t>
      </w:r>
      <w:r w:rsidRPr="00FF5DC1">
        <w:t>ode.</w:t>
      </w:r>
    </w:p>
  </w:footnote>
  <w:footnote w:id="160">
    <w:p w14:paraId="2B38180C" w14:textId="032708CB" w:rsidR="00662CCF" w:rsidRPr="00FF5DC1" w:rsidRDefault="00662CCF" w:rsidP="008E4E71">
      <w:pPr>
        <w:pStyle w:val="FootnoteText"/>
      </w:pPr>
      <w:r w:rsidRPr="00FF5DC1">
        <w:tab/>
      </w:r>
      <w:r w:rsidRPr="00F838F3">
        <w:rPr>
          <w:rStyle w:val="FootnoteReference"/>
          <w:lang w:val="fr-CH"/>
        </w:rPr>
        <w:footnoteRef/>
      </w:r>
      <w:r w:rsidRPr="00FF5DC1">
        <w:tab/>
        <w:t xml:space="preserve">Article 166 of the </w:t>
      </w:r>
      <w:r>
        <w:t>E</w:t>
      </w:r>
      <w:r w:rsidRPr="00FF5DC1">
        <w:t xml:space="preserve">lectoral </w:t>
      </w:r>
      <w:r>
        <w:t>C</w:t>
      </w:r>
      <w:r w:rsidRPr="00FF5DC1">
        <w:t>ode.</w:t>
      </w:r>
    </w:p>
  </w:footnote>
  <w:footnote w:id="161">
    <w:p w14:paraId="21FF3E95" w14:textId="18403E80" w:rsidR="00662CCF" w:rsidRPr="00FF5DC1" w:rsidRDefault="00662CCF" w:rsidP="008E4E71">
      <w:pPr>
        <w:pStyle w:val="FootnoteText"/>
      </w:pPr>
      <w:r w:rsidRPr="00FF5DC1">
        <w:tab/>
      </w:r>
      <w:r w:rsidRPr="00F838F3">
        <w:rPr>
          <w:rStyle w:val="FootnoteReference"/>
          <w:lang w:val="fr-CH"/>
        </w:rPr>
        <w:footnoteRef/>
      </w:r>
      <w:r w:rsidRPr="00FF5DC1">
        <w:tab/>
        <w:t>Article 25 of the International Covenant on Civil and Political Rights.</w:t>
      </w:r>
    </w:p>
  </w:footnote>
  <w:footnote w:id="162">
    <w:p w14:paraId="581092C6" w14:textId="13FF9184" w:rsidR="00662CCF" w:rsidRPr="00FF5DC1" w:rsidRDefault="00662CCF" w:rsidP="008E4E71">
      <w:pPr>
        <w:pStyle w:val="FootnoteText"/>
      </w:pPr>
      <w:r w:rsidRPr="00FF5DC1">
        <w:tab/>
      </w:r>
      <w:r w:rsidRPr="00F838F3">
        <w:rPr>
          <w:rStyle w:val="FootnoteReference"/>
          <w:lang w:val="fr-CH"/>
        </w:rPr>
        <w:footnoteRef/>
      </w:r>
      <w:r w:rsidRPr="00FF5DC1">
        <w:tab/>
        <w:t xml:space="preserve">Article 5 (1) of the </w:t>
      </w:r>
      <w:r>
        <w:t>E</w:t>
      </w:r>
      <w:r w:rsidRPr="00FF5DC1">
        <w:t xml:space="preserve">lectoral </w:t>
      </w:r>
      <w:r>
        <w:t>C</w:t>
      </w:r>
      <w:r w:rsidRPr="00FF5DC1">
        <w:t>ode.</w:t>
      </w:r>
    </w:p>
  </w:footnote>
  <w:footnote w:id="163">
    <w:p w14:paraId="0EDB9C0F" w14:textId="6BD6D970" w:rsidR="00662CCF" w:rsidRPr="00FF5DC1" w:rsidRDefault="00662CCF" w:rsidP="008E4E71">
      <w:pPr>
        <w:pStyle w:val="FootnoteText"/>
      </w:pPr>
      <w:r w:rsidRPr="00FF5DC1">
        <w:tab/>
      </w:r>
      <w:r w:rsidRPr="00F838F3">
        <w:rPr>
          <w:rStyle w:val="FootnoteReference"/>
          <w:lang w:val="fr-CH"/>
        </w:rPr>
        <w:footnoteRef/>
      </w:r>
      <w:r w:rsidRPr="00FF5DC1">
        <w:tab/>
        <w:t>Article 25 of the International Covenant on Civil and Political Rights.</w:t>
      </w:r>
    </w:p>
  </w:footnote>
  <w:footnote w:id="164">
    <w:p w14:paraId="19FEB508" w14:textId="15DBDB7E" w:rsidR="00662CCF" w:rsidRPr="00FF5DC1" w:rsidRDefault="00662CCF" w:rsidP="008E4E71">
      <w:pPr>
        <w:pStyle w:val="FootnoteText"/>
      </w:pPr>
      <w:r w:rsidRPr="00FF5DC1">
        <w:tab/>
      </w:r>
      <w:r w:rsidRPr="00F838F3">
        <w:rPr>
          <w:rStyle w:val="FootnoteReference"/>
          <w:lang w:val="fr-CH"/>
        </w:rPr>
        <w:footnoteRef/>
      </w:r>
      <w:r w:rsidRPr="00FF5DC1">
        <w:tab/>
        <w:t xml:space="preserve">Human Rights Committee, General Comment n°25 (57) </w:t>
      </w:r>
      <w:r>
        <w:t xml:space="preserve">on </w:t>
      </w:r>
      <w:r w:rsidRPr="00FF5DC1">
        <w:t xml:space="preserve">article 25 </w:t>
      </w:r>
      <w:r>
        <w:t>of the Covenant</w:t>
      </w:r>
      <w:r w:rsidRPr="00FF5DC1">
        <w:t xml:space="preserve">, CCR/C/Rev.1/Add.7. </w:t>
      </w:r>
    </w:p>
  </w:footnote>
  <w:footnote w:id="165">
    <w:p w14:paraId="5B73B59E" w14:textId="1F3F8AC9" w:rsidR="00662CCF" w:rsidRPr="00EA7298" w:rsidRDefault="00662CCF" w:rsidP="008E4E71">
      <w:pPr>
        <w:pStyle w:val="FootnoteText"/>
        <w:rPr>
          <w:lang w:val="fr-FR"/>
        </w:rPr>
      </w:pPr>
      <w:r w:rsidRPr="00FF5DC1">
        <w:tab/>
      </w:r>
      <w:r w:rsidRPr="00F838F3">
        <w:rPr>
          <w:rStyle w:val="FootnoteReference"/>
          <w:lang w:val="fr-CH"/>
        </w:rPr>
        <w:footnoteRef/>
      </w:r>
      <w:r w:rsidRPr="00FF5DC1">
        <w:tab/>
        <w:t xml:space="preserve">Human Rights Committee, General Comment n°25 (57) </w:t>
      </w:r>
      <w:r>
        <w:t xml:space="preserve">on </w:t>
      </w:r>
      <w:r w:rsidRPr="00FF5DC1">
        <w:t xml:space="preserve">article 25 </w:t>
      </w:r>
      <w:r>
        <w:t>of the Covenant</w:t>
      </w:r>
      <w:r w:rsidRPr="00FF5DC1">
        <w:t xml:space="preserve">, CCR/C/Rev.1/Add.7, </w:t>
      </w:r>
      <w:r>
        <w:t>para.</w:t>
      </w:r>
      <w:r w:rsidRPr="00FF5DC1">
        <w:t xml:space="preserve"> </w:t>
      </w:r>
      <w:r w:rsidRPr="00EA7298">
        <w:rPr>
          <w:lang w:val="fr-FR"/>
        </w:rPr>
        <w:t>19.</w:t>
      </w:r>
    </w:p>
  </w:footnote>
  <w:footnote w:id="166">
    <w:p w14:paraId="010B53B5" w14:textId="77777777" w:rsidR="00662CCF" w:rsidRPr="00B05CAD" w:rsidRDefault="00662CCF" w:rsidP="008E4E71">
      <w:pPr>
        <w:pStyle w:val="FootnoteText"/>
        <w:rPr>
          <w:lang w:val="fr-CH"/>
        </w:rPr>
      </w:pPr>
      <w:r w:rsidRPr="00EA7298">
        <w:rPr>
          <w:lang w:val="fr-FR"/>
        </w:rPr>
        <w:tab/>
      </w:r>
      <w:r w:rsidRPr="00F838F3">
        <w:rPr>
          <w:rStyle w:val="FootnoteReference"/>
          <w:lang w:val="fr-CH"/>
        </w:rPr>
        <w:footnoteRef/>
      </w:r>
      <w:r>
        <w:rPr>
          <w:lang w:val="fr-CH"/>
        </w:rPr>
        <w:tab/>
      </w:r>
      <w:r w:rsidRPr="00B05CAD">
        <w:rPr>
          <w:lang w:val="fr-CH"/>
        </w:rPr>
        <w:t>CI-042, JI-067, JI-069, JI-096, JI-097, JI-100, TI-199.</w:t>
      </w:r>
    </w:p>
  </w:footnote>
  <w:footnote w:id="167">
    <w:p w14:paraId="2A96EA0C" w14:textId="77777777" w:rsidR="00662CCF" w:rsidRPr="00B05CAD" w:rsidRDefault="00662CCF" w:rsidP="008E4E71">
      <w:pPr>
        <w:pStyle w:val="FootnoteText"/>
        <w:rPr>
          <w:lang w:val="fr-CH"/>
        </w:rPr>
      </w:pPr>
      <w:r>
        <w:rPr>
          <w:lang w:val="fr-CH"/>
        </w:rPr>
        <w:tab/>
      </w:r>
      <w:r w:rsidRPr="00F838F3">
        <w:rPr>
          <w:rStyle w:val="FootnoteReference"/>
          <w:lang w:val="fr-CH"/>
        </w:rPr>
        <w:footnoteRef/>
      </w:r>
      <w:r>
        <w:rPr>
          <w:lang w:val="fr-CH"/>
        </w:rPr>
        <w:tab/>
      </w:r>
      <w:r w:rsidRPr="00B05CAD">
        <w:rPr>
          <w:lang w:val="fr-CH"/>
        </w:rPr>
        <w:t>JI-097</w:t>
      </w:r>
      <w:r>
        <w:rPr>
          <w:lang w:val="fr-CH"/>
        </w:rPr>
        <w:t>.</w:t>
      </w:r>
    </w:p>
  </w:footnote>
  <w:footnote w:id="168">
    <w:p w14:paraId="7A9D970A" w14:textId="77777777" w:rsidR="00662CCF" w:rsidRPr="00B05CAD" w:rsidRDefault="00662CCF" w:rsidP="008E4E71">
      <w:pPr>
        <w:pStyle w:val="FootnoteText"/>
        <w:rPr>
          <w:lang w:val="fr-CH"/>
        </w:rPr>
      </w:pPr>
      <w:r>
        <w:rPr>
          <w:lang w:val="fr-CH"/>
        </w:rPr>
        <w:tab/>
      </w:r>
      <w:r w:rsidRPr="00F838F3">
        <w:rPr>
          <w:rStyle w:val="FootnoteReference"/>
          <w:lang w:val="fr-CH"/>
        </w:rPr>
        <w:footnoteRef/>
      </w:r>
      <w:r>
        <w:rPr>
          <w:lang w:val="fr-CH"/>
        </w:rPr>
        <w:tab/>
      </w:r>
      <w:r w:rsidRPr="00B05CAD">
        <w:rPr>
          <w:lang w:val="fr-CH"/>
        </w:rPr>
        <w:t>CI-058.</w:t>
      </w:r>
    </w:p>
  </w:footnote>
  <w:footnote w:id="169">
    <w:p w14:paraId="0AB84752" w14:textId="77777777" w:rsidR="00662CCF" w:rsidRPr="00B05CAD" w:rsidRDefault="00662CCF" w:rsidP="008E4E71">
      <w:pPr>
        <w:pStyle w:val="FootnoteText"/>
        <w:rPr>
          <w:lang w:val="fr-CH"/>
        </w:rPr>
      </w:pPr>
      <w:r>
        <w:rPr>
          <w:lang w:val="fr-CH"/>
        </w:rPr>
        <w:tab/>
      </w:r>
      <w:r w:rsidRPr="00F838F3">
        <w:rPr>
          <w:rStyle w:val="FootnoteReference"/>
          <w:lang w:val="fr-CH"/>
        </w:rPr>
        <w:footnoteRef/>
      </w:r>
      <w:r>
        <w:rPr>
          <w:lang w:val="fr-CH"/>
        </w:rPr>
        <w:tab/>
      </w:r>
      <w:r w:rsidRPr="00B05CAD">
        <w:rPr>
          <w:lang w:val="fr-CH"/>
        </w:rPr>
        <w:t>TI-215, JI-096.</w:t>
      </w:r>
    </w:p>
  </w:footnote>
  <w:footnote w:id="170">
    <w:p w14:paraId="5A94C737" w14:textId="77777777" w:rsidR="00662CCF" w:rsidRPr="00193F55" w:rsidRDefault="00662CCF" w:rsidP="008E4E71">
      <w:pPr>
        <w:pStyle w:val="FootnoteText"/>
      </w:pPr>
      <w:r>
        <w:rPr>
          <w:lang w:val="fr-CH"/>
        </w:rPr>
        <w:tab/>
      </w:r>
      <w:r w:rsidRPr="00F838F3">
        <w:rPr>
          <w:rStyle w:val="FootnoteReference"/>
          <w:lang w:val="fr-CH"/>
        </w:rPr>
        <w:footnoteRef/>
      </w:r>
      <w:r w:rsidRPr="00193F55">
        <w:tab/>
        <w:t>TI-215.</w:t>
      </w:r>
    </w:p>
  </w:footnote>
  <w:footnote w:id="171">
    <w:p w14:paraId="18AB6C30" w14:textId="0FA780BC" w:rsidR="00662CCF" w:rsidRPr="00FF5DC1" w:rsidRDefault="00662CCF" w:rsidP="008E4E71">
      <w:pPr>
        <w:pStyle w:val="FootnoteText"/>
      </w:pPr>
      <w:r w:rsidRPr="00193F55">
        <w:tab/>
      </w:r>
      <w:r w:rsidRPr="00C955F1">
        <w:rPr>
          <w:rStyle w:val="FootnoteReference"/>
          <w:lang w:val="fr-CH"/>
        </w:rPr>
        <w:footnoteRef/>
      </w:r>
      <w:r w:rsidRPr="00FF5DC1">
        <w:tab/>
        <w:t xml:space="preserve">A/HRC/39/CRP.1, </w:t>
      </w:r>
      <w:r>
        <w:t>para.</w:t>
      </w:r>
      <w:r w:rsidRPr="00FF5DC1">
        <w:t xml:space="preserve"> 580-721.</w:t>
      </w:r>
    </w:p>
  </w:footnote>
  <w:footnote w:id="172">
    <w:p w14:paraId="036233CD" w14:textId="31FA684F" w:rsidR="00662CCF" w:rsidRPr="00FF5DC1" w:rsidRDefault="00662CCF" w:rsidP="008E4E71">
      <w:pPr>
        <w:pStyle w:val="FootnoteText"/>
      </w:pPr>
      <w:r w:rsidRPr="00FF5DC1">
        <w:tab/>
      </w:r>
      <w:r w:rsidRPr="00C955F1">
        <w:rPr>
          <w:rStyle w:val="FootnoteReference"/>
          <w:lang w:val="fr-CH"/>
        </w:rPr>
        <w:footnoteRef/>
      </w:r>
      <w:r w:rsidRPr="00FF5DC1">
        <w:tab/>
        <w:t>Article 11 of the</w:t>
      </w:r>
      <w:r>
        <w:t xml:space="preserve"> International</w:t>
      </w:r>
      <w:r w:rsidRPr="00FF5DC1">
        <w:t xml:space="preserve"> Covenant on Economic, Social and Cultural Rights.</w:t>
      </w:r>
    </w:p>
  </w:footnote>
  <w:footnote w:id="173">
    <w:p w14:paraId="6969E216" w14:textId="0D0CF414" w:rsidR="00662CCF" w:rsidRPr="00FF5DC1" w:rsidRDefault="00662CCF" w:rsidP="008E4E71">
      <w:pPr>
        <w:pStyle w:val="FootnoteText"/>
      </w:pPr>
      <w:r w:rsidRPr="00FF5DC1">
        <w:tab/>
      </w:r>
      <w:r w:rsidRPr="00C955F1">
        <w:rPr>
          <w:rStyle w:val="FootnoteReference"/>
          <w:lang w:val="fr-CH"/>
        </w:rPr>
        <w:footnoteRef/>
      </w:r>
      <w:r w:rsidRPr="00FF5DC1">
        <w:tab/>
        <w:t>World Bank: http://www.worldbank.org/en/country/burundi.</w:t>
      </w:r>
    </w:p>
  </w:footnote>
  <w:footnote w:id="174">
    <w:p w14:paraId="1E13630D" w14:textId="51018193" w:rsidR="00662CCF" w:rsidRPr="00FF5DC1" w:rsidRDefault="00662CCF" w:rsidP="008E4E71">
      <w:pPr>
        <w:pStyle w:val="FootnoteText"/>
      </w:pPr>
      <w:r w:rsidRPr="00FF5DC1">
        <w:tab/>
      </w:r>
      <w:r w:rsidRPr="00C955F1">
        <w:rPr>
          <w:rStyle w:val="FootnoteReference"/>
          <w:lang w:val="fr-CH"/>
        </w:rPr>
        <w:footnoteRef/>
      </w:r>
      <w:r w:rsidRPr="00FF5DC1">
        <w:tab/>
        <w:t xml:space="preserve">UNDP, </w:t>
      </w:r>
      <w:r w:rsidRPr="00662CCF">
        <w:rPr>
          <w:i/>
        </w:rPr>
        <w:t>Human Development Index</w:t>
      </w:r>
      <w:r w:rsidRPr="00FF5DC1">
        <w:t>, 2018.</w:t>
      </w:r>
    </w:p>
  </w:footnote>
  <w:footnote w:id="175">
    <w:p w14:paraId="68CBA344" w14:textId="7F8290B1" w:rsidR="00662CCF" w:rsidRPr="00FF5DC1" w:rsidRDefault="00662CCF" w:rsidP="008E4E71">
      <w:pPr>
        <w:pStyle w:val="FootnoteText"/>
      </w:pPr>
      <w:r w:rsidRPr="00FF5DC1">
        <w:tab/>
      </w:r>
      <w:r w:rsidRPr="00C955F1">
        <w:rPr>
          <w:rStyle w:val="FootnoteReference"/>
          <w:lang w:val="fr-CH"/>
        </w:rPr>
        <w:footnoteRef/>
      </w:r>
      <w:r w:rsidRPr="00FF5DC1">
        <w:tab/>
        <w:t xml:space="preserve">See A/HRC/39/CRP.1, </w:t>
      </w:r>
      <w:r>
        <w:t>para.</w:t>
      </w:r>
      <w:r w:rsidRPr="00FF5DC1">
        <w:t xml:space="preserve"> 634-646.</w:t>
      </w:r>
    </w:p>
  </w:footnote>
  <w:footnote w:id="176">
    <w:p w14:paraId="674354B9" w14:textId="46E85368" w:rsidR="00662CCF" w:rsidRPr="00EA7298" w:rsidRDefault="00662CCF" w:rsidP="008E4E71">
      <w:pPr>
        <w:pStyle w:val="FootnoteText"/>
        <w:rPr>
          <w:lang w:val="fr-FR"/>
        </w:rPr>
      </w:pPr>
      <w:r w:rsidRPr="00FF5DC1">
        <w:tab/>
      </w:r>
      <w:r w:rsidRPr="00C955F1">
        <w:rPr>
          <w:rStyle w:val="FootnoteReference"/>
          <w:lang w:val="fr-CH"/>
        </w:rPr>
        <w:footnoteRef/>
      </w:r>
      <w:r w:rsidRPr="00FF5DC1">
        <w:tab/>
        <w:t xml:space="preserve">See A/HRC/39/CRP.1, </w:t>
      </w:r>
      <w:r>
        <w:t>para.</w:t>
      </w:r>
      <w:r w:rsidRPr="00FF5DC1">
        <w:t xml:space="preserve"> </w:t>
      </w:r>
      <w:r w:rsidRPr="00EA7298">
        <w:rPr>
          <w:lang w:val="fr-FR"/>
        </w:rPr>
        <w:t xml:space="preserve">637-646. </w:t>
      </w:r>
    </w:p>
  </w:footnote>
  <w:footnote w:id="177">
    <w:p w14:paraId="1D162210" w14:textId="77777777" w:rsidR="00662CCF" w:rsidRPr="00B05CAD" w:rsidRDefault="00662CCF" w:rsidP="008E4E71">
      <w:pPr>
        <w:pStyle w:val="FootnoteText"/>
        <w:rPr>
          <w:lang w:val="fr-CH"/>
        </w:rPr>
      </w:pPr>
      <w:r w:rsidRPr="00EA7298">
        <w:rPr>
          <w:lang w:val="fr-FR"/>
        </w:rPr>
        <w:tab/>
      </w:r>
      <w:r w:rsidRPr="00C955F1">
        <w:rPr>
          <w:rStyle w:val="FootnoteReference"/>
          <w:lang w:val="fr-CH"/>
        </w:rPr>
        <w:footnoteRef/>
      </w:r>
      <w:r>
        <w:rPr>
          <w:lang w:val="fr-CH"/>
        </w:rPr>
        <w:tab/>
      </w:r>
      <w:r w:rsidRPr="00B05CAD">
        <w:rPr>
          <w:lang w:val="fr-CH"/>
        </w:rPr>
        <w:t>TI-189, TI-208, CI-002, CI-014</w:t>
      </w:r>
      <w:r>
        <w:rPr>
          <w:lang w:val="fr-CH"/>
        </w:rPr>
        <w:t>.</w:t>
      </w:r>
    </w:p>
  </w:footnote>
  <w:footnote w:id="178">
    <w:p w14:paraId="75258604" w14:textId="77777777" w:rsidR="00662CCF" w:rsidRPr="00B05CAD" w:rsidRDefault="00662CCF" w:rsidP="008E4E71">
      <w:pPr>
        <w:pStyle w:val="FootnoteText"/>
        <w:rPr>
          <w:lang w:val="fr-CH"/>
        </w:rPr>
      </w:pPr>
      <w:r>
        <w:rPr>
          <w:lang w:val="fr-CH"/>
        </w:rPr>
        <w:tab/>
      </w:r>
      <w:r w:rsidRPr="00C955F1">
        <w:rPr>
          <w:rStyle w:val="FootnoteReference"/>
          <w:lang w:val="fr-CH"/>
        </w:rPr>
        <w:footnoteRef/>
      </w:r>
      <w:r>
        <w:rPr>
          <w:lang w:val="fr-CH"/>
        </w:rPr>
        <w:tab/>
      </w:r>
      <w:r w:rsidRPr="00B05CAD">
        <w:rPr>
          <w:lang w:val="fr-CH"/>
        </w:rPr>
        <w:t>JI-097, JI-098.</w:t>
      </w:r>
    </w:p>
  </w:footnote>
  <w:footnote w:id="179">
    <w:p w14:paraId="3B934F39" w14:textId="77777777" w:rsidR="00662CCF" w:rsidRPr="00EA7298" w:rsidRDefault="00662CCF" w:rsidP="008E4E71">
      <w:pPr>
        <w:pStyle w:val="FootnoteText"/>
      </w:pPr>
      <w:r>
        <w:rPr>
          <w:lang w:val="fr-CH"/>
        </w:rPr>
        <w:tab/>
      </w:r>
      <w:r w:rsidRPr="00C955F1">
        <w:rPr>
          <w:rStyle w:val="FootnoteReference"/>
          <w:lang w:val="fr-CH"/>
        </w:rPr>
        <w:footnoteRef/>
      </w:r>
      <w:r w:rsidRPr="00EA7298">
        <w:tab/>
        <w:t>JI-098.</w:t>
      </w:r>
    </w:p>
  </w:footnote>
  <w:footnote w:id="180">
    <w:p w14:paraId="1D531CA5" w14:textId="4D9A2CCD" w:rsidR="00662CCF" w:rsidRPr="00EA7298" w:rsidRDefault="00662CCF" w:rsidP="008E4E71">
      <w:pPr>
        <w:pStyle w:val="FootnoteText"/>
      </w:pPr>
      <w:r w:rsidRPr="00EA7298">
        <w:tab/>
      </w:r>
      <w:r w:rsidRPr="00C955F1">
        <w:rPr>
          <w:rStyle w:val="FootnoteReference"/>
          <w:lang w:val="fr-CH"/>
        </w:rPr>
        <w:footnoteRef/>
      </w:r>
      <w:r w:rsidRPr="00EA7298">
        <w:tab/>
        <w:t xml:space="preserve">See para. 41, </w:t>
      </w:r>
      <w:hyperlink r:id="rId51" w:history="1">
        <w:r w:rsidRPr="00EA7298">
          <w:t>https://presidence.gov.bi/2019/07/02/message-a-la-nation-de-son-excellence-le-president-de-la-republique-a-loccasion-du-57eme-anniversaire-de-independance-du-burundi/</w:t>
        </w:r>
      </w:hyperlink>
      <w:r w:rsidRPr="00EA7298">
        <w:t>.</w:t>
      </w:r>
    </w:p>
  </w:footnote>
  <w:footnote w:id="181">
    <w:p w14:paraId="187E9EBD" w14:textId="77777777" w:rsidR="00662CCF" w:rsidRPr="00B05CAD" w:rsidRDefault="00662CCF" w:rsidP="008E4E71">
      <w:pPr>
        <w:pStyle w:val="FootnoteText"/>
        <w:rPr>
          <w:lang w:val="fr-CH"/>
        </w:rPr>
      </w:pPr>
      <w:r w:rsidRPr="00EA7298">
        <w:tab/>
      </w:r>
      <w:r w:rsidRPr="00C955F1">
        <w:rPr>
          <w:rStyle w:val="FootnoteReference"/>
          <w:lang w:val="fr-CH"/>
        </w:rPr>
        <w:footnoteRef/>
      </w:r>
      <w:r>
        <w:rPr>
          <w:lang w:val="fr-CH"/>
        </w:rPr>
        <w:tab/>
      </w:r>
      <w:r w:rsidRPr="00B05CAD">
        <w:rPr>
          <w:lang w:val="fr-CH"/>
        </w:rPr>
        <w:t>JI-079.</w:t>
      </w:r>
    </w:p>
  </w:footnote>
  <w:footnote w:id="182">
    <w:p w14:paraId="4C9C865C" w14:textId="77777777" w:rsidR="00662CCF" w:rsidRPr="00B05CAD" w:rsidRDefault="00662CCF" w:rsidP="008E4E71">
      <w:pPr>
        <w:pStyle w:val="FootnoteText"/>
        <w:rPr>
          <w:lang w:val="fr-CH"/>
        </w:rPr>
      </w:pPr>
      <w:r>
        <w:rPr>
          <w:lang w:val="fr-CH"/>
        </w:rPr>
        <w:tab/>
      </w:r>
      <w:r w:rsidRPr="00C955F1">
        <w:rPr>
          <w:rStyle w:val="FootnoteReference"/>
          <w:lang w:val="fr-CH"/>
        </w:rPr>
        <w:footnoteRef/>
      </w:r>
      <w:r>
        <w:rPr>
          <w:lang w:val="fr-CH"/>
        </w:rPr>
        <w:tab/>
      </w:r>
      <w:r w:rsidRPr="00B05CAD">
        <w:rPr>
          <w:lang w:val="fr-CH"/>
        </w:rPr>
        <w:t>TI-182, TI-216, CI-067.</w:t>
      </w:r>
    </w:p>
  </w:footnote>
  <w:footnote w:id="183">
    <w:p w14:paraId="2BDB5F20" w14:textId="77777777" w:rsidR="00662CCF" w:rsidRPr="00B05CAD" w:rsidRDefault="00662CCF" w:rsidP="008E4E71">
      <w:pPr>
        <w:pStyle w:val="FootnoteText"/>
        <w:rPr>
          <w:lang w:val="fr-CH"/>
        </w:rPr>
      </w:pPr>
      <w:r>
        <w:rPr>
          <w:lang w:val="fr-CH"/>
        </w:rPr>
        <w:tab/>
      </w:r>
      <w:r w:rsidRPr="00C955F1">
        <w:rPr>
          <w:rStyle w:val="FootnoteReference"/>
          <w:lang w:val="fr-CH"/>
        </w:rPr>
        <w:footnoteRef/>
      </w:r>
      <w:r>
        <w:rPr>
          <w:lang w:val="fr-CH"/>
        </w:rPr>
        <w:tab/>
      </w:r>
      <w:r w:rsidRPr="00B05CAD">
        <w:rPr>
          <w:lang w:val="fr-CH"/>
        </w:rPr>
        <w:t>TI-208.</w:t>
      </w:r>
    </w:p>
  </w:footnote>
  <w:footnote w:id="184">
    <w:p w14:paraId="19DD1117" w14:textId="77777777" w:rsidR="00662CCF" w:rsidRPr="00B05CAD" w:rsidRDefault="00662CCF" w:rsidP="008E4E71">
      <w:pPr>
        <w:pStyle w:val="FootnoteText"/>
        <w:rPr>
          <w:lang w:val="fr-CH"/>
        </w:rPr>
      </w:pPr>
      <w:r>
        <w:rPr>
          <w:lang w:val="fr-CH"/>
        </w:rPr>
        <w:tab/>
      </w:r>
      <w:r w:rsidRPr="00C955F1">
        <w:rPr>
          <w:rStyle w:val="FootnoteReference"/>
          <w:lang w:val="fr-CH"/>
        </w:rPr>
        <w:footnoteRef/>
      </w:r>
      <w:r>
        <w:rPr>
          <w:lang w:val="fr-CH"/>
        </w:rPr>
        <w:tab/>
      </w:r>
      <w:r w:rsidRPr="00B05CAD">
        <w:rPr>
          <w:lang w:val="fr-CH"/>
        </w:rPr>
        <w:t>JI-111, JI-112, JI-113, TI-203, TI-210, TI-211, TI-223, CI-003, CI-054, DI-035, DI-046.</w:t>
      </w:r>
    </w:p>
  </w:footnote>
  <w:footnote w:id="185">
    <w:p w14:paraId="50E55740" w14:textId="77777777" w:rsidR="00662CCF" w:rsidRPr="00B05CAD" w:rsidRDefault="00662CCF" w:rsidP="008E4E71">
      <w:pPr>
        <w:pStyle w:val="FootnoteText"/>
        <w:rPr>
          <w:lang w:val="fr-CH"/>
        </w:rPr>
      </w:pPr>
      <w:r>
        <w:rPr>
          <w:lang w:val="fr-CH"/>
        </w:rPr>
        <w:tab/>
      </w:r>
      <w:r w:rsidRPr="00C955F1">
        <w:rPr>
          <w:rStyle w:val="FootnoteReference"/>
          <w:lang w:val="fr-CH"/>
        </w:rPr>
        <w:footnoteRef/>
      </w:r>
      <w:r>
        <w:rPr>
          <w:lang w:val="fr-CH"/>
        </w:rPr>
        <w:tab/>
      </w:r>
      <w:r w:rsidRPr="00B05CAD">
        <w:rPr>
          <w:lang w:val="fr-CH"/>
        </w:rPr>
        <w:t>TI-211.</w:t>
      </w:r>
    </w:p>
  </w:footnote>
  <w:footnote w:id="186">
    <w:p w14:paraId="09511F6D" w14:textId="77777777" w:rsidR="00662CCF" w:rsidRPr="00B05CAD" w:rsidRDefault="00662CCF" w:rsidP="008E4E71">
      <w:pPr>
        <w:pStyle w:val="FootnoteText"/>
        <w:rPr>
          <w:lang w:val="fr-CH"/>
        </w:rPr>
      </w:pPr>
      <w:r>
        <w:rPr>
          <w:lang w:val="fr-CH"/>
        </w:rPr>
        <w:tab/>
      </w:r>
      <w:r w:rsidRPr="00C955F1">
        <w:rPr>
          <w:rStyle w:val="FootnoteReference"/>
          <w:lang w:val="fr-CH"/>
        </w:rPr>
        <w:footnoteRef/>
      </w:r>
      <w:r>
        <w:rPr>
          <w:lang w:val="fr-CH"/>
        </w:rPr>
        <w:tab/>
      </w:r>
      <w:r w:rsidRPr="00B05CAD">
        <w:rPr>
          <w:lang w:val="fr-CH"/>
        </w:rPr>
        <w:t>JI-093, CI-030, CI-031.</w:t>
      </w:r>
    </w:p>
  </w:footnote>
  <w:footnote w:id="187">
    <w:p w14:paraId="082F3EAA" w14:textId="77777777" w:rsidR="00662CCF" w:rsidRPr="00B05CAD" w:rsidRDefault="00662CCF" w:rsidP="008E4E71">
      <w:pPr>
        <w:pStyle w:val="FootnoteText"/>
        <w:rPr>
          <w:lang w:val="fr-CH"/>
        </w:rPr>
      </w:pPr>
      <w:r>
        <w:rPr>
          <w:lang w:val="fr-CH"/>
        </w:rPr>
        <w:tab/>
      </w:r>
      <w:r w:rsidRPr="00C955F1">
        <w:rPr>
          <w:rStyle w:val="FootnoteReference"/>
          <w:lang w:val="fr-CH"/>
        </w:rPr>
        <w:footnoteRef/>
      </w:r>
      <w:r>
        <w:rPr>
          <w:lang w:val="fr-CH"/>
        </w:rPr>
        <w:tab/>
      </w:r>
      <w:r w:rsidRPr="00B05CAD">
        <w:rPr>
          <w:lang w:val="fr-CH"/>
        </w:rPr>
        <w:t>JI-093</w:t>
      </w:r>
    </w:p>
  </w:footnote>
  <w:footnote w:id="188">
    <w:p w14:paraId="1783BDBA" w14:textId="77777777" w:rsidR="00662CCF" w:rsidRPr="00B05CAD" w:rsidRDefault="00662CCF" w:rsidP="008E4E71">
      <w:pPr>
        <w:pStyle w:val="FootnoteText"/>
        <w:rPr>
          <w:lang w:val="fr-CH"/>
        </w:rPr>
      </w:pPr>
      <w:r>
        <w:rPr>
          <w:lang w:val="fr-CH"/>
        </w:rPr>
        <w:tab/>
      </w:r>
      <w:r w:rsidRPr="00C955F1">
        <w:rPr>
          <w:rStyle w:val="FootnoteReference"/>
          <w:lang w:val="fr-CH"/>
        </w:rPr>
        <w:footnoteRef/>
      </w:r>
      <w:r>
        <w:rPr>
          <w:lang w:val="fr-CH"/>
        </w:rPr>
        <w:tab/>
      </w:r>
      <w:r w:rsidRPr="00B05CAD">
        <w:rPr>
          <w:lang w:val="fr-CH"/>
        </w:rPr>
        <w:t>CI-005, CI-030, CI-031, CI-036.</w:t>
      </w:r>
    </w:p>
  </w:footnote>
  <w:footnote w:id="189">
    <w:p w14:paraId="3412445D" w14:textId="77777777" w:rsidR="00662CCF" w:rsidRPr="00B05CAD" w:rsidRDefault="00662CCF" w:rsidP="008E4E71">
      <w:pPr>
        <w:pStyle w:val="FootnoteText"/>
        <w:rPr>
          <w:lang w:val="fr-CH"/>
        </w:rPr>
      </w:pPr>
      <w:r>
        <w:rPr>
          <w:lang w:val="fr-CH"/>
        </w:rPr>
        <w:tab/>
      </w:r>
      <w:r w:rsidRPr="00C955F1">
        <w:rPr>
          <w:rStyle w:val="FootnoteReference"/>
          <w:lang w:val="fr-CH"/>
        </w:rPr>
        <w:footnoteRef/>
      </w:r>
      <w:r>
        <w:rPr>
          <w:lang w:val="fr-CH"/>
        </w:rPr>
        <w:tab/>
      </w:r>
      <w:r w:rsidRPr="00B05CAD">
        <w:rPr>
          <w:lang w:val="fr-CH"/>
        </w:rPr>
        <w:t>CI-031.</w:t>
      </w:r>
    </w:p>
  </w:footnote>
  <w:footnote w:id="190">
    <w:p w14:paraId="3BD57BAD" w14:textId="4BD4FFA9" w:rsidR="00662CCF" w:rsidRPr="007808E0" w:rsidRDefault="00662CCF" w:rsidP="008E4E71">
      <w:pPr>
        <w:pStyle w:val="FootnoteText"/>
        <w:rPr>
          <w:rStyle w:val="FootnoteReference"/>
        </w:rPr>
      </w:pPr>
      <w:r w:rsidRPr="006E78C4">
        <w:rPr>
          <w:lang w:val="fr-FR"/>
        </w:rPr>
        <w:tab/>
      </w:r>
      <w:r w:rsidRPr="00C955F1">
        <w:rPr>
          <w:rStyle w:val="FootnoteReference"/>
        </w:rPr>
        <w:footnoteRef/>
      </w:r>
      <w:r w:rsidRPr="007808E0">
        <w:tab/>
        <w:t>Article 12 of the International Covenant on Economic, Social and Cultural Rights.</w:t>
      </w:r>
    </w:p>
  </w:footnote>
  <w:footnote w:id="191">
    <w:p w14:paraId="07F6782A" w14:textId="77777777" w:rsidR="00662CCF" w:rsidRPr="00193F55" w:rsidRDefault="00662CCF" w:rsidP="008E4E71">
      <w:pPr>
        <w:pStyle w:val="FootnoteText"/>
        <w:rPr>
          <w:rStyle w:val="FootnoteReference"/>
        </w:rPr>
      </w:pPr>
      <w:r w:rsidRPr="007808E0">
        <w:rPr>
          <w:rStyle w:val="FootnoteTextChar"/>
        </w:rPr>
        <w:tab/>
      </w:r>
      <w:r w:rsidRPr="00C955F1">
        <w:rPr>
          <w:rStyle w:val="FootnoteReference"/>
        </w:rPr>
        <w:footnoteRef/>
      </w:r>
      <w:r w:rsidRPr="00193F55">
        <w:rPr>
          <w:rStyle w:val="FootnoteTextChar"/>
        </w:rPr>
        <w:tab/>
        <w:t>JI-087, TI-199, HI-005.</w:t>
      </w:r>
    </w:p>
  </w:footnote>
  <w:footnote w:id="192">
    <w:p w14:paraId="156C8E58" w14:textId="77777777" w:rsidR="00662CCF" w:rsidRPr="00193F55" w:rsidRDefault="00662CCF" w:rsidP="008E4E71">
      <w:pPr>
        <w:pStyle w:val="FootnoteText"/>
        <w:rPr>
          <w:rStyle w:val="FootnoteReference"/>
        </w:rPr>
      </w:pPr>
      <w:r w:rsidRPr="00193F55">
        <w:rPr>
          <w:rStyle w:val="FootnoteTextChar"/>
        </w:rPr>
        <w:tab/>
      </w:r>
      <w:r w:rsidRPr="00C955F1">
        <w:rPr>
          <w:rStyle w:val="FootnoteReference"/>
        </w:rPr>
        <w:footnoteRef/>
      </w:r>
      <w:r w:rsidRPr="00193F55">
        <w:rPr>
          <w:rStyle w:val="FootnoteTextChar"/>
        </w:rPr>
        <w:t xml:space="preserve"> </w:t>
      </w:r>
      <w:r w:rsidRPr="00193F55">
        <w:rPr>
          <w:rStyle w:val="FootnoteTextChar"/>
        </w:rPr>
        <w:tab/>
        <w:t>JI-087.</w:t>
      </w:r>
    </w:p>
  </w:footnote>
  <w:footnote w:id="193">
    <w:p w14:paraId="009D8A75" w14:textId="26C63055" w:rsidR="00662CCF" w:rsidRPr="007808E0" w:rsidRDefault="00662CCF" w:rsidP="008E4E71">
      <w:pPr>
        <w:pStyle w:val="FootnoteText"/>
      </w:pPr>
      <w:r w:rsidRPr="00193F55">
        <w:tab/>
      </w:r>
      <w:r w:rsidRPr="00C955F1">
        <w:rPr>
          <w:rStyle w:val="FootnoteReference"/>
        </w:rPr>
        <w:footnoteRef/>
      </w:r>
      <w:r w:rsidRPr="007808E0">
        <w:t xml:space="preserve"> </w:t>
      </w:r>
      <w:r w:rsidRPr="007808E0">
        <w:tab/>
        <w:t>Article 12 (2) (c) of the International Covenant on Economic, Social and Cultural Rights.</w:t>
      </w:r>
    </w:p>
  </w:footnote>
  <w:footnote w:id="194">
    <w:p w14:paraId="36D55EBB" w14:textId="77777777" w:rsidR="00662CCF" w:rsidRPr="00193F55" w:rsidRDefault="00662CCF" w:rsidP="008E4E71">
      <w:pPr>
        <w:pStyle w:val="FootnoteText"/>
      </w:pPr>
      <w:r w:rsidRPr="007808E0">
        <w:tab/>
      </w:r>
      <w:r w:rsidRPr="00803871">
        <w:rPr>
          <w:rStyle w:val="FootnoteReference"/>
          <w:lang w:val="fr-CH"/>
        </w:rPr>
        <w:footnoteRef/>
      </w:r>
      <w:r w:rsidRPr="00193F55">
        <w:tab/>
        <w:t>https://apps.who.int/iris/bitstream/handle/10665/326159/OEW31-290704082019.pdf.</w:t>
      </w:r>
    </w:p>
  </w:footnote>
  <w:footnote w:id="195">
    <w:p w14:paraId="329FF691" w14:textId="2965550D" w:rsidR="00662CCF" w:rsidRPr="00FF5DC1" w:rsidRDefault="00662CCF" w:rsidP="008E4E71">
      <w:pPr>
        <w:pStyle w:val="FootnoteText"/>
      </w:pPr>
      <w:r w:rsidRPr="00193F55">
        <w:tab/>
      </w:r>
      <w:r w:rsidRPr="00803871">
        <w:rPr>
          <w:rStyle w:val="FootnoteReference"/>
          <w:lang w:val="fr-CH"/>
        </w:rPr>
        <w:footnoteRef/>
      </w:r>
      <w:r w:rsidRPr="00FF5DC1">
        <w:tab/>
      </w:r>
      <w:hyperlink r:id="rId52" w:history="1">
        <w:r w:rsidRPr="00FF5DC1">
          <w:t>http://www.rtnb.bi/fr/art.php?idapi=3/3/53</w:t>
        </w:r>
      </w:hyperlink>
      <w:r w:rsidRPr="00FF5DC1">
        <w:t xml:space="preserve"> and </w:t>
      </w:r>
      <w:hyperlink r:id="rId53" w:history="1">
        <w:r w:rsidRPr="00FF5DC1">
          <w:t>http://rtnb.bi/fr/art.php?idapi=3/3/52</w:t>
        </w:r>
      </w:hyperlink>
      <w:r w:rsidRPr="00FF5DC1">
        <w:t>.</w:t>
      </w:r>
    </w:p>
  </w:footnote>
  <w:footnote w:id="196">
    <w:p w14:paraId="3DC2D452" w14:textId="77777777" w:rsidR="00662CCF" w:rsidRPr="00FF5DC1" w:rsidRDefault="00662CCF" w:rsidP="008E4E71">
      <w:pPr>
        <w:pStyle w:val="FootnoteText"/>
      </w:pPr>
      <w:r w:rsidRPr="00FF5DC1">
        <w:tab/>
      </w:r>
      <w:r w:rsidRPr="00803871">
        <w:rPr>
          <w:rStyle w:val="FootnoteReference"/>
          <w:lang w:val="fr-CH"/>
        </w:rPr>
        <w:footnoteRef/>
      </w:r>
      <w:r w:rsidRPr="00FF5DC1">
        <w:tab/>
        <w:t>https://apps.who.int/iris/bitstream/handle/10665/326159/OEW31-290704082019.pdf.</w:t>
      </w:r>
    </w:p>
  </w:footnote>
  <w:footnote w:id="197">
    <w:p w14:paraId="765817BE" w14:textId="27B6CBB1" w:rsidR="00662CCF" w:rsidRPr="007808E0" w:rsidRDefault="00662CCF" w:rsidP="008E4E71">
      <w:pPr>
        <w:pStyle w:val="FootnoteText"/>
      </w:pPr>
      <w:r w:rsidRPr="00FF5DC1">
        <w:tab/>
      </w:r>
      <w:r w:rsidRPr="00803871">
        <w:rPr>
          <w:rStyle w:val="FootnoteReference"/>
          <w:lang w:val="fr-CH"/>
        </w:rPr>
        <w:footnoteRef/>
      </w:r>
      <w:r w:rsidRPr="007808E0">
        <w:tab/>
        <w:t>Article 6 (1) of the International Covenant on Economic, Social and Cultural Rights.</w:t>
      </w:r>
    </w:p>
  </w:footnote>
  <w:footnote w:id="198">
    <w:p w14:paraId="2C93B894" w14:textId="25DAD999" w:rsidR="00662CCF" w:rsidRPr="007808E0" w:rsidRDefault="00662CCF" w:rsidP="008E4E71">
      <w:pPr>
        <w:pStyle w:val="FootnoteText"/>
      </w:pPr>
      <w:r w:rsidRPr="007808E0">
        <w:tab/>
      </w:r>
      <w:r w:rsidRPr="00803871">
        <w:rPr>
          <w:rStyle w:val="FootnoteReference"/>
          <w:lang w:val="fr-CH"/>
        </w:rPr>
        <w:footnoteRef/>
      </w:r>
      <w:r w:rsidRPr="007808E0">
        <w:tab/>
        <w:t>Article 2 (2) of the International Covenant on Economic, Social and Cultural Rights.</w:t>
      </w:r>
    </w:p>
  </w:footnote>
  <w:footnote w:id="199">
    <w:p w14:paraId="3A1CD69D" w14:textId="77777777" w:rsidR="00662CCF" w:rsidRPr="00B05CAD" w:rsidRDefault="00662CCF" w:rsidP="008E4E71">
      <w:pPr>
        <w:pStyle w:val="FootnoteText"/>
        <w:rPr>
          <w:lang w:val="fr-CH"/>
        </w:rPr>
      </w:pPr>
      <w:r w:rsidRPr="007808E0">
        <w:tab/>
      </w:r>
      <w:r w:rsidRPr="00803871">
        <w:rPr>
          <w:rStyle w:val="FootnoteReference"/>
          <w:lang w:val="fr-CH"/>
        </w:rPr>
        <w:footnoteRef/>
      </w:r>
      <w:r>
        <w:rPr>
          <w:lang w:val="fr-CH"/>
        </w:rPr>
        <w:tab/>
      </w:r>
      <w:r w:rsidRPr="00B05CAD">
        <w:rPr>
          <w:lang w:val="fr-CH"/>
        </w:rPr>
        <w:t>JI-058, JI-090, JI-100, TI-233, DI-050, TI-182.</w:t>
      </w:r>
    </w:p>
  </w:footnote>
  <w:footnote w:id="200">
    <w:p w14:paraId="7F621E7F" w14:textId="77777777" w:rsidR="00662CCF" w:rsidRPr="00B05CAD" w:rsidRDefault="00662CCF" w:rsidP="008E4E71">
      <w:pPr>
        <w:pStyle w:val="FootnoteText"/>
        <w:rPr>
          <w:lang w:val="fr-CH"/>
        </w:rPr>
      </w:pPr>
      <w:r>
        <w:rPr>
          <w:lang w:val="fr-CH"/>
        </w:rPr>
        <w:tab/>
      </w:r>
      <w:r w:rsidRPr="00803871">
        <w:rPr>
          <w:rStyle w:val="FootnoteReference"/>
          <w:lang w:val="fr-CH"/>
        </w:rPr>
        <w:footnoteRef/>
      </w:r>
      <w:r>
        <w:rPr>
          <w:lang w:val="fr-CH"/>
        </w:rPr>
        <w:tab/>
      </w:r>
      <w:r w:rsidRPr="00B05CAD">
        <w:rPr>
          <w:lang w:val="fr-CH"/>
        </w:rPr>
        <w:t>JI-100.</w:t>
      </w:r>
    </w:p>
  </w:footnote>
  <w:footnote w:id="201">
    <w:p w14:paraId="7238E9B1" w14:textId="77777777" w:rsidR="00662CCF" w:rsidRPr="00B05CAD" w:rsidRDefault="00662CCF" w:rsidP="008E4E71">
      <w:pPr>
        <w:pStyle w:val="FootnoteText"/>
        <w:rPr>
          <w:lang w:val="fr-CH"/>
        </w:rPr>
      </w:pPr>
      <w:r>
        <w:rPr>
          <w:lang w:val="fr-CH"/>
        </w:rPr>
        <w:tab/>
      </w:r>
      <w:r w:rsidRPr="00803871">
        <w:rPr>
          <w:rStyle w:val="FootnoteReference"/>
          <w:lang w:val="fr-CH"/>
        </w:rPr>
        <w:footnoteRef/>
      </w:r>
      <w:r>
        <w:rPr>
          <w:lang w:val="fr-CH"/>
        </w:rPr>
        <w:tab/>
      </w:r>
      <w:r w:rsidRPr="00B05CAD">
        <w:rPr>
          <w:lang w:val="fr-CH"/>
        </w:rPr>
        <w:t>CI-053, JI-066, DI-007.</w:t>
      </w:r>
    </w:p>
  </w:footnote>
  <w:footnote w:id="202">
    <w:p w14:paraId="0C6A1960" w14:textId="77777777" w:rsidR="00662CCF" w:rsidRPr="00B05CAD" w:rsidRDefault="00662CCF" w:rsidP="008E4E71">
      <w:pPr>
        <w:pStyle w:val="FootnoteText"/>
        <w:rPr>
          <w:lang w:val="fr-CH"/>
        </w:rPr>
      </w:pPr>
      <w:r>
        <w:rPr>
          <w:lang w:val="fr-CH"/>
        </w:rPr>
        <w:tab/>
      </w:r>
      <w:r w:rsidRPr="00803871">
        <w:rPr>
          <w:rStyle w:val="FootnoteReference"/>
          <w:lang w:val="fr-CH"/>
        </w:rPr>
        <w:footnoteRef/>
      </w:r>
      <w:r>
        <w:rPr>
          <w:lang w:val="fr-CH"/>
        </w:rPr>
        <w:tab/>
      </w:r>
      <w:r w:rsidRPr="00B05CAD">
        <w:rPr>
          <w:lang w:val="fr-CH"/>
        </w:rPr>
        <w:t>JI-066.</w:t>
      </w:r>
    </w:p>
  </w:footnote>
  <w:footnote w:id="203">
    <w:p w14:paraId="5D5C24E8" w14:textId="07383832" w:rsidR="00662CCF" w:rsidRPr="00FF5DC1" w:rsidRDefault="00662CCF" w:rsidP="008E4E71">
      <w:pPr>
        <w:pStyle w:val="FootnoteText"/>
      </w:pPr>
      <w:r>
        <w:rPr>
          <w:lang w:val="fr-CH"/>
        </w:rPr>
        <w:tab/>
      </w:r>
      <w:r w:rsidRPr="00803871">
        <w:rPr>
          <w:rStyle w:val="FootnoteReference"/>
          <w:lang w:val="fr-CH"/>
        </w:rPr>
        <w:footnoteRef/>
      </w:r>
      <w:r w:rsidRPr="00FF5DC1">
        <w:tab/>
        <w:t xml:space="preserve">See </w:t>
      </w:r>
      <w:r>
        <w:t>para.</w:t>
      </w:r>
      <w:r w:rsidRPr="00FF5DC1">
        <w:t xml:space="preserve"> 244-247 of this report.</w:t>
      </w:r>
    </w:p>
  </w:footnote>
  <w:footnote w:id="204">
    <w:p w14:paraId="3300B87E" w14:textId="77777777" w:rsidR="00662CCF" w:rsidRPr="00193F55" w:rsidRDefault="00662CCF" w:rsidP="008E4E71">
      <w:pPr>
        <w:pStyle w:val="FootnoteText"/>
      </w:pPr>
      <w:r w:rsidRPr="00FF5DC1">
        <w:tab/>
      </w:r>
      <w:r w:rsidRPr="00803871">
        <w:rPr>
          <w:rStyle w:val="FootnoteReference"/>
          <w:lang w:val="fr-CH"/>
        </w:rPr>
        <w:footnoteRef/>
      </w:r>
      <w:r w:rsidRPr="00193F55">
        <w:tab/>
        <w:t>LM-003, CM-008, CM-007.</w:t>
      </w:r>
    </w:p>
  </w:footnote>
  <w:footnote w:id="205">
    <w:p w14:paraId="3DB275F1" w14:textId="77777777" w:rsidR="00662CCF" w:rsidRPr="00193F55" w:rsidRDefault="00662CCF" w:rsidP="008E4E71">
      <w:pPr>
        <w:pStyle w:val="FootnoteText"/>
      </w:pPr>
      <w:r w:rsidRPr="00193F55">
        <w:tab/>
      </w:r>
      <w:r w:rsidRPr="00803871">
        <w:rPr>
          <w:rStyle w:val="FootnoteReference"/>
          <w:lang w:val="fr-CH"/>
        </w:rPr>
        <w:footnoteRef/>
      </w:r>
      <w:r w:rsidRPr="00193F55">
        <w:tab/>
        <w:t>JI-066.</w:t>
      </w:r>
    </w:p>
  </w:footnote>
  <w:footnote w:id="206">
    <w:p w14:paraId="026372ED" w14:textId="07DCC5E9" w:rsidR="00662CCF" w:rsidRPr="007808E0" w:rsidRDefault="00662CCF" w:rsidP="008E4E71">
      <w:pPr>
        <w:pStyle w:val="FootnoteText"/>
      </w:pPr>
      <w:r w:rsidRPr="00193F55">
        <w:tab/>
      </w:r>
      <w:r w:rsidRPr="00803871">
        <w:rPr>
          <w:rStyle w:val="FootnoteReference"/>
          <w:lang w:val="fr-CH"/>
        </w:rPr>
        <w:footnoteRef/>
      </w:r>
      <w:r w:rsidRPr="007808E0">
        <w:tab/>
        <w:t xml:space="preserve">Referenced correspondence 6620/CAB/DGEFPFFGP/793/2019 dated 9 </w:t>
      </w:r>
      <w:r>
        <w:t>February</w:t>
      </w:r>
      <w:r w:rsidRPr="007808E0">
        <w:t xml:space="preserve"> 2019, See:  http://www.burundi.gov.bi/spip.php?article4248.</w:t>
      </w:r>
    </w:p>
  </w:footnote>
  <w:footnote w:id="207">
    <w:p w14:paraId="3C3C8F71" w14:textId="77777777" w:rsidR="00662CCF" w:rsidRPr="00B05CAD" w:rsidRDefault="00662CCF" w:rsidP="008E4E71">
      <w:pPr>
        <w:pStyle w:val="FootnoteText"/>
        <w:rPr>
          <w:lang w:val="fr-CH"/>
        </w:rPr>
      </w:pPr>
      <w:r w:rsidRPr="007808E0">
        <w:tab/>
      </w:r>
      <w:r w:rsidRPr="00803871">
        <w:rPr>
          <w:rStyle w:val="FootnoteReference"/>
          <w:lang w:val="fr-CH"/>
        </w:rPr>
        <w:footnoteRef/>
      </w:r>
      <w:r>
        <w:rPr>
          <w:lang w:val="fr-CH"/>
        </w:rPr>
        <w:tab/>
      </w:r>
      <w:r w:rsidRPr="00B05CAD">
        <w:rPr>
          <w:lang w:val="fr-CH"/>
        </w:rPr>
        <w:t>DI-006, DI-012, TI-209, CI-037.</w:t>
      </w:r>
    </w:p>
  </w:footnote>
  <w:footnote w:id="208">
    <w:p w14:paraId="7A57B55F" w14:textId="77777777" w:rsidR="00662CCF" w:rsidRPr="00B05CAD" w:rsidRDefault="00662CCF" w:rsidP="008E4E71">
      <w:pPr>
        <w:pStyle w:val="FootnoteText"/>
        <w:rPr>
          <w:lang w:val="fr-CH"/>
        </w:rPr>
      </w:pPr>
      <w:r>
        <w:rPr>
          <w:lang w:val="fr-CH"/>
        </w:rPr>
        <w:tab/>
      </w:r>
      <w:r w:rsidRPr="00803871">
        <w:rPr>
          <w:rStyle w:val="FootnoteReference"/>
          <w:lang w:val="fr-CH"/>
        </w:rPr>
        <w:footnoteRef/>
      </w:r>
      <w:r>
        <w:rPr>
          <w:lang w:val="fr-CH"/>
        </w:rPr>
        <w:tab/>
      </w:r>
      <w:r w:rsidRPr="00B05CAD">
        <w:rPr>
          <w:lang w:val="fr-CH"/>
        </w:rPr>
        <w:t>CI-037.</w:t>
      </w:r>
    </w:p>
  </w:footnote>
  <w:footnote w:id="209">
    <w:p w14:paraId="11D5EDC2" w14:textId="62C1E6D4" w:rsidR="00662CCF" w:rsidRPr="00FF5DC1" w:rsidRDefault="00662CCF" w:rsidP="008E4E71">
      <w:pPr>
        <w:pStyle w:val="FootnoteText"/>
      </w:pPr>
      <w:r>
        <w:rPr>
          <w:lang w:val="fr-CH"/>
        </w:rPr>
        <w:tab/>
      </w:r>
      <w:r w:rsidRPr="00803871">
        <w:rPr>
          <w:rStyle w:val="FootnoteReference"/>
          <w:lang w:val="fr-CH"/>
        </w:rPr>
        <w:footnoteRef/>
      </w:r>
      <w:r w:rsidRPr="00FF5DC1">
        <w:tab/>
        <w:t xml:space="preserve">See </w:t>
      </w:r>
      <w:r>
        <w:t>para.</w:t>
      </w:r>
      <w:r w:rsidRPr="00FF5DC1">
        <w:t xml:space="preserve"> 127 of this report.</w:t>
      </w:r>
    </w:p>
  </w:footnote>
  <w:footnote w:id="210">
    <w:p w14:paraId="570EE2D9" w14:textId="6912CEFD" w:rsidR="00662CCF" w:rsidRPr="006E78C4" w:rsidRDefault="00662CCF" w:rsidP="008E4E71">
      <w:pPr>
        <w:pStyle w:val="FootnoteText"/>
      </w:pPr>
      <w:r w:rsidRPr="00FF5DC1">
        <w:tab/>
      </w:r>
      <w:r w:rsidRPr="00803871">
        <w:rPr>
          <w:rStyle w:val="FootnoteReference"/>
          <w:lang w:val="fr-CH"/>
        </w:rPr>
        <w:footnoteRef/>
      </w:r>
      <w:r w:rsidRPr="006E78C4">
        <w:tab/>
        <w:t xml:space="preserve">CEDAW/C/BDI/CO/5-6, </w:t>
      </w:r>
      <w:r>
        <w:t>para.</w:t>
      </w:r>
      <w:r w:rsidRPr="006E78C4">
        <w:t xml:space="preserve"> 34.</w:t>
      </w:r>
    </w:p>
  </w:footnote>
  <w:footnote w:id="211">
    <w:p w14:paraId="71218196" w14:textId="77777777" w:rsidR="00662CCF" w:rsidRPr="00FF5DC1" w:rsidRDefault="00662CCF" w:rsidP="008E4E71">
      <w:pPr>
        <w:pStyle w:val="FootnoteText"/>
      </w:pPr>
      <w:r w:rsidRPr="006E78C4">
        <w:tab/>
      </w:r>
      <w:r w:rsidRPr="00803871">
        <w:rPr>
          <w:rStyle w:val="FootnoteReference"/>
          <w:lang w:val="fr-CH"/>
        </w:rPr>
        <w:footnoteRef/>
      </w:r>
      <w:r w:rsidRPr="00FF5DC1">
        <w:tab/>
        <w:t xml:space="preserve">JI-087, JI-091, JI-093, TI-208. </w:t>
      </w:r>
    </w:p>
  </w:footnote>
  <w:footnote w:id="212">
    <w:p w14:paraId="2D7540C5" w14:textId="597A5F9D" w:rsidR="00662CCF" w:rsidRPr="00FF5DC1" w:rsidRDefault="00662CCF" w:rsidP="008E4E71">
      <w:pPr>
        <w:pStyle w:val="FootnoteText"/>
      </w:pPr>
      <w:r w:rsidRPr="00FF5DC1">
        <w:tab/>
      </w:r>
      <w:r w:rsidRPr="00803871">
        <w:rPr>
          <w:rStyle w:val="FootnoteReference"/>
          <w:lang w:val="fr-CH"/>
        </w:rPr>
        <w:footnoteRef/>
      </w:r>
      <w:r w:rsidRPr="00FF5DC1">
        <w:tab/>
        <w:t xml:space="preserve">UNDP, </w:t>
      </w:r>
      <w:r>
        <w:t>Human Development Index</w:t>
      </w:r>
      <w:r w:rsidRPr="00FF5DC1">
        <w:t>, 2018.</w:t>
      </w:r>
    </w:p>
  </w:footnote>
  <w:footnote w:id="213">
    <w:p w14:paraId="064280FD" w14:textId="77777777" w:rsidR="00662CCF" w:rsidRPr="006E78C4" w:rsidRDefault="00662CCF" w:rsidP="008E4E71">
      <w:pPr>
        <w:pStyle w:val="FootnoteText"/>
      </w:pPr>
      <w:r w:rsidRPr="00FF5DC1">
        <w:tab/>
      </w:r>
      <w:r w:rsidRPr="00803871">
        <w:rPr>
          <w:rStyle w:val="FootnoteReference"/>
          <w:lang w:val="fr-CH"/>
        </w:rPr>
        <w:footnoteRef/>
      </w:r>
      <w:r w:rsidRPr="006E78C4">
        <w:tab/>
        <w:t>JI-087.</w:t>
      </w:r>
    </w:p>
  </w:footnote>
  <w:footnote w:id="214">
    <w:p w14:paraId="405B1EF6" w14:textId="77777777" w:rsidR="00662CCF" w:rsidRPr="006E78C4" w:rsidRDefault="00662CCF" w:rsidP="008E4E71">
      <w:pPr>
        <w:pStyle w:val="FootnoteText"/>
      </w:pPr>
      <w:r w:rsidRPr="006E78C4">
        <w:tab/>
      </w:r>
      <w:r w:rsidRPr="00803871">
        <w:rPr>
          <w:rStyle w:val="FootnoteReference"/>
          <w:lang w:val="fr-CH"/>
        </w:rPr>
        <w:footnoteRef/>
      </w:r>
      <w:r w:rsidRPr="006E78C4">
        <w:tab/>
        <w:t>TI-168.</w:t>
      </w:r>
    </w:p>
  </w:footnote>
  <w:footnote w:id="215">
    <w:p w14:paraId="02BF8DED" w14:textId="77777777" w:rsidR="00662CCF" w:rsidRPr="006E78C4" w:rsidRDefault="00662CCF" w:rsidP="008E4E71">
      <w:pPr>
        <w:pStyle w:val="FootnoteText"/>
      </w:pPr>
      <w:r w:rsidRPr="006E78C4">
        <w:tab/>
      </w:r>
      <w:r w:rsidRPr="00803871">
        <w:rPr>
          <w:rStyle w:val="FootnoteReference"/>
          <w:lang w:val="fr-CH"/>
        </w:rPr>
        <w:footnoteRef/>
      </w:r>
      <w:r w:rsidRPr="006E78C4">
        <w:tab/>
        <w:t>TI-233, JI-066.</w:t>
      </w:r>
    </w:p>
  </w:footnote>
  <w:footnote w:id="216">
    <w:p w14:paraId="09B46650" w14:textId="77777777" w:rsidR="00662CCF" w:rsidRPr="006E78C4" w:rsidRDefault="00662CCF" w:rsidP="008E4E71">
      <w:pPr>
        <w:pStyle w:val="FootnoteText"/>
      </w:pPr>
      <w:r w:rsidRPr="006E78C4">
        <w:tab/>
      </w:r>
      <w:r w:rsidRPr="00803871">
        <w:rPr>
          <w:rStyle w:val="FootnoteReference"/>
          <w:lang w:val="fr-CH"/>
        </w:rPr>
        <w:footnoteRef/>
      </w:r>
      <w:r w:rsidRPr="006E78C4">
        <w:tab/>
        <w:t>JI-066.</w:t>
      </w:r>
    </w:p>
  </w:footnote>
  <w:footnote w:id="217">
    <w:p w14:paraId="68C5BACB" w14:textId="1EB00F83" w:rsidR="00662CCF" w:rsidRPr="00EA7298" w:rsidRDefault="00662CCF" w:rsidP="008E4E71">
      <w:pPr>
        <w:pStyle w:val="FootnoteText"/>
      </w:pPr>
      <w:r w:rsidRPr="006E78C4">
        <w:tab/>
      </w:r>
      <w:r w:rsidRPr="00803871">
        <w:rPr>
          <w:rStyle w:val="FootnoteReference"/>
          <w:lang w:val="fr-CH"/>
        </w:rPr>
        <w:footnoteRef/>
      </w:r>
      <w:r w:rsidRPr="00EA7298">
        <w:tab/>
        <w:t>A/HRC/39/CRP.1, para. 129-139.</w:t>
      </w:r>
    </w:p>
  </w:footnote>
  <w:footnote w:id="218">
    <w:p w14:paraId="049BE345" w14:textId="6D621C50" w:rsidR="00662CCF" w:rsidRPr="00EA7298" w:rsidRDefault="00662CCF" w:rsidP="008E4E71">
      <w:pPr>
        <w:pStyle w:val="FootnoteText"/>
      </w:pPr>
      <w:r w:rsidRPr="00EA7298">
        <w:tab/>
      </w:r>
      <w:r w:rsidRPr="003C11C3">
        <w:rPr>
          <w:rStyle w:val="FootnoteReference"/>
          <w:lang w:val="fr-CH"/>
        </w:rPr>
        <w:footnoteRef/>
      </w:r>
      <w:r w:rsidRPr="00EA7298">
        <w:tab/>
        <w:t>Ibid. para. 136.</w:t>
      </w:r>
    </w:p>
  </w:footnote>
  <w:footnote w:id="219">
    <w:p w14:paraId="6B6A76FA" w14:textId="1272719C" w:rsidR="00662CCF" w:rsidRPr="00EA7298" w:rsidRDefault="00662CCF" w:rsidP="008E4E71">
      <w:pPr>
        <w:pStyle w:val="FootnoteText"/>
      </w:pPr>
      <w:r w:rsidRPr="00EA7298">
        <w:tab/>
      </w:r>
      <w:r w:rsidRPr="003C11C3">
        <w:rPr>
          <w:rStyle w:val="FootnoteReference"/>
          <w:lang w:val="fr-CH"/>
        </w:rPr>
        <w:footnoteRef/>
      </w:r>
      <w:r w:rsidRPr="00EA7298">
        <w:tab/>
        <w:t>Ibid. para. 138.</w:t>
      </w:r>
    </w:p>
  </w:footnote>
  <w:footnote w:id="220">
    <w:p w14:paraId="6E633566" w14:textId="09FD30F1" w:rsidR="00662CCF" w:rsidRPr="00193F55" w:rsidRDefault="00662CCF" w:rsidP="008E4E71">
      <w:pPr>
        <w:pStyle w:val="FootnoteText"/>
      </w:pPr>
      <w:r w:rsidRPr="00EA7298">
        <w:tab/>
      </w:r>
      <w:r w:rsidRPr="003C11C3">
        <w:rPr>
          <w:rStyle w:val="FootnoteReference"/>
          <w:lang w:val="fr-CH"/>
        </w:rPr>
        <w:footnoteRef/>
      </w:r>
      <w:r w:rsidRPr="00EA7298">
        <w:tab/>
        <w:t xml:space="preserve">A/HRC/29/40 para. </w:t>
      </w:r>
      <w:r w:rsidRPr="00193F55">
        <w:t>22.</w:t>
      </w:r>
    </w:p>
  </w:footnote>
  <w:footnote w:id="221">
    <w:p w14:paraId="6F048F80" w14:textId="4F079B58" w:rsidR="00662CCF" w:rsidRPr="00193F55" w:rsidRDefault="00662CCF" w:rsidP="008E4E71">
      <w:pPr>
        <w:pStyle w:val="FootnoteText"/>
      </w:pPr>
      <w:r w:rsidRPr="00193F55">
        <w:tab/>
      </w:r>
      <w:r w:rsidRPr="003C11C3">
        <w:rPr>
          <w:rStyle w:val="FootnoteReference"/>
          <w:lang w:val="fr-CH"/>
        </w:rPr>
        <w:footnoteRef/>
      </w:r>
      <w:r w:rsidRPr="00193F55">
        <w:tab/>
        <w:t>A/HRC/41/33 para. 19.</w:t>
      </w:r>
    </w:p>
  </w:footnote>
  <w:footnote w:id="222">
    <w:p w14:paraId="1D020EAC" w14:textId="6AC7D6F9" w:rsidR="00662CCF" w:rsidRPr="007808E0" w:rsidRDefault="00662CCF" w:rsidP="008E4E71">
      <w:pPr>
        <w:pStyle w:val="FootnoteText"/>
      </w:pPr>
      <w:r w:rsidRPr="00193F55">
        <w:tab/>
      </w:r>
      <w:r w:rsidRPr="003C11C3">
        <w:rPr>
          <w:rStyle w:val="FootnoteReference"/>
          <w:lang w:val="fr-CH"/>
        </w:rPr>
        <w:footnoteRef/>
      </w:r>
      <w:r w:rsidRPr="007808E0">
        <w:tab/>
        <w:t xml:space="preserve">Ministry of </w:t>
      </w:r>
      <w:r>
        <w:t xml:space="preserve">National Solidarity, Human and Gender Rights, </w:t>
      </w:r>
      <w:r w:rsidRPr="00A96A6A">
        <w:rPr>
          <w:i/>
        </w:rPr>
        <w:t>Gender National Policy of Burundi 2012-2025</w:t>
      </w:r>
      <w:r w:rsidRPr="007808E0">
        <w:t xml:space="preserve">, </w:t>
      </w:r>
      <w:r>
        <w:t xml:space="preserve">July </w:t>
      </w:r>
      <w:r w:rsidRPr="007808E0">
        <w:t xml:space="preserve">2012; </w:t>
      </w:r>
      <w:r>
        <w:t>available at</w:t>
      </w:r>
      <w:r w:rsidRPr="007808E0">
        <w:t xml:space="preserve">: </w:t>
      </w:r>
      <w:hyperlink r:id="rId54" w:history="1">
        <w:r w:rsidRPr="007808E0">
          <w:t>http://www.presidence.gov.bi/wp-content/uploads/2017/04/politique_nationale_genre_png__2012-2025.pdf</w:t>
        </w:r>
      </w:hyperlink>
      <w:r w:rsidRPr="007808E0">
        <w:t>.</w:t>
      </w:r>
    </w:p>
  </w:footnote>
  <w:footnote w:id="223">
    <w:p w14:paraId="72F9A8FC" w14:textId="30B06154" w:rsidR="00662CCF" w:rsidRPr="00FF5DC1" w:rsidRDefault="00662CCF" w:rsidP="008E4E71">
      <w:pPr>
        <w:pStyle w:val="FootnoteText"/>
      </w:pPr>
      <w:r w:rsidRPr="007808E0">
        <w:tab/>
      </w:r>
      <w:r w:rsidRPr="003C11C3">
        <w:rPr>
          <w:rStyle w:val="FootnoteReference"/>
          <w:lang w:val="fr-CH"/>
        </w:rPr>
        <w:footnoteRef/>
      </w:r>
      <w:r w:rsidRPr="00FF5DC1">
        <w:tab/>
        <w:t>Ibid. p. 10.</w:t>
      </w:r>
    </w:p>
  </w:footnote>
  <w:footnote w:id="224">
    <w:p w14:paraId="6ED4B6D7" w14:textId="77777777" w:rsidR="00662CCF" w:rsidRPr="00FF5DC1" w:rsidRDefault="00662CCF" w:rsidP="008E4E71">
      <w:pPr>
        <w:pStyle w:val="FootnoteText"/>
      </w:pPr>
      <w:r w:rsidRPr="00FF5DC1">
        <w:tab/>
      </w:r>
      <w:r w:rsidRPr="003C11C3">
        <w:rPr>
          <w:rStyle w:val="FootnoteReference"/>
          <w:lang w:val="fr-CH"/>
        </w:rPr>
        <w:footnoteRef/>
      </w:r>
      <w:r w:rsidRPr="00FF5DC1">
        <w:tab/>
      </w:r>
      <w:proofErr w:type="gramStart"/>
      <w:r w:rsidRPr="00FF5DC1">
        <w:t>Ibid.,</w:t>
      </w:r>
      <w:proofErr w:type="gramEnd"/>
      <w:r w:rsidRPr="00FF5DC1">
        <w:t xml:space="preserve"> p. 10.</w:t>
      </w:r>
    </w:p>
  </w:footnote>
  <w:footnote w:id="225">
    <w:p w14:paraId="71775A80" w14:textId="20EBA889" w:rsidR="00662CCF" w:rsidRPr="00193F55" w:rsidRDefault="00662CCF" w:rsidP="008E4E71">
      <w:pPr>
        <w:pStyle w:val="FootnoteText"/>
      </w:pPr>
      <w:r w:rsidRPr="00FF5DC1">
        <w:tab/>
      </w:r>
      <w:r w:rsidRPr="003C11C3">
        <w:rPr>
          <w:rStyle w:val="FootnoteReference"/>
          <w:lang w:val="fr-CH"/>
        </w:rPr>
        <w:footnoteRef/>
      </w:r>
      <w:r w:rsidRPr="00FF5DC1">
        <w:tab/>
        <w:t xml:space="preserve">See </w:t>
      </w:r>
      <w:r>
        <w:t>para.</w:t>
      </w:r>
      <w:r w:rsidRPr="00FF5DC1">
        <w:t xml:space="preserve"> </w:t>
      </w:r>
      <w:r w:rsidRPr="00193F55">
        <w:t>475-477 of this report.</w:t>
      </w:r>
    </w:p>
  </w:footnote>
  <w:footnote w:id="226">
    <w:p w14:paraId="0AD7DF35" w14:textId="43BF12FD" w:rsidR="00662CCF" w:rsidRPr="007808E0" w:rsidRDefault="00662CCF" w:rsidP="008E4E71">
      <w:pPr>
        <w:pStyle w:val="FootnoteText"/>
      </w:pPr>
      <w:r w:rsidRPr="00193F55">
        <w:tab/>
      </w:r>
      <w:r w:rsidRPr="003C11C3">
        <w:rPr>
          <w:rStyle w:val="FootnoteReference"/>
          <w:lang w:val="fr-CH"/>
        </w:rPr>
        <w:footnoteRef/>
      </w:r>
      <w:r w:rsidRPr="007808E0">
        <w:tab/>
      </w:r>
      <w:r w:rsidRPr="005379F4">
        <w:t xml:space="preserve">Burundi National Assembly, 8 March 2019 (in: </w:t>
      </w:r>
      <w:hyperlink r:id="rId55" w:history="1">
        <w:r w:rsidRPr="005379F4">
          <w:t>https://www.assemblee.bi/spip.php?page=imprimer&amp;id_article=1966</w:t>
        </w:r>
      </w:hyperlink>
      <w:r w:rsidRPr="005379F4">
        <w:t>).</w:t>
      </w:r>
    </w:p>
  </w:footnote>
  <w:footnote w:id="227">
    <w:p w14:paraId="169AADBA" w14:textId="114AE9F0" w:rsidR="00662CCF" w:rsidRPr="00FF5DC1" w:rsidRDefault="00662CCF" w:rsidP="008E4E71">
      <w:pPr>
        <w:pStyle w:val="FootnoteText"/>
      </w:pPr>
      <w:r w:rsidRPr="007808E0">
        <w:tab/>
      </w:r>
      <w:r w:rsidRPr="003C11C3">
        <w:rPr>
          <w:rStyle w:val="FootnoteReference"/>
          <w:lang w:val="fr-CH"/>
        </w:rPr>
        <w:footnoteRef/>
      </w:r>
      <w:r w:rsidRPr="00FF5DC1">
        <w:tab/>
        <w:t xml:space="preserve">See: </w:t>
      </w:r>
      <w:hyperlink r:id="rId56" w:history="1">
        <w:r w:rsidRPr="00FF5DC1">
          <w:t>http://www.rtnb.bi/fr/art.php?idapi=3/1/18</w:t>
        </w:r>
      </w:hyperlink>
      <w:r w:rsidRPr="00FF5DC1">
        <w:t xml:space="preserve">. </w:t>
      </w:r>
    </w:p>
  </w:footnote>
  <w:footnote w:id="228">
    <w:p w14:paraId="47077842" w14:textId="78075CA9" w:rsidR="00662CCF" w:rsidRPr="00814E06" w:rsidRDefault="00662CCF" w:rsidP="008E4E71">
      <w:pPr>
        <w:pStyle w:val="FootnoteText"/>
      </w:pPr>
      <w:r w:rsidRPr="00FF5DC1">
        <w:tab/>
      </w:r>
      <w:r w:rsidRPr="003C11C3">
        <w:rPr>
          <w:rStyle w:val="FootnoteReference"/>
          <w:lang w:val="fr-CH"/>
        </w:rPr>
        <w:footnoteRef/>
      </w:r>
      <w:r w:rsidRPr="00814E06">
        <w:tab/>
        <w:t xml:space="preserve">Presidency of Burundi, 26 </w:t>
      </w:r>
      <w:r>
        <w:t>October</w:t>
      </w:r>
      <w:r w:rsidRPr="00814E06">
        <w:t xml:space="preserve"> 2018 (in : </w:t>
      </w:r>
      <w:hyperlink r:id="rId57" w:history="1">
        <w:r w:rsidRPr="00814E06">
          <w:t>https://presidence.gov.bi/2018/10/26/la-premiere-dame-ouvre-la-conference-internationale-des-femmes-leaders/</w:t>
        </w:r>
      </w:hyperlink>
      <w:r w:rsidRPr="00814E06">
        <w:t>)</w:t>
      </w:r>
    </w:p>
  </w:footnote>
  <w:footnote w:id="229">
    <w:p w14:paraId="67D9C37D" w14:textId="71C05282" w:rsidR="00662CCF" w:rsidRPr="00B05CAD" w:rsidRDefault="00662CCF" w:rsidP="0039134B">
      <w:pPr>
        <w:pStyle w:val="FootnoteText"/>
        <w:rPr>
          <w:lang w:val="fr-CH"/>
        </w:rPr>
      </w:pPr>
      <w:r w:rsidRPr="001232F7">
        <w:tab/>
      </w:r>
      <w:r w:rsidRPr="003C11C3">
        <w:rPr>
          <w:rStyle w:val="FootnoteReference"/>
          <w:lang w:val="fr-CH"/>
        </w:rPr>
        <w:footnoteRef/>
      </w:r>
      <w:r>
        <w:rPr>
          <w:lang w:val="fr-CH"/>
        </w:rPr>
        <w:tab/>
      </w:r>
      <w:r w:rsidRPr="00A858C5">
        <w:rPr>
          <w:lang w:val="fr-CH"/>
        </w:rPr>
        <w:t xml:space="preserve">UNFPA, </w:t>
      </w:r>
      <w:r w:rsidRPr="00A858C5">
        <w:rPr>
          <w:i/>
          <w:iCs/>
          <w:lang w:val="fr-CH"/>
        </w:rPr>
        <w:t xml:space="preserve">Étude sur les grossesses en milieu scolaire, </w:t>
      </w:r>
      <w:r w:rsidRPr="00A858C5">
        <w:rPr>
          <w:lang w:val="fr-CH"/>
        </w:rPr>
        <w:t>Novemb</w:t>
      </w:r>
      <w:r>
        <w:rPr>
          <w:lang w:val="fr-CH"/>
        </w:rPr>
        <w:t>er</w:t>
      </w:r>
      <w:r w:rsidRPr="00A858C5">
        <w:rPr>
          <w:lang w:val="fr-CH"/>
        </w:rPr>
        <w:t xml:space="preserve"> 2013</w:t>
      </w:r>
      <w:r w:rsidRPr="00B05CAD">
        <w:rPr>
          <w:lang w:val="fr-CH"/>
        </w:rPr>
        <w:t xml:space="preserve"> (</w:t>
      </w:r>
      <w:r>
        <w:rPr>
          <w:lang w:val="fr-CH"/>
        </w:rPr>
        <w:t>available at</w:t>
      </w:r>
      <w:r w:rsidRPr="00B05CAD">
        <w:rPr>
          <w:lang w:val="fr-CH"/>
        </w:rPr>
        <w:t xml:space="preserve"> : </w:t>
      </w:r>
      <w:hyperlink r:id="rId58" w:history="1">
        <w:r w:rsidRPr="00B05CAD">
          <w:rPr>
            <w:lang w:val="fr-CH"/>
          </w:rPr>
          <w:t>https://burundi.unfpa.org/sites/default/files/resource-pdf/RAPPORTFINALETUDEGROSSESSESENMILIEUSCOLAIREAUBURUNDI_0.pdf</w:t>
        </w:r>
      </w:hyperlink>
      <w:r w:rsidRPr="00B05CAD">
        <w:rPr>
          <w:lang w:val="fr-CH"/>
        </w:rPr>
        <w:t>)</w:t>
      </w:r>
      <w:r>
        <w:rPr>
          <w:lang w:val="fr-CH"/>
        </w:rPr>
        <w:t>.</w:t>
      </w:r>
    </w:p>
  </w:footnote>
  <w:footnote w:id="230">
    <w:p w14:paraId="282D6E93" w14:textId="39140945" w:rsidR="00662CCF" w:rsidRPr="00A81ADB" w:rsidRDefault="00662CCF" w:rsidP="0039134B">
      <w:pPr>
        <w:pStyle w:val="FootnoteText"/>
      </w:pPr>
      <w:r>
        <w:rPr>
          <w:lang w:val="fr-CH"/>
        </w:rPr>
        <w:tab/>
      </w:r>
      <w:r w:rsidRPr="003C11C3">
        <w:rPr>
          <w:rStyle w:val="FootnoteReference"/>
          <w:lang w:val="fr-CH"/>
        </w:rPr>
        <w:footnoteRef/>
      </w:r>
      <w:r w:rsidRPr="00A81ADB">
        <w:tab/>
        <w:t xml:space="preserve">See: </w:t>
      </w:r>
      <w:hyperlink r:id="rId59" w:history="1">
        <w:r w:rsidRPr="00A81ADB">
          <w:t>https://www.iwacu-burundi.org/musigati-grossesses-en-milieu-scolaire-des-chiffres-inquietants/</w:t>
        </w:r>
      </w:hyperlink>
    </w:p>
  </w:footnote>
  <w:footnote w:id="231">
    <w:p w14:paraId="71F7C0E9" w14:textId="10B5C0BD" w:rsidR="00662CCF" w:rsidRPr="00A81ADB" w:rsidRDefault="00662CCF" w:rsidP="0039134B">
      <w:pPr>
        <w:pStyle w:val="FootnoteText"/>
      </w:pPr>
      <w:r w:rsidRPr="00A81ADB">
        <w:tab/>
      </w:r>
      <w:r w:rsidRPr="003C11C3">
        <w:rPr>
          <w:rStyle w:val="FootnoteReference"/>
          <w:lang w:val="fr-CH"/>
        </w:rPr>
        <w:footnoteRef/>
      </w:r>
      <w:r w:rsidRPr="00A81ADB">
        <w:tab/>
        <w:t>See art</w:t>
      </w:r>
      <w:r>
        <w:t>icles 16, 17, 18 and 48 of the L</w:t>
      </w:r>
      <w:r w:rsidRPr="00A81ADB">
        <w:t xml:space="preserve">aw n°1/13 </w:t>
      </w:r>
      <w:r>
        <w:t>of</w:t>
      </w:r>
      <w:r w:rsidRPr="00A81ADB">
        <w:t xml:space="preserve"> 22 </w:t>
      </w:r>
      <w:r>
        <w:t>S</w:t>
      </w:r>
      <w:r w:rsidRPr="00A81ADB">
        <w:t>eptemb</w:t>
      </w:r>
      <w:r>
        <w:t>er</w:t>
      </w:r>
      <w:r w:rsidRPr="00A81ADB">
        <w:t xml:space="preserve"> 2016.</w:t>
      </w:r>
    </w:p>
  </w:footnote>
  <w:footnote w:id="232">
    <w:p w14:paraId="48B09DBC" w14:textId="106C780D" w:rsidR="00662CCF" w:rsidRPr="00464E70" w:rsidRDefault="00662CCF" w:rsidP="0039134B">
      <w:pPr>
        <w:pStyle w:val="FootnoteText"/>
      </w:pPr>
      <w:r w:rsidRPr="00A81ADB">
        <w:tab/>
      </w:r>
      <w:r w:rsidRPr="003C11C3">
        <w:rPr>
          <w:rStyle w:val="FootnoteReference"/>
          <w:lang w:val="fr-CH"/>
        </w:rPr>
        <w:footnoteRef/>
      </w:r>
      <w:r w:rsidRPr="00464E70">
        <w:tab/>
        <w:t xml:space="preserve">See the speech of the Minister of </w:t>
      </w:r>
      <w:r>
        <w:t>H</w:t>
      </w:r>
      <w:r w:rsidRPr="00464E70">
        <w:t xml:space="preserve">uman </w:t>
      </w:r>
      <w:r>
        <w:t>R</w:t>
      </w:r>
      <w:r w:rsidRPr="00464E70">
        <w:t xml:space="preserve">ights, </w:t>
      </w:r>
      <w:r>
        <w:t>S</w:t>
      </w:r>
      <w:r w:rsidRPr="00464E70">
        <w:t xml:space="preserve">ocial </w:t>
      </w:r>
      <w:r>
        <w:t>A</w:t>
      </w:r>
      <w:r w:rsidRPr="00464E70">
        <w:t xml:space="preserve">ffairs and </w:t>
      </w:r>
      <w:r>
        <w:t>G</w:t>
      </w:r>
      <w:r w:rsidRPr="00464E70">
        <w:t xml:space="preserve">ender on </w:t>
      </w:r>
      <w:r>
        <w:t xml:space="preserve">the </w:t>
      </w:r>
      <w:r w:rsidRPr="00464E70">
        <w:t xml:space="preserve">International Day of the Girl Child, on 11 </w:t>
      </w:r>
      <w:r>
        <w:t>O</w:t>
      </w:r>
      <w:r w:rsidRPr="00464E70">
        <w:t>ctob</w:t>
      </w:r>
      <w:r>
        <w:t>er</w:t>
      </w:r>
      <w:r w:rsidRPr="00464E70">
        <w:t xml:space="preserve"> 2018 (</w:t>
      </w:r>
      <w:proofErr w:type="gramStart"/>
      <w:r w:rsidRPr="00464E70">
        <w:t>in :</w:t>
      </w:r>
      <w:proofErr w:type="gramEnd"/>
      <w:r w:rsidRPr="00464E70">
        <w:t xml:space="preserve"> </w:t>
      </w:r>
      <w:hyperlink r:id="rId60" w:history="1">
        <w:r w:rsidRPr="00464E70">
          <w:t>http://www.droitshumains.gov.bi/grossesse-zero-en-milieu-scolaire-souhait-du-ministre-burundais-en-charge-des-droits-humains/</w:t>
        </w:r>
      </w:hyperlink>
      <w:r w:rsidRPr="00464E70">
        <w:t>).</w:t>
      </w:r>
    </w:p>
  </w:footnote>
  <w:footnote w:id="233">
    <w:p w14:paraId="3AA00F23" w14:textId="6AC4A43B" w:rsidR="00662CCF" w:rsidRPr="009E44AB" w:rsidRDefault="00662CCF" w:rsidP="0039134B">
      <w:pPr>
        <w:pStyle w:val="FootnoteText"/>
      </w:pPr>
      <w:r w:rsidRPr="00464E70">
        <w:tab/>
      </w:r>
      <w:r w:rsidRPr="003C11C3">
        <w:rPr>
          <w:rStyle w:val="FootnoteReference"/>
          <w:lang w:val="fr-CH"/>
        </w:rPr>
        <w:footnoteRef/>
      </w:r>
      <w:r w:rsidRPr="009E44AB">
        <w:tab/>
        <w:t>Ministry of Education, Tech</w:t>
      </w:r>
      <w:r>
        <w:t>nical and Vocational Training, C</w:t>
      </w:r>
      <w:r w:rsidRPr="009E44AB">
        <w:t>ommunication</w:t>
      </w:r>
      <w:r>
        <w:t xml:space="preserve"> </w:t>
      </w:r>
      <w:r w:rsidRPr="009E44AB">
        <w:t xml:space="preserve">n°620/CAB/DGEFPF/5176/2018 </w:t>
      </w:r>
      <w:r>
        <w:t>of 26 June</w:t>
      </w:r>
      <w:r w:rsidRPr="009E44AB">
        <w:t xml:space="preserve"> 2018.</w:t>
      </w:r>
    </w:p>
  </w:footnote>
  <w:footnote w:id="234">
    <w:p w14:paraId="29718363" w14:textId="32C853A4" w:rsidR="00662CCF" w:rsidRPr="00656B07" w:rsidRDefault="00662CCF" w:rsidP="0039134B">
      <w:pPr>
        <w:pStyle w:val="FootnoteText"/>
      </w:pPr>
      <w:r w:rsidRPr="009E44AB">
        <w:tab/>
      </w:r>
      <w:r w:rsidRPr="003C11C3">
        <w:rPr>
          <w:rStyle w:val="FootnoteReference"/>
          <w:lang w:val="fr-CH"/>
        </w:rPr>
        <w:footnoteRef/>
      </w:r>
      <w:r w:rsidR="00717C44">
        <w:tab/>
        <w:t>“</w:t>
      </w:r>
      <w:r>
        <w:t>A c</w:t>
      </w:r>
      <w:r w:rsidRPr="008B060E">
        <w:t>ommission in charge of the reintegration and the transfer of students from</w:t>
      </w:r>
      <w:r>
        <w:t xml:space="preserve"> </w:t>
      </w:r>
      <w:r w:rsidRPr="008B060E">
        <w:rPr>
          <w:i/>
          <w:iCs/>
        </w:rPr>
        <w:t>fondamental</w:t>
      </w:r>
      <w:r w:rsidRPr="008B060E">
        <w:t xml:space="preserve"> </w:t>
      </w:r>
      <w:r>
        <w:t>and</w:t>
      </w:r>
      <w:r w:rsidRPr="008B060E">
        <w:t xml:space="preserve"> </w:t>
      </w:r>
      <w:r w:rsidRPr="000312E0">
        <w:rPr>
          <w:i/>
          <w:iCs/>
        </w:rPr>
        <w:t>post fondamental</w:t>
      </w:r>
      <w:r w:rsidRPr="008B060E">
        <w:t xml:space="preserve"> </w:t>
      </w:r>
      <w:r>
        <w:t>levels is established</w:t>
      </w:r>
      <w:r w:rsidRPr="008B060E">
        <w:t xml:space="preserve">. </w:t>
      </w:r>
      <w:r w:rsidRPr="007E4BF0">
        <w:t>Contrary to correspondence n°620/CAB/DGEFPF/5176/2018 dated 26/6/2018 on fraudulent school documents in p</w:t>
      </w:r>
      <w:r>
        <w:t>ublic and private schools, the c</w:t>
      </w:r>
      <w:r w:rsidRPr="007E4BF0">
        <w:t>ommission will receive as usual girls victims of pregnancy dur</w:t>
      </w:r>
      <w:r>
        <w:t>ing</w:t>
      </w:r>
      <w:r w:rsidRPr="007E4BF0">
        <w:t xml:space="preserve"> </w:t>
      </w:r>
      <w:r w:rsidRPr="00012D84">
        <w:rPr>
          <w:i/>
          <w:iCs/>
        </w:rPr>
        <w:t>fondamental</w:t>
      </w:r>
      <w:r w:rsidRPr="007E4BF0">
        <w:t xml:space="preserve"> </w:t>
      </w:r>
      <w:r>
        <w:t>or</w:t>
      </w:r>
      <w:r w:rsidRPr="007E4BF0">
        <w:t xml:space="preserve"> </w:t>
      </w:r>
      <w:r w:rsidRPr="00012D84">
        <w:rPr>
          <w:i/>
          <w:iCs/>
        </w:rPr>
        <w:t xml:space="preserve">post </w:t>
      </w:r>
      <w:r>
        <w:rPr>
          <w:i/>
          <w:iCs/>
        </w:rPr>
        <w:t>fundamental</w:t>
      </w:r>
      <w:r>
        <w:t xml:space="preserve"> levels as well as male students responsible for pregnancies. </w:t>
      </w:r>
      <w:r w:rsidRPr="001232F7">
        <w:t>The commission will accept such requests until 10/08/2018</w:t>
      </w:r>
      <w:r w:rsidR="00717C44">
        <w:t>”,</w:t>
      </w:r>
      <w:r w:rsidRPr="001232F7">
        <w:t xml:space="preserve"> </w:t>
      </w:r>
      <w:r w:rsidRPr="00656B07">
        <w:t xml:space="preserve">Communiqué of the Minister </w:t>
      </w:r>
      <w:r w:rsidRPr="009E44AB">
        <w:t>of Education, Technical and Vocational Training</w:t>
      </w:r>
      <w:r w:rsidRPr="00656B07">
        <w:t xml:space="preserve">, 27 </w:t>
      </w:r>
      <w:r>
        <w:t>July</w:t>
      </w:r>
      <w:r w:rsidRPr="00656B07">
        <w:t xml:space="preserve"> 2018. </w:t>
      </w:r>
    </w:p>
  </w:footnote>
  <w:footnote w:id="235">
    <w:p w14:paraId="02CA465C" w14:textId="07A6E094" w:rsidR="00662CCF" w:rsidRPr="00EF1691" w:rsidRDefault="00662CCF" w:rsidP="0039134B">
      <w:pPr>
        <w:pStyle w:val="FootnoteText"/>
      </w:pPr>
      <w:r w:rsidRPr="00656B07">
        <w:tab/>
      </w:r>
      <w:r w:rsidRPr="003C11C3">
        <w:rPr>
          <w:rStyle w:val="FootnoteReference"/>
          <w:lang w:val="fr-CH"/>
        </w:rPr>
        <w:footnoteRef/>
      </w:r>
      <w:r w:rsidRPr="00EF1691">
        <w:tab/>
      </w:r>
      <w:proofErr w:type="gramStart"/>
      <w:r w:rsidRPr="00EF1691">
        <w:t>See :</w:t>
      </w:r>
      <w:proofErr w:type="gramEnd"/>
      <w:r w:rsidRPr="00EF1691">
        <w:t xml:space="preserve"> </w:t>
      </w:r>
      <w:hyperlink r:id="rId61" w:history="1">
        <w:r w:rsidRPr="00EF1691">
          <w:t>https://www.iwacu-burundi.org/les-filles-ne-sont-pas-des-grands-enfants/</w:t>
        </w:r>
      </w:hyperlink>
      <w:r w:rsidRPr="00EF1691">
        <w:t>.</w:t>
      </w:r>
    </w:p>
  </w:footnote>
  <w:footnote w:id="236">
    <w:p w14:paraId="24F9DF49" w14:textId="1A8663BA" w:rsidR="00662CCF" w:rsidRPr="00875092" w:rsidRDefault="00662CCF" w:rsidP="0039134B">
      <w:pPr>
        <w:pStyle w:val="FootnoteText"/>
      </w:pPr>
      <w:r w:rsidRPr="00EF1691">
        <w:tab/>
      </w:r>
      <w:r w:rsidRPr="003C11C3">
        <w:rPr>
          <w:rStyle w:val="FootnoteReference"/>
          <w:lang w:val="fr-CH"/>
        </w:rPr>
        <w:footnoteRef/>
      </w:r>
      <w:r w:rsidRPr="00875092">
        <w:tab/>
        <w:t>Article 13 of the International Covenant on Economic, Social and Cultural Rights; see also article 53 of the Burundian Constitution which guarantees equal access to education to all citizens, as well</w:t>
      </w:r>
      <w:r>
        <w:t xml:space="preserve"> as the provisions of the 2016 </w:t>
      </w:r>
      <w:r w:rsidR="00717C44">
        <w:t>l</w:t>
      </w:r>
      <w:r>
        <w:t xml:space="preserve">aw on </w:t>
      </w:r>
      <w:r w:rsidR="00717C44">
        <w:t>g</w:t>
      </w:r>
      <w:r>
        <w:t xml:space="preserve">ender </w:t>
      </w:r>
      <w:r w:rsidR="00717C44">
        <w:t>b</w:t>
      </w:r>
      <w:r w:rsidRPr="00875092">
        <w:t xml:space="preserve">ased </w:t>
      </w:r>
      <w:r w:rsidR="00717C44">
        <w:t>v</w:t>
      </w:r>
      <w:r>
        <w:t>iolence which aim to protect the victims’ right to education.</w:t>
      </w:r>
    </w:p>
  </w:footnote>
  <w:footnote w:id="237">
    <w:p w14:paraId="20F7BF47" w14:textId="0F2D4EE0" w:rsidR="00662CCF" w:rsidRPr="00767E99" w:rsidRDefault="00662CCF" w:rsidP="0039134B">
      <w:pPr>
        <w:pStyle w:val="FootnoteText"/>
      </w:pPr>
      <w:r w:rsidRPr="00875092">
        <w:tab/>
      </w:r>
      <w:r w:rsidRPr="003C11C3">
        <w:rPr>
          <w:rStyle w:val="FootnoteReference"/>
          <w:lang w:val="fr-CH"/>
        </w:rPr>
        <w:footnoteRef/>
      </w:r>
      <w:r w:rsidRPr="00767E99">
        <w:tab/>
        <w:t xml:space="preserve">Articles 16 and 28 of the Convention on the Rights of the Child. </w:t>
      </w:r>
    </w:p>
  </w:footnote>
  <w:footnote w:id="238">
    <w:p w14:paraId="5B71C369" w14:textId="4D4C6D5E" w:rsidR="00662CCF" w:rsidRPr="00020A64" w:rsidRDefault="00662CCF" w:rsidP="0039134B">
      <w:pPr>
        <w:pStyle w:val="FootnoteText"/>
      </w:pPr>
      <w:r w:rsidRPr="00767E99">
        <w:tab/>
      </w:r>
      <w:r w:rsidRPr="003C11C3">
        <w:rPr>
          <w:rStyle w:val="FootnoteReference"/>
          <w:lang w:val="fr-CH"/>
        </w:rPr>
        <w:footnoteRef/>
      </w:r>
      <w:r w:rsidRPr="00020A64">
        <w:tab/>
        <w:t xml:space="preserve">Report of the </w:t>
      </w:r>
      <w:r>
        <w:t>S</w:t>
      </w:r>
      <w:r w:rsidRPr="00020A64">
        <w:t>pecial Rapporteur on torture and other cruel, inhuman or degrading treatment or punishment, 2016, A/HRC/31/57, par</w:t>
      </w:r>
      <w:r w:rsidR="00717C44">
        <w:t>a</w:t>
      </w:r>
      <w:r w:rsidRPr="00020A64">
        <w:t>. 46.</w:t>
      </w:r>
    </w:p>
  </w:footnote>
  <w:footnote w:id="239">
    <w:p w14:paraId="36626AF6" w14:textId="01D1D5D1" w:rsidR="00662CCF" w:rsidRPr="00412378" w:rsidRDefault="00662CCF" w:rsidP="0039134B">
      <w:pPr>
        <w:pStyle w:val="FootnoteText"/>
      </w:pPr>
      <w:r w:rsidRPr="00020A64">
        <w:tab/>
      </w:r>
      <w:r w:rsidRPr="003C11C3">
        <w:rPr>
          <w:rStyle w:val="FootnoteReference"/>
          <w:lang w:val="fr-CH"/>
        </w:rPr>
        <w:footnoteRef/>
      </w:r>
      <w:r w:rsidRPr="001232F7">
        <w:tab/>
        <w:t xml:space="preserve">Official </w:t>
      </w:r>
      <w:r w:rsidRPr="00EB40B6">
        <w:t>communiqués</w:t>
      </w:r>
      <w:r w:rsidRPr="001232F7">
        <w:t xml:space="preserve"> of the administrators of Nyabiraba commune (Bujumbura province), Muyinga commune (Muyinga province) and Musongati commune (Rutana province). </w:t>
      </w:r>
      <w:r w:rsidRPr="00412378">
        <w:t xml:space="preserve">RTNB published in a tweet on 1 March 2019 that the administrator of  Giteranyi commune </w:t>
      </w:r>
      <w:r w:rsidR="00EB40B6">
        <w:t>(Muyinga province) had stated “</w:t>
      </w:r>
      <w:r w:rsidRPr="00412378">
        <w:t>an instruction prohibiting young girls from going home after 19h</w:t>
      </w:r>
      <w:r w:rsidR="00EB40B6">
        <w:t>00</w:t>
      </w:r>
      <w:r w:rsidRPr="00412378">
        <w:t xml:space="preserve"> had </w:t>
      </w:r>
      <w:r>
        <w:t>been adopted to prevent their exposure t</w:t>
      </w:r>
      <w:r w:rsidR="00EB40B6">
        <w:t>o risks of undesired pregnancies”</w:t>
      </w:r>
      <w:r w:rsidRPr="00412378">
        <w:t xml:space="preserve"> (</w:t>
      </w:r>
      <w:r w:rsidR="00EB40B6">
        <w:t>See</w:t>
      </w:r>
      <w:r w:rsidRPr="00412378">
        <w:t>:</w:t>
      </w:r>
      <w:r>
        <w:t xml:space="preserve"> </w:t>
      </w:r>
      <w:hyperlink r:id="rId62" w:history="1">
        <w:r w:rsidRPr="00412378">
          <w:t>https://twitter.com/RTNBurundi/status/1101443561940312066</w:t>
        </w:r>
      </w:hyperlink>
      <w:r w:rsidRPr="00412378">
        <w:t>).</w:t>
      </w:r>
    </w:p>
  </w:footnote>
  <w:footnote w:id="240">
    <w:p w14:paraId="78AE34B5" w14:textId="77777777" w:rsidR="00662CCF" w:rsidRPr="00B05CAD" w:rsidRDefault="00662CCF" w:rsidP="0039134B">
      <w:pPr>
        <w:pStyle w:val="FootnoteText"/>
        <w:rPr>
          <w:lang w:val="fr-CH"/>
        </w:rPr>
      </w:pPr>
      <w:r w:rsidRPr="00412378">
        <w:tab/>
      </w:r>
      <w:r w:rsidRPr="003C11C3">
        <w:rPr>
          <w:rStyle w:val="FootnoteReference"/>
          <w:lang w:val="fr-CH"/>
        </w:rPr>
        <w:footnoteRef/>
      </w:r>
      <w:r>
        <w:rPr>
          <w:lang w:val="fr-CH"/>
        </w:rPr>
        <w:tab/>
      </w:r>
      <w:r w:rsidRPr="00B05CAD">
        <w:rPr>
          <w:lang w:val="fr-CH"/>
        </w:rPr>
        <w:t xml:space="preserve">Voir : </w:t>
      </w:r>
      <w:hyperlink r:id="rId63" w:history="1">
        <w:r w:rsidRPr="006E78C4">
          <w:rPr>
            <w:lang w:val="fr-FR"/>
          </w:rPr>
          <w:t>www.rtnb.bi/fr/art.php?idapi=3/1/54</w:t>
        </w:r>
      </w:hyperlink>
      <w:r w:rsidRPr="00B05CAD">
        <w:rPr>
          <w:lang w:val="fr-CH"/>
        </w:rPr>
        <w:t>.</w:t>
      </w:r>
    </w:p>
  </w:footnote>
  <w:footnote w:id="241">
    <w:p w14:paraId="4E28FFAF" w14:textId="19A47970" w:rsidR="00662CCF" w:rsidRPr="00DB12B2" w:rsidRDefault="00662CCF" w:rsidP="0039134B">
      <w:pPr>
        <w:pStyle w:val="FootnoteText"/>
      </w:pPr>
      <w:r>
        <w:rPr>
          <w:lang w:val="fr-CH"/>
        </w:rPr>
        <w:tab/>
      </w:r>
      <w:r w:rsidRPr="003C11C3">
        <w:rPr>
          <w:rStyle w:val="FootnoteReference"/>
          <w:lang w:val="fr-CH"/>
        </w:rPr>
        <w:footnoteRef/>
      </w:r>
      <w:r w:rsidRPr="00DB12B2">
        <w:tab/>
        <w:t xml:space="preserve">Communiqué </w:t>
      </w:r>
      <w:bookmarkStart w:id="9" w:name="_Hlk38992901"/>
      <w:r w:rsidRPr="00DB12B2">
        <w:t xml:space="preserve">of the communal administration of </w:t>
      </w:r>
      <w:bookmarkEnd w:id="9"/>
      <w:r w:rsidRPr="00DB12B2">
        <w:t>Musongati, 6 May 2019.</w:t>
      </w:r>
    </w:p>
  </w:footnote>
  <w:footnote w:id="242">
    <w:p w14:paraId="15E5C733" w14:textId="017248BC" w:rsidR="00662CCF" w:rsidRPr="00DB12B2" w:rsidRDefault="00662CCF" w:rsidP="0039134B">
      <w:pPr>
        <w:pStyle w:val="FootnoteText"/>
      </w:pPr>
      <w:r w:rsidRPr="00DB12B2">
        <w:tab/>
      </w:r>
      <w:r w:rsidRPr="003C11C3">
        <w:rPr>
          <w:rStyle w:val="FootnoteReference"/>
          <w:lang w:val="fr-CH"/>
        </w:rPr>
        <w:footnoteRef/>
      </w:r>
      <w:r w:rsidRPr="00DB12B2">
        <w:tab/>
        <w:t xml:space="preserve">Communiqué of the communal administration of Muyinga, 7 </w:t>
      </w:r>
      <w:r>
        <w:t>February</w:t>
      </w:r>
      <w:r w:rsidRPr="00DB12B2">
        <w:t xml:space="preserve"> 2019.</w:t>
      </w:r>
    </w:p>
  </w:footnote>
  <w:footnote w:id="243">
    <w:p w14:paraId="2B17B536" w14:textId="5FCC5365" w:rsidR="00662CCF" w:rsidRPr="001B6B96" w:rsidRDefault="00662CCF" w:rsidP="0039134B">
      <w:pPr>
        <w:pStyle w:val="FootnoteText"/>
      </w:pPr>
      <w:r w:rsidRPr="00DB12B2">
        <w:tab/>
      </w:r>
      <w:r w:rsidRPr="003C11C3">
        <w:rPr>
          <w:rStyle w:val="FootnoteReference"/>
          <w:lang w:val="fr-CH"/>
        </w:rPr>
        <w:footnoteRef/>
      </w:r>
      <w:r w:rsidRPr="001B6B96">
        <w:tab/>
        <w:t xml:space="preserve">Communiqué of the communal administration of Musongati, 6 May 2019, </w:t>
      </w:r>
      <w:bookmarkStart w:id="10" w:name="_Hlk38992982"/>
      <w:r w:rsidRPr="001B6B96">
        <w:t>translation by the Commission</w:t>
      </w:r>
      <w:bookmarkEnd w:id="10"/>
      <w:r w:rsidRPr="001B6B96">
        <w:t xml:space="preserve">. </w:t>
      </w:r>
    </w:p>
  </w:footnote>
  <w:footnote w:id="244">
    <w:p w14:paraId="478FAF9C" w14:textId="08DE087F" w:rsidR="00662CCF" w:rsidRPr="00DD6EBF" w:rsidRDefault="00662CCF" w:rsidP="0039134B">
      <w:pPr>
        <w:pStyle w:val="FootnoteText"/>
      </w:pPr>
      <w:r w:rsidRPr="001B6B96">
        <w:tab/>
      </w:r>
      <w:r w:rsidRPr="003C11C3">
        <w:rPr>
          <w:rStyle w:val="FootnoteReference"/>
          <w:lang w:val="fr-CH"/>
        </w:rPr>
        <w:footnoteRef/>
      </w:r>
      <w:r w:rsidRPr="00DD6EBF">
        <w:tab/>
        <w:t xml:space="preserve">Communiqué of the communal administration of Nyabiraba, 25 Mars 2019, </w:t>
      </w:r>
      <w:r w:rsidRPr="001B6B96">
        <w:t>translation by the Commission</w:t>
      </w:r>
      <w:r w:rsidRPr="00DD6EBF">
        <w:t xml:space="preserve">. </w:t>
      </w:r>
    </w:p>
  </w:footnote>
  <w:footnote w:id="245">
    <w:p w14:paraId="6E50C916" w14:textId="2D3F8FF6" w:rsidR="00662CCF" w:rsidRPr="00DD6EBF" w:rsidRDefault="00662CCF" w:rsidP="0039134B">
      <w:pPr>
        <w:pStyle w:val="FootnoteText"/>
      </w:pPr>
      <w:r w:rsidRPr="00DD6EBF">
        <w:tab/>
      </w:r>
      <w:r w:rsidRPr="003C11C3">
        <w:rPr>
          <w:rStyle w:val="FootnoteReference"/>
          <w:lang w:val="fr-CH"/>
        </w:rPr>
        <w:footnoteRef/>
      </w:r>
      <w:r w:rsidRPr="00DD6EBF">
        <w:tab/>
      </w:r>
      <w:proofErr w:type="gramStart"/>
      <w:r w:rsidRPr="00DD6EBF">
        <w:t>See :</w:t>
      </w:r>
      <w:proofErr w:type="gramEnd"/>
      <w:r w:rsidRPr="00DD6EBF">
        <w:t xml:space="preserve"> </w:t>
      </w:r>
      <w:hyperlink r:id="rId64" w:anchor=".XWfbLY9S_IU" w:history="1">
        <w:r w:rsidRPr="00DD6EBF">
          <w:t>http://burundi-eco.com/couvre-feu-impose-aux-filles-les-administratifs-devraient-plutot-lutter-contre-toute-discrimination/#.XWfbLY9S_IU</w:t>
        </w:r>
      </w:hyperlink>
      <w:r w:rsidRPr="00DD6EBF">
        <w:t xml:space="preserve"> ; </w:t>
      </w:r>
      <w:hyperlink r:id="rId65" w:history="1">
        <w:r w:rsidRPr="00DD6EBF">
          <w:t>https://www.iwacu-burundi.org/musongati-un-couvre-feu-au-feminin-sur-la-sellette/</w:t>
        </w:r>
      </w:hyperlink>
      <w:r w:rsidRPr="00DD6EBF">
        <w:t>.</w:t>
      </w:r>
    </w:p>
  </w:footnote>
  <w:footnote w:id="246">
    <w:p w14:paraId="2C3F53E5" w14:textId="0327D0CD" w:rsidR="00662CCF" w:rsidRPr="00A17DF7" w:rsidRDefault="00662CCF" w:rsidP="0039134B">
      <w:pPr>
        <w:pStyle w:val="FootnoteText"/>
      </w:pPr>
      <w:r w:rsidRPr="00DD6EBF">
        <w:tab/>
      </w:r>
      <w:r w:rsidRPr="00AD557D">
        <w:rPr>
          <w:rStyle w:val="FootnoteReference"/>
          <w:lang w:val="fr-CH"/>
        </w:rPr>
        <w:footnoteRef/>
      </w:r>
      <w:r w:rsidRPr="0088045B">
        <w:tab/>
        <w:t xml:space="preserve">Article 2 (d), Article 5 (a), Article 10 of the Convention on the Elimination of all Forms of Discrimination against Women. </w:t>
      </w:r>
      <w:r w:rsidRPr="00A17DF7">
        <w:t xml:space="preserve">They also represent violations of articles 25 and 33 of the Constitution, which </w:t>
      </w:r>
      <w:r>
        <w:t>enshrines</w:t>
      </w:r>
      <w:r w:rsidRPr="00A17DF7">
        <w:t xml:space="preserve"> the freedom of movement of Burundian citizens on</w:t>
      </w:r>
      <w:r>
        <w:t xml:space="preserve"> the national territory, and of its </w:t>
      </w:r>
      <w:r w:rsidRPr="00A17DF7">
        <w:t xml:space="preserve">article 22, </w:t>
      </w:r>
      <w:r>
        <w:t xml:space="preserve">which </w:t>
      </w:r>
      <w:r w:rsidRPr="00A17DF7">
        <w:t xml:space="preserve">qui </w:t>
      </w:r>
      <w:r>
        <w:t xml:space="preserve">enshrines the principle of </w:t>
      </w:r>
      <w:r w:rsidRPr="00A17DF7">
        <w:t xml:space="preserve">non-discrimination, </w:t>
      </w:r>
      <w:r>
        <w:t xml:space="preserve">namely on the basis of gender. </w:t>
      </w:r>
    </w:p>
  </w:footnote>
  <w:footnote w:id="247">
    <w:p w14:paraId="049D64F4" w14:textId="315B4F91" w:rsidR="00662CCF" w:rsidRPr="00032F02" w:rsidRDefault="00662CCF" w:rsidP="008E4E71">
      <w:pPr>
        <w:pStyle w:val="FootnoteText"/>
      </w:pPr>
      <w:r w:rsidRPr="00A17DF7">
        <w:tab/>
      </w:r>
      <w:r w:rsidRPr="000F382F">
        <w:rPr>
          <w:rStyle w:val="FootnoteReference"/>
          <w:lang w:val="fr-CH"/>
        </w:rPr>
        <w:footnoteRef/>
      </w:r>
      <w:r w:rsidRPr="00193F55">
        <w:tab/>
        <w:t xml:space="preserve">A/HRC/36/CRP.1, para. </w:t>
      </w:r>
      <w:r w:rsidRPr="00032F02">
        <w:t xml:space="preserve">703 to 711. </w:t>
      </w:r>
      <w:r w:rsidRPr="00AD4FCD">
        <w:t>As mentioned earlier in this report, only crimes under international criminal law engage personal responsibility. Violati</w:t>
      </w:r>
      <w:r>
        <w:t>ons of human rights engage the S</w:t>
      </w:r>
      <w:r w:rsidRPr="00AD4FCD">
        <w:t>tate responsibility, in as far as it can be demonstrated that one or several incriminating acts were committed by State’s agents or individuals or group of individuals acting under its orders</w:t>
      </w:r>
      <w:r w:rsidRPr="00032F02">
        <w:t>.</w:t>
      </w:r>
    </w:p>
  </w:footnote>
  <w:footnote w:id="248">
    <w:p w14:paraId="2536AA7A" w14:textId="29562A93" w:rsidR="00662CCF" w:rsidRPr="00032F02" w:rsidRDefault="00662CCF" w:rsidP="008E4E71">
      <w:pPr>
        <w:pStyle w:val="FootnoteText"/>
      </w:pPr>
      <w:r w:rsidRPr="00032F02">
        <w:tab/>
      </w:r>
      <w:r w:rsidRPr="000F382F">
        <w:rPr>
          <w:rStyle w:val="FootnoteReference"/>
          <w:lang w:val="fr-CH"/>
        </w:rPr>
        <w:footnoteRef/>
      </w:r>
      <w:r w:rsidRPr="00193F55">
        <w:tab/>
        <w:t xml:space="preserve">Article 28 (para. </w:t>
      </w:r>
      <w:r w:rsidRPr="00032F02">
        <w:t xml:space="preserve">1 and 2) of the Rome Statute. </w:t>
      </w:r>
    </w:p>
  </w:footnote>
  <w:footnote w:id="249">
    <w:p w14:paraId="3D36C8E3" w14:textId="1A6F9A87" w:rsidR="00662CCF" w:rsidRPr="00FF5DC1" w:rsidRDefault="00662CCF" w:rsidP="008E4E71">
      <w:pPr>
        <w:pStyle w:val="FootnoteText"/>
      </w:pPr>
      <w:r w:rsidRPr="00032F02">
        <w:tab/>
      </w:r>
      <w:r w:rsidRPr="000F382F">
        <w:rPr>
          <w:rStyle w:val="FootnoteReference"/>
          <w:lang w:val="fr-CH"/>
        </w:rPr>
        <w:footnoteRef/>
      </w:r>
      <w:r w:rsidRPr="00FF5DC1">
        <w:tab/>
        <w:t xml:space="preserve">A/HRC/36/CRP.1, </w:t>
      </w:r>
      <w:r>
        <w:t>para.</w:t>
      </w:r>
      <w:r w:rsidRPr="00FF5DC1">
        <w:t xml:space="preserve"> 158 </w:t>
      </w:r>
      <w:r>
        <w:t>to</w:t>
      </w:r>
      <w:r w:rsidRPr="00FF5DC1">
        <w:t xml:space="preserve"> 183 and 706, 707, 708 and 710 and A/CHR/CRP.1, para 732 </w:t>
      </w:r>
      <w:r>
        <w:t>to</w:t>
      </w:r>
      <w:r w:rsidRPr="00FF5DC1">
        <w:t xml:space="preserve"> 734.</w:t>
      </w:r>
    </w:p>
  </w:footnote>
  <w:footnote w:id="250">
    <w:p w14:paraId="79C579A3" w14:textId="081883F3" w:rsidR="00662CCF" w:rsidRPr="00032F02" w:rsidRDefault="00662CCF" w:rsidP="008E4E71">
      <w:pPr>
        <w:pStyle w:val="FootnoteText"/>
      </w:pPr>
      <w:r w:rsidRPr="00FF5DC1">
        <w:tab/>
      </w:r>
      <w:r w:rsidRPr="000F382F">
        <w:rPr>
          <w:rStyle w:val="FootnoteReference"/>
          <w:lang w:val="fr-CH"/>
        </w:rPr>
        <w:footnoteRef/>
      </w:r>
      <w:r w:rsidRPr="00032F02">
        <w:tab/>
        <w:t xml:space="preserve">Articles 248, 249, 251, 252 and 268 of the Constitution. </w:t>
      </w:r>
    </w:p>
  </w:footnote>
  <w:footnote w:id="251">
    <w:p w14:paraId="27D865DE" w14:textId="116789BA" w:rsidR="00662CCF" w:rsidRPr="00EA1CC2" w:rsidRDefault="00662CCF" w:rsidP="008E4E71">
      <w:pPr>
        <w:pStyle w:val="FootnoteText"/>
        <w:rPr>
          <w:lang w:val="fr-CH"/>
        </w:rPr>
      </w:pPr>
      <w:r w:rsidRPr="00032F02">
        <w:tab/>
      </w:r>
      <w:r w:rsidRPr="000F382F">
        <w:rPr>
          <w:rStyle w:val="FootnoteReference"/>
          <w:lang w:val="fr-CH"/>
        </w:rPr>
        <w:footnoteRef/>
      </w:r>
      <w:r>
        <w:rPr>
          <w:lang w:val="fr-CH"/>
        </w:rPr>
        <w:tab/>
      </w:r>
      <w:r w:rsidRPr="00EA1CC2">
        <w:rPr>
          <w:lang w:val="fr-CH"/>
        </w:rPr>
        <w:t>https://www.assemblee.bi/spip.php?article2032 fonctionnement-</w:t>
      </w:r>
      <w:r>
        <w:rPr>
          <w:lang w:val="fr-CH"/>
        </w:rPr>
        <w:t>and</w:t>
      </w:r>
      <w:r w:rsidRPr="00EA1CC2">
        <w:rPr>
          <w:lang w:val="fr-CH"/>
        </w:rPr>
        <w:t>-composition-des-snr.html</w:t>
      </w:r>
      <w:r>
        <w:rPr>
          <w:lang w:val="fr-CH"/>
        </w:rPr>
        <w:t>.</w:t>
      </w:r>
    </w:p>
  </w:footnote>
  <w:footnote w:id="252">
    <w:p w14:paraId="33C8AEAC" w14:textId="16319F63" w:rsidR="00662CCF" w:rsidRPr="00032F02" w:rsidRDefault="00662CCF" w:rsidP="008E4E71">
      <w:pPr>
        <w:pStyle w:val="FootnoteText"/>
      </w:pPr>
      <w:r>
        <w:rPr>
          <w:lang w:val="fr-CH"/>
        </w:rPr>
        <w:tab/>
      </w:r>
      <w:r w:rsidRPr="000F382F">
        <w:rPr>
          <w:rStyle w:val="FootnoteReference"/>
          <w:lang w:val="fr-CH"/>
        </w:rPr>
        <w:footnoteRef/>
      </w:r>
      <w:r w:rsidRPr="00032F02">
        <w:tab/>
        <w:t>Article 33 of the Rome Statute.</w:t>
      </w:r>
    </w:p>
  </w:footnote>
  <w:footnote w:id="253">
    <w:p w14:paraId="34E1B8BA" w14:textId="43FC07E9" w:rsidR="00662CCF" w:rsidRPr="005379F4" w:rsidRDefault="00662CCF" w:rsidP="008E4E71">
      <w:pPr>
        <w:pStyle w:val="FootnoteText"/>
      </w:pPr>
      <w:r w:rsidRPr="00032F02">
        <w:tab/>
      </w:r>
      <w:r w:rsidRPr="000F382F">
        <w:rPr>
          <w:rStyle w:val="FootnoteReference"/>
          <w:lang w:val="fr-CH"/>
        </w:rPr>
        <w:footnoteRef/>
      </w:r>
      <w:r w:rsidRPr="005379F4">
        <w:tab/>
        <w:t xml:space="preserve">Article 28 </w:t>
      </w:r>
      <w:r w:rsidRPr="00032F02">
        <w:t>of the Rome Statute</w:t>
      </w:r>
      <w:r w:rsidRPr="005379F4">
        <w:t>.</w:t>
      </w:r>
    </w:p>
  </w:footnote>
  <w:footnote w:id="254">
    <w:p w14:paraId="527892E8" w14:textId="103429B6" w:rsidR="00662CCF" w:rsidRPr="00FF5DC1" w:rsidRDefault="00662CCF" w:rsidP="008E4E71">
      <w:pPr>
        <w:pStyle w:val="FootnoteText"/>
      </w:pPr>
      <w:r w:rsidRPr="005379F4">
        <w:tab/>
      </w:r>
      <w:r w:rsidRPr="000F382F">
        <w:rPr>
          <w:rStyle w:val="FootnoteReference"/>
          <w:lang w:val="fr-CH"/>
        </w:rPr>
        <w:footnoteRef/>
      </w:r>
      <w:r w:rsidRPr="00FF5DC1">
        <w:tab/>
        <w:t xml:space="preserve">See </w:t>
      </w:r>
      <w:r>
        <w:t>para.</w:t>
      </w:r>
      <w:r w:rsidRPr="00FF5DC1">
        <w:t xml:space="preserve"> 72-73 of this report.</w:t>
      </w:r>
    </w:p>
  </w:footnote>
  <w:footnote w:id="255">
    <w:p w14:paraId="4159B149" w14:textId="01B3EFFD" w:rsidR="00662CCF" w:rsidRPr="00EC58CC" w:rsidRDefault="00662CCF" w:rsidP="00EC58CC">
      <w:pPr>
        <w:pStyle w:val="FootnoteText"/>
      </w:pPr>
      <w:r w:rsidRPr="00FF5DC1">
        <w:tab/>
      </w:r>
      <w:r w:rsidRPr="000F382F">
        <w:rPr>
          <w:rStyle w:val="FootnoteReference"/>
          <w:lang w:val="fr-CH"/>
        </w:rPr>
        <w:footnoteRef/>
      </w:r>
      <w:r w:rsidRPr="00EC58CC">
        <w:tab/>
        <w:t>As a reminder, the presidential, parliamentarian and communal councils elections are scheduled for</w:t>
      </w:r>
      <w:r>
        <w:t xml:space="preserve"> 20 May 2020, the elections of S</w:t>
      </w:r>
      <w:r w:rsidRPr="00EC58CC">
        <w:t>enators are scheduled for 20 July 2020 while those of collines and neighborhood councils are planned for 24 August 2020</w:t>
      </w:r>
      <w:proofErr w:type="gramStart"/>
      <w:r w:rsidRPr="00EC58CC">
        <w:t>..</w:t>
      </w:r>
      <w:proofErr w:type="gramEnd"/>
    </w:p>
  </w:footnote>
  <w:footnote w:id="256">
    <w:p w14:paraId="28F32380" w14:textId="77777777" w:rsidR="00662CCF" w:rsidRPr="00EC58CC" w:rsidRDefault="00662CCF" w:rsidP="00EC58CC">
      <w:pPr>
        <w:pStyle w:val="FootnoteText"/>
      </w:pPr>
      <w:r w:rsidRPr="00EC58CC">
        <w:tab/>
      </w:r>
      <w:r w:rsidRPr="00485AE0">
        <w:rPr>
          <w:rStyle w:val="FootnoteReference"/>
          <w:lang w:val="fr-CH"/>
        </w:rPr>
        <w:footnoteRef/>
      </w:r>
      <w:r w:rsidRPr="00EC58CC">
        <w:tab/>
        <w:t>Atrocity crimes include genocide, war crimes, crimes against humanity and ethnic cleansing. Although the latter is not defined as an international crime per se, it encompasses acts that are characteristic of atrocity crimes.</w:t>
      </w:r>
    </w:p>
  </w:footnote>
  <w:footnote w:id="257">
    <w:p w14:paraId="12A5A125" w14:textId="77777777" w:rsidR="00662CCF" w:rsidRPr="00EC58CC" w:rsidRDefault="00662CCF" w:rsidP="00EC58CC">
      <w:pPr>
        <w:pStyle w:val="FootnoteText"/>
      </w:pPr>
      <w:r w:rsidRPr="00EC58CC">
        <w:tab/>
      </w:r>
      <w:r w:rsidRPr="00485AE0">
        <w:rPr>
          <w:rStyle w:val="FootnoteReference"/>
          <w:lang w:val="fr-CH"/>
        </w:rPr>
        <w:footnoteRef/>
      </w:r>
      <w:r w:rsidRPr="00EC58CC">
        <w:tab/>
        <w:t>OHCHR internal working document.</w:t>
      </w:r>
    </w:p>
  </w:footnote>
  <w:footnote w:id="258">
    <w:p w14:paraId="7723D265" w14:textId="77777777" w:rsidR="00662CCF" w:rsidRPr="00EC58CC" w:rsidRDefault="00662CCF" w:rsidP="00EC58CC">
      <w:pPr>
        <w:pStyle w:val="FootnoteText"/>
      </w:pPr>
      <w:r w:rsidRPr="00EC58CC">
        <w:tab/>
      </w:r>
      <w:r w:rsidRPr="00485AE0">
        <w:rPr>
          <w:rStyle w:val="FootnoteReference"/>
          <w:lang w:val="fr-CH"/>
        </w:rPr>
        <w:footnoteRef/>
      </w:r>
      <w:r w:rsidRPr="00EC58CC">
        <w:tab/>
        <w:t>https://www.idea.int/data-tools/tools/electoral-risk-management-tool.</w:t>
      </w:r>
    </w:p>
  </w:footnote>
  <w:footnote w:id="259">
    <w:p w14:paraId="344B513F" w14:textId="02B03104" w:rsidR="00662CCF" w:rsidRPr="00EC58CC" w:rsidRDefault="00662CCF" w:rsidP="00EC58CC">
      <w:pPr>
        <w:pStyle w:val="FootnoteText"/>
      </w:pPr>
      <w:r w:rsidRPr="00EC58CC">
        <w:tab/>
      </w:r>
      <w:r w:rsidRPr="00485AE0">
        <w:rPr>
          <w:rStyle w:val="FootnoteReference"/>
          <w:lang w:val="fr-CH"/>
        </w:rPr>
        <w:footnoteRef/>
      </w:r>
      <w:r w:rsidRPr="00EC58CC">
        <w:tab/>
        <w:t xml:space="preserve">United Nations, </w:t>
      </w:r>
      <w:r w:rsidRPr="002A101F">
        <w:rPr>
          <w:i/>
        </w:rPr>
        <w:t>Atrocity Crimes Framework Analysis</w:t>
      </w:r>
      <w:r w:rsidRPr="00EC58CC">
        <w:t>, A/70/741-S/2016/71.</w:t>
      </w:r>
      <w:r>
        <w:t xml:space="preserve"> </w:t>
      </w:r>
    </w:p>
  </w:footnote>
  <w:footnote w:id="260">
    <w:p w14:paraId="4878AEBC" w14:textId="3D9853B2" w:rsidR="00662CCF" w:rsidRPr="0022549C" w:rsidRDefault="00662CCF" w:rsidP="00EC58CC">
      <w:pPr>
        <w:pStyle w:val="FootnoteText"/>
        <w:rPr>
          <w:lang w:val="en-US"/>
        </w:rPr>
      </w:pPr>
      <w:r w:rsidRPr="0022549C">
        <w:rPr>
          <w:lang w:val="en-US"/>
        </w:rPr>
        <w:tab/>
      </w:r>
      <w:r w:rsidRPr="00485AE0">
        <w:rPr>
          <w:rStyle w:val="FootnoteReference"/>
          <w:lang w:val="fr-CH"/>
        </w:rPr>
        <w:footnoteRef/>
      </w:r>
      <w:r w:rsidRPr="0022549C">
        <w:rPr>
          <w:lang w:val="en-US"/>
        </w:rPr>
        <w:tab/>
        <w:t xml:space="preserve">See AHRC/39/CRP.1, </w:t>
      </w:r>
      <w:r>
        <w:rPr>
          <w:lang w:val="en-US"/>
        </w:rPr>
        <w:t>para.</w:t>
      </w:r>
      <w:r w:rsidRPr="0022549C">
        <w:rPr>
          <w:lang w:val="en-US"/>
        </w:rPr>
        <w:t xml:space="preserve"> 119-215.</w:t>
      </w:r>
    </w:p>
  </w:footnote>
  <w:footnote w:id="261">
    <w:p w14:paraId="58D43BC3" w14:textId="15E0F84C" w:rsidR="00662CCF" w:rsidRPr="0022549C" w:rsidRDefault="00662CCF" w:rsidP="00EC58CC">
      <w:pPr>
        <w:pStyle w:val="FootnoteText"/>
        <w:rPr>
          <w:lang w:val="en-US"/>
        </w:rPr>
      </w:pPr>
      <w:r w:rsidRPr="0022549C">
        <w:rPr>
          <w:lang w:val="en-US"/>
        </w:rPr>
        <w:tab/>
      </w:r>
      <w:r w:rsidRPr="00485AE0">
        <w:rPr>
          <w:rStyle w:val="FootnoteReference"/>
          <w:lang w:val="fr-CH"/>
        </w:rPr>
        <w:footnoteRef/>
      </w:r>
      <w:r w:rsidRPr="0022549C">
        <w:rPr>
          <w:lang w:val="en-US"/>
        </w:rPr>
        <w:tab/>
        <w:t xml:space="preserve">See AHRC/39/CRP.1, </w:t>
      </w:r>
      <w:r>
        <w:rPr>
          <w:lang w:val="en-US"/>
        </w:rPr>
        <w:t>para.</w:t>
      </w:r>
      <w:r w:rsidRPr="0022549C">
        <w:rPr>
          <w:lang w:val="en-US"/>
        </w:rPr>
        <w:t xml:space="preserve"> 585-670.</w:t>
      </w:r>
    </w:p>
  </w:footnote>
  <w:footnote w:id="262">
    <w:p w14:paraId="61057D08" w14:textId="77777777" w:rsidR="00662CCF" w:rsidRPr="0022549C" w:rsidRDefault="00662CCF" w:rsidP="00EC58CC">
      <w:pPr>
        <w:pStyle w:val="FootnoteText"/>
        <w:rPr>
          <w:lang w:val="en-US"/>
        </w:rPr>
      </w:pPr>
      <w:r w:rsidRPr="0022549C">
        <w:rPr>
          <w:lang w:val="en-US"/>
        </w:rPr>
        <w:tab/>
      </w:r>
      <w:r w:rsidRPr="00485AE0">
        <w:rPr>
          <w:rStyle w:val="FootnoteReference"/>
          <w:lang w:val="fr-CH"/>
        </w:rPr>
        <w:footnoteRef/>
      </w:r>
      <w:r w:rsidRPr="0022549C">
        <w:rPr>
          <w:lang w:val="en-US"/>
        </w:rPr>
        <w:tab/>
        <w:t>IDEA International, Guide on elections-related violence factors external to electoral processes, p. 7.</w:t>
      </w:r>
    </w:p>
  </w:footnote>
  <w:footnote w:id="263">
    <w:p w14:paraId="2A9A89E7" w14:textId="6FEE8343" w:rsidR="00662CCF" w:rsidRPr="0022549C" w:rsidRDefault="00662CCF" w:rsidP="00EC58CC">
      <w:pPr>
        <w:pStyle w:val="FootnoteText"/>
        <w:rPr>
          <w:lang w:val="en-US"/>
        </w:rPr>
      </w:pPr>
      <w:r w:rsidRPr="000576B2">
        <w:rPr>
          <w:lang w:val="en-US"/>
        </w:rPr>
        <w:tab/>
      </w:r>
      <w:r w:rsidRPr="00485AE0">
        <w:rPr>
          <w:rStyle w:val="FootnoteReference"/>
          <w:lang w:val="fr-CH"/>
        </w:rPr>
        <w:footnoteRef/>
      </w:r>
      <w:r w:rsidRPr="000576B2">
        <w:rPr>
          <w:lang w:val="en-US"/>
        </w:rPr>
        <w:tab/>
      </w:r>
      <w:r w:rsidRPr="0022549C">
        <w:rPr>
          <w:lang w:val="en-US"/>
        </w:rPr>
        <w:t xml:space="preserve">See A/HRC/39/CRP.1, </w:t>
      </w:r>
      <w:r>
        <w:rPr>
          <w:lang w:val="en-US"/>
        </w:rPr>
        <w:t>para.</w:t>
      </w:r>
      <w:r w:rsidRPr="0022549C">
        <w:rPr>
          <w:lang w:val="en-US"/>
        </w:rPr>
        <w:t xml:space="preserve"> 708-721; and </w:t>
      </w:r>
      <w:r>
        <w:rPr>
          <w:lang w:val="en-US"/>
        </w:rPr>
        <w:t>para.</w:t>
      </w:r>
      <w:r w:rsidRPr="0022549C">
        <w:rPr>
          <w:lang w:val="en-US"/>
        </w:rPr>
        <w:t xml:space="preserve"> 326-328 of this report.</w:t>
      </w:r>
    </w:p>
  </w:footnote>
  <w:footnote w:id="264">
    <w:p w14:paraId="05A92F46" w14:textId="39720BC2" w:rsidR="00662CCF" w:rsidRPr="0022549C" w:rsidRDefault="00662CCF" w:rsidP="00EC58CC">
      <w:pPr>
        <w:pStyle w:val="FootnoteText"/>
        <w:rPr>
          <w:lang w:val="en-US"/>
        </w:rPr>
      </w:pPr>
      <w:r w:rsidRPr="0022549C">
        <w:rPr>
          <w:lang w:val="en-US"/>
        </w:rPr>
        <w:tab/>
      </w:r>
      <w:r w:rsidRPr="00485AE0">
        <w:rPr>
          <w:rStyle w:val="FootnoteReference"/>
          <w:lang w:val="fr-CH"/>
        </w:rPr>
        <w:footnoteRef/>
      </w:r>
      <w:r w:rsidRPr="0022549C">
        <w:rPr>
          <w:lang w:val="en-US"/>
        </w:rPr>
        <w:tab/>
        <w:t xml:space="preserve">See </w:t>
      </w:r>
      <w:r>
        <w:rPr>
          <w:lang w:val="en-US"/>
        </w:rPr>
        <w:t>para.</w:t>
      </w:r>
      <w:r w:rsidRPr="0022549C">
        <w:rPr>
          <w:lang w:val="en-US"/>
        </w:rPr>
        <w:t xml:space="preserve"> 39-42 of this report.</w:t>
      </w:r>
    </w:p>
  </w:footnote>
  <w:footnote w:id="265">
    <w:p w14:paraId="4687476D" w14:textId="3230C92E" w:rsidR="00662CCF" w:rsidRPr="0022549C" w:rsidRDefault="00662CCF" w:rsidP="00EC58CC">
      <w:pPr>
        <w:pStyle w:val="FootnoteText"/>
        <w:rPr>
          <w:lang w:val="en-US"/>
        </w:rPr>
      </w:pPr>
      <w:r w:rsidRPr="0022549C">
        <w:rPr>
          <w:lang w:val="en-US"/>
        </w:rPr>
        <w:tab/>
      </w:r>
      <w:r w:rsidRPr="00485AE0">
        <w:rPr>
          <w:rStyle w:val="FootnoteReference"/>
          <w:lang w:val="fr-CH"/>
        </w:rPr>
        <w:footnoteRef/>
      </w:r>
      <w:r w:rsidRPr="0022549C">
        <w:rPr>
          <w:lang w:val="en-US"/>
        </w:rPr>
        <w:tab/>
        <w:t xml:space="preserve">See A/HRC/39/CRP.1, </w:t>
      </w:r>
      <w:r>
        <w:rPr>
          <w:lang w:val="en-US"/>
        </w:rPr>
        <w:t>para.</w:t>
      </w:r>
      <w:r w:rsidRPr="0022549C">
        <w:rPr>
          <w:lang w:val="en-US"/>
        </w:rPr>
        <w:t xml:space="preserve"> 62-65.</w:t>
      </w:r>
    </w:p>
  </w:footnote>
  <w:footnote w:id="266">
    <w:p w14:paraId="4ECC06E0" w14:textId="684AD3E6" w:rsidR="00662CCF" w:rsidRPr="0022549C" w:rsidRDefault="00662CCF" w:rsidP="00EC58CC">
      <w:pPr>
        <w:pStyle w:val="FootnoteText"/>
        <w:rPr>
          <w:lang w:val="en-US"/>
        </w:rPr>
      </w:pPr>
      <w:r w:rsidRPr="0022549C">
        <w:rPr>
          <w:lang w:val="en-US"/>
        </w:rPr>
        <w:tab/>
      </w:r>
      <w:r w:rsidRPr="00485AE0">
        <w:rPr>
          <w:rStyle w:val="FootnoteReference"/>
          <w:lang w:val="fr-CH"/>
        </w:rPr>
        <w:footnoteRef/>
      </w:r>
      <w:r w:rsidRPr="0022549C">
        <w:rPr>
          <w:lang w:val="en-US"/>
        </w:rPr>
        <w:tab/>
        <w:t xml:space="preserve">https://data2.unhcr.org/en/documents/download/70865. </w:t>
      </w:r>
      <w:r w:rsidRPr="00A255EF">
        <w:t>As a reminder; 14,104 people had returned on 30 June 2019: https://data2.unhcr.org/en/documents/download/70281</w:t>
      </w:r>
      <w:r w:rsidRPr="0022549C">
        <w:rPr>
          <w:lang w:val="en-US"/>
        </w:rPr>
        <w:t>.</w:t>
      </w:r>
    </w:p>
  </w:footnote>
  <w:footnote w:id="267">
    <w:p w14:paraId="043096E5" w14:textId="2D8D22DD" w:rsidR="00662CCF" w:rsidRPr="0022549C" w:rsidRDefault="00662CCF" w:rsidP="00EC58CC">
      <w:pPr>
        <w:pStyle w:val="FootnoteText"/>
        <w:rPr>
          <w:lang w:val="en-US"/>
        </w:rPr>
      </w:pPr>
      <w:r w:rsidRPr="0022549C">
        <w:rPr>
          <w:lang w:val="en-US"/>
        </w:rPr>
        <w:tab/>
      </w:r>
      <w:r w:rsidRPr="00485AE0">
        <w:rPr>
          <w:rStyle w:val="FootnoteReference"/>
          <w:lang w:val="fr-CH"/>
        </w:rPr>
        <w:footnoteRef/>
      </w:r>
      <w:r w:rsidRPr="0022549C">
        <w:rPr>
          <w:lang w:val="en-US"/>
        </w:rPr>
        <w:tab/>
      </w:r>
      <w:r w:rsidRPr="00831FC0">
        <w:t xml:space="preserve">https://data2.unhcr.org/en/documents/download/70865. As a reminder; 3,603 had registered on 30 June 2019 (https://data2.unhcr.org/en/documents/download/70281). This number does not necessarily include all the new arrivals, since in some countries it has become impossible for Burundians to obtain the refugee status. The </w:t>
      </w:r>
      <w:r>
        <w:t xml:space="preserve">Minister of </w:t>
      </w:r>
      <w:r w:rsidRPr="00831FC0">
        <w:t>Interior in Burundi estimated that there are around 15,000 Burundian refugees in the camps in Tanzania who are in an irregular situation or non-documented -with no residence permit or refugee card- See: https://twitter.com/LeRenouveauBdi/status/1166576874711072769. Undoubtedly, some of the 15,000 persons were repatriated and were forced to flee the country again</w:t>
      </w:r>
      <w:r w:rsidRPr="0022549C">
        <w:rPr>
          <w:lang w:val="en-US"/>
        </w:rPr>
        <w:t>.</w:t>
      </w:r>
    </w:p>
  </w:footnote>
  <w:footnote w:id="268">
    <w:p w14:paraId="7F76AD90" w14:textId="4F970E53" w:rsidR="00662CCF" w:rsidRDefault="00662CCF" w:rsidP="00586E89">
      <w:pPr>
        <w:pStyle w:val="FootnoteText"/>
        <w:ind w:hanging="283"/>
      </w:pPr>
      <w:r>
        <w:rPr>
          <w:rStyle w:val="FootnoteReference"/>
        </w:rPr>
        <w:footnoteRef/>
      </w:r>
      <w:r>
        <w:t xml:space="preserve"> </w:t>
      </w:r>
      <w:r>
        <w:tab/>
      </w:r>
      <w:r w:rsidRPr="0022549C">
        <w:rPr>
          <w:lang w:val="en-US"/>
        </w:rPr>
        <w:t xml:space="preserve">See </w:t>
      </w:r>
      <w:r>
        <w:rPr>
          <w:lang w:val="en-US"/>
        </w:rPr>
        <w:t>para.</w:t>
      </w:r>
      <w:r w:rsidRPr="0022549C">
        <w:rPr>
          <w:lang w:val="en-US"/>
        </w:rPr>
        <w:t xml:space="preserve"> </w:t>
      </w:r>
      <w:r>
        <w:rPr>
          <w:lang w:val="en-US"/>
        </w:rPr>
        <w:t>61, 107, 123, 152</w:t>
      </w:r>
      <w:r w:rsidRPr="0022549C">
        <w:rPr>
          <w:lang w:val="en-US"/>
        </w:rPr>
        <w:t xml:space="preserve"> of this report</w:t>
      </w:r>
      <w:r>
        <w:rPr>
          <w:lang w:val="en-US"/>
        </w:rPr>
        <w:t>.</w:t>
      </w:r>
    </w:p>
  </w:footnote>
  <w:footnote w:id="269">
    <w:p w14:paraId="571988A9" w14:textId="7F91D816" w:rsidR="00662CCF" w:rsidRPr="00637964" w:rsidRDefault="00662CCF" w:rsidP="00EC58CC">
      <w:pPr>
        <w:pStyle w:val="FootnoteText"/>
        <w:rPr>
          <w:lang w:val="en-US"/>
        </w:rPr>
      </w:pPr>
      <w:r w:rsidRPr="0022549C">
        <w:rPr>
          <w:lang w:val="en-US"/>
        </w:rPr>
        <w:tab/>
      </w:r>
      <w:r w:rsidRPr="00485AE0">
        <w:rPr>
          <w:rStyle w:val="FootnoteReference"/>
          <w:lang w:val="fr-CH"/>
        </w:rPr>
        <w:footnoteRef/>
      </w:r>
      <w:r w:rsidRPr="000576B2">
        <w:rPr>
          <w:lang w:val="en-US"/>
        </w:rPr>
        <w:tab/>
      </w:r>
      <w:r w:rsidRPr="00637964">
        <w:rPr>
          <w:lang w:val="en-US"/>
        </w:rPr>
        <w:t xml:space="preserve">See A/HRC/36/CRP.1/Rev.1, </w:t>
      </w:r>
      <w:r>
        <w:rPr>
          <w:lang w:val="en-US"/>
        </w:rPr>
        <w:t>para.</w:t>
      </w:r>
      <w:r w:rsidRPr="00637964">
        <w:rPr>
          <w:lang w:val="en-US"/>
        </w:rPr>
        <w:t xml:space="preserve"> 228-668; A/HRC/39/CRP.1, </w:t>
      </w:r>
      <w:r>
        <w:rPr>
          <w:lang w:val="en-US"/>
        </w:rPr>
        <w:t>para.</w:t>
      </w:r>
      <w:r w:rsidRPr="00637964">
        <w:rPr>
          <w:lang w:val="en-US"/>
        </w:rPr>
        <w:t xml:space="preserve"> 244-461; and </w:t>
      </w:r>
      <w:r>
        <w:rPr>
          <w:lang w:val="en-US"/>
        </w:rPr>
        <w:t>para.</w:t>
      </w:r>
      <w:r w:rsidRPr="00637964">
        <w:rPr>
          <w:lang w:val="en-US"/>
        </w:rPr>
        <w:t xml:space="preserve"> </w:t>
      </w:r>
      <w:r>
        <w:rPr>
          <w:lang w:val="en-US"/>
        </w:rPr>
        <w:t xml:space="preserve">81-83; 106-107; 123-124; 127; 147-153; 176-182 </w:t>
      </w:r>
      <w:r w:rsidRPr="00637964">
        <w:rPr>
          <w:lang w:val="en-US"/>
        </w:rPr>
        <w:t>of this report.</w:t>
      </w:r>
    </w:p>
  </w:footnote>
  <w:footnote w:id="270">
    <w:p w14:paraId="099CA173" w14:textId="08BDCF77" w:rsidR="00662CCF" w:rsidRPr="00637964" w:rsidRDefault="00662CCF" w:rsidP="00EC58CC">
      <w:pPr>
        <w:pStyle w:val="FootnoteText"/>
        <w:rPr>
          <w:lang w:val="en-US"/>
        </w:rPr>
      </w:pPr>
      <w:r w:rsidRPr="00637964">
        <w:rPr>
          <w:lang w:val="en-US"/>
        </w:rPr>
        <w:tab/>
      </w:r>
      <w:r w:rsidRPr="00485AE0">
        <w:rPr>
          <w:rStyle w:val="FootnoteReference"/>
          <w:lang w:val="fr-CH"/>
        </w:rPr>
        <w:footnoteRef/>
      </w:r>
      <w:r w:rsidRPr="00637964">
        <w:rPr>
          <w:lang w:val="en-US"/>
        </w:rPr>
        <w:tab/>
        <w:t xml:space="preserve">Report of Diane Orentlicher, </w:t>
      </w:r>
      <w:r>
        <w:rPr>
          <w:lang w:val="en-US"/>
        </w:rPr>
        <w:t>I</w:t>
      </w:r>
      <w:r w:rsidRPr="00637964">
        <w:rPr>
          <w:lang w:val="en-US"/>
        </w:rPr>
        <w:t xml:space="preserve">ndependent </w:t>
      </w:r>
      <w:r>
        <w:rPr>
          <w:lang w:val="en-US"/>
        </w:rPr>
        <w:t>E</w:t>
      </w:r>
      <w:r w:rsidRPr="00637964">
        <w:rPr>
          <w:lang w:val="en-US"/>
        </w:rPr>
        <w:t xml:space="preserve">xpert to </w:t>
      </w:r>
      <w:r>
        <w:rPr>
          <w:lang w:val="en-US"/>
        </w:rPr>
        <w:t>u</w:t>
      </w:r>
      <w:r w:rsidRPr="00637964">
        <w:rPr>
          <w:lang w:val="en-US"/>
        </w:rPr>
        <w:t xml:space="preserve">pdate the </w:t>
      </w:r>
      <w:r>
        <w:rPr>
          <w:lang w:val="en-US"/>
        </w:rPr>
        <w:t>S</w:t>
      </w:r>
      <w:r w:rsidRPr="00637964">
        <w:rPr>
          <w:lang w:val="en-US"/>
        </w:rPr>
        <w:t xml:space="preserve">et of </w:t>
      </w:r>
      <w:r>
        <w:rPr>
          <w:lang w:val="en-US"/>
        </w:rPr>
        <w:t>P</w:t>
      </w:r>
      <w:r w:rsidRPr="00637964">
        <w:rPr>
          <w:lang w:val="en-US"/>
        </w:rPr>
        <w:t xml:space="preserve">rinciples to </w:t>
      </w:r>
      <w:r>
        <w:rPr>
          <w:lang w:val="en-US"/>
        </w:rPr>
        <w:t>c</w:t>
      </w:r>
      <w:r w:rsidRPr="00637964">
        <w:rPr>
          <w:lang w:val="en-US"/>
        </w:rPr>
        <w:t xml:space="preserve">ombat </w:t>
      </w:r>
      <w:r>
        <w:rPr>
          <w:lang w:val="en-US"/>
        </w:rPr>
        <w:t>impunity - Updated s</w:t>
      </w:r>
      <w:r w:rsidRPr="00637964">
        <w:rPr>
          <w:lang w:val="en-US"/>
        </w:rPr>
        <w:t>et of principles for the protection and promotion of human rights through action to combat impunity, E/CN.4/2005/102/Add.1, p. 6.</w:t>
      </w:r>
    </w:p>
  </w:footnote>
  <w:footnote w:id="271">
    <w:p w14:paraId="58EA7B63" w14:textId="77777777" w:rsidR="00662CCF" w:rsidRPr="00637964" w:rsidRDefault="00662CCF" w:rsidP="00EC58CC">
      <w:pPr>
        <w:pStyle w:val="FootnoteText"/>
        <w:rPr>
          <w:lang w:val="en-US"/>
        </w:rPr>
      </w:pPr>
      <w:r w:rsidRPr="00637964">
        <w:rPr>
          <w:lang w:val="en-US"/>
        </w:rPr>
        <w:tab/>
      </w:r>
      <w:r w:rsidRPr="00485AE0">
        <w:rPr>
          <w:rStyle w:val="FootnoteReference"/>
          <w:lang w:val="fr-CH"/>
        </w:rPr>
        <w:footnoteRef/>
      </w:r>
      <w:r w:rsidRPr="00637964">
        <w:rPr>
          <w:lang w:val="en-US"/>
        </w:rPr>
        <w:tab/>
      </w:r>
      <w:hyperlink r:id="rId66" w:history="1">
        <w:r w:rsidRPr="00637964">
          <w:rPr>
            <w:lang w:val="en-US"/>
          </w:rPr>
          <w:t>http://www.rtnb.bi/fr/art.php?idapi=3/3/91</w:t>
        </w:r>
      </w:hyperlink>
      <w:r w:rsidRPr="00637964">
        <w:rPr>
          <w:lang w:val="en-US"/>
        </w:rPr>
        <w:t xml:space="preserve">, </w:t>
      </w:r>
      <w:hyperlink r:id="rId67" w:history="1">
        <w:r w:rsidRPr="00637964">
          <w:rPr>
            <w:lang w:val="en-US"/>
          </w:rPr>
          <w:t>http://www.rtnb.bi/fr/art.php?idapi=3/3/52</w:t>
        </w:r>
      </w:hyperlink>
      <w:r w:rsidRPr="00637964">
        <w:rPr>
          <w:lang w:val="en-US"/>
        </w:rPr>
        <w:t xml:space="preserve">, </w:t>
      </w:r>
      <w:hyperlink r:id="rId68" w:history="1">
        <w:r w:rsidRPr="00637964">
          <w:rPr>
            <w:lang w:val="en-US"/>
          </w:rPr>
          <w:t>http://www.rtnb.bi/fr/art.php?idapi=3/1/215</w:t>
        </w:r>
      </w:hyperlink>
      <w:r w:rsidRPr="00637964">
        <w:rPr>
          <w:lang w:val="en-US"/>
        </w:rPr>
        <w:t xml:space="preserve">, </w:t>
      </w:r>
      <w:hyperlink r:id="rId69" w:history="1">
        <w:r w:rsidRPr="00637964">
          <w:rPr>
            <w:lang w:val="en-US"/>
          </w:rPr>
          <w:t>http://www.rtnb.bi/fr/art.php?idapi=3/1/138</w:t>
        </w:r>
      </w:hyperlink>
      <w:r w:rsidRPr="00637964">
        <w:rPr>
          <w:lang w:val="en-US"/>
        </w:rPr>
        <w:t xml:space="preserve">, </w:t>
      </w:r>
      <w:hyperlink r:id="rId70" w:history="1">
        <w:r w:rsidRPr="00637964">
          <w:rPr>
            <w:lang w:val="en-US"/>
          </w:rPr>
          <w:t>http://www.rtnb.bi/fr/art.php?idapi=3/0/213</w:t>
        </w:r>
      </w:hyperlink>
      <w:r w:rsidRPr="00637964">
        <w:rPr>
          <w:lang w:val="en-US"/>
        </w:rPr>
        <w:t xml:space="preserve">, </w:t>
      </w:r>
      <w:hyperlink r:id="rId71" w:history="1">
        <w:r w:rsidRPr="00637964">
          <w:rPr>
            <w:lang w:val="en-US"/>
          </w:rPr>
          <w:t>http://www.rtnb.bi/fr/art.php?idapi=2/2/68</w:t>
        </w:r>
      </w:hyperlink>
      <w:r w:rsidRPr="00637964">
        <w:rPr>
          <w:lang w:val="en-US"/>
        </w:rPr>
        <w:t>.</w:t>
      </w:r>
    </w:p>
  </w:footnote>
  <w:footnote w:id="272">
    <w:p w14:paraId="368C712A" w14:textId="7802F52B" w:rsidR="00662CCF" w:rsidRPr="00637964" w:rsidRDefault="00662CCF" w:rsidP="00EC58CC">
      <w:pPr>
        <w:pStyle w:val="FootnoteText"/>
        <w:rPr>
          <w:lang w:val="en-US"/>
        </w:rPr>
      </w:pPr>
      <w:r w:rsidRPr="00637964">
        <w:rPr>
          <w:lang w:val="en-US"/>
        </w:rPr>
        <w:tab/>
      </w:r>
      <w:r w:rsidRPr="00485AE0">
        <w:rPr>
          <w:rStyle w:val="FootnoteReference"/>
          <w:lang w:val="fr-CH"/>
        </w:rPr>
        <w:footnoteRef/>
      </w:r>
      <w:r w:rsidRPr="00637964">
        <w:rPr>
          <w:lang w:val="en-US"/>
        </w:rPr>
        <w:tab/>
        <w:t xml:space="preserve">See A/HRC/36/CRP.1/Rev.1, </w:t>
      </w:r>
      <w:r>
        <w:rPr>
          <w:lang w:val="en-US"/>
        </w:rPr>
        <w:t>para.</w:t>
      </w:r>
      <w:r w:rsidRPr="00637964">
        <w:rPr>
          <w:lang w:val="en-US"/>
        </w:rPr>
        <w:t xml:space="preserve"> 623-637; A/HRC/39/CRP.1, </w:t>
      </w:r>
      <w:r>
        <w:rPr>
          <w:lang w:val="en-US"/>
        </w:rPr>
        <w:t>para.</w:t>
      </w:r>
      <w:r w:rsidRPr="00637964">
        <w:rPr>
          <w:lang w:val="en-US"/>
        </w:rPr>
        <w:t xml:space="preserve"> 516-521, 568-579; as well as </w:t>
      </w:r>
      <w:r>
        <w:rPr>
          <w:lang w:val="en-US"/>
        </w:rPr>
        <w:t>para.</w:t>
      </w:r>
      <w:r w:rsidRPr="00637964">
        <w:rPr>
          <w:lang w:val="en-US"/>
        </w:rPr>
        <w:t xml:space="preserve"> 296-300 of this report. The Commission was informed of a single case in 2019 in which three Imbonerakure were condemned for the murder of a member of the pygmee community and they would still be in prison. </w:t>
      </w:r>
    </w:p>
  </w:footnote>
  <w:footnote w:id="273">
    <w:p w14:paraId="44DE16D3" w14:textId="38FFC1C2" w:rsidR="00662CCF" w:rsidRPr="00637964" w:rsidRDefault="00662CCF" w:rsidP="00EC58CC">
      <w:pPr>
        <w:pStyle w:val="FootnoteText"/>
        <w:rPr>
          <w:lang w:val="en-US"/>
        </w:rPr>
      </w:pPr>
      <w:r w:rsidRPr="000576B2">
        <w:rPr>
          <w:lang w:val="en-US"/>
        </w:rPr>
        <w:tab/>
      </w:r>
      <w:r w:rsidRPr="00485AE0">
        <w:rPr>
          <w:rStyle w:val="FootnoteReference"/>
          <w:lang w:val="fr-CH"/>
        </w:rPr>
        <w:footnoteRef/>
      </w:r>
      <w:r w:rsidRPr="000576B2">
        <w:rPr>
          <w:lang w:val="en-US"/>
        </w:rPr>
        <w:tab/>
      </w:r>
      <w:r w:rsidRPr="00637964">
        <w:rPr>
          <w:lang w:val="en-US"/>
        </w:rPr>
        <w:t xml:space="preserve">See A/HRC/39/CRP.1, </w:t>
      </w:r>
      <w:r>
        <w:rPr>
          <w:lang w:val="en-US"/>
        </w:rPr>
        <w:t>para.</w:t>
      </w:r>
      <w:r w:rsidRPr="00637964">
        <w:rPr>
          <w:lang w:val="en-US"/>
        </w:rPr>
        <w:t xml:space="preserve"> 462-579.</w:t>
      </w:r>
    </w:p>
  </w:footnote>
  <w:footnote w:id="274">
    <w:p w14:paraId="171E69D5" w14:textId="41828B44" w:rsidR="00662CCF" w:rsidRPr="00637964" w:rsidRDefault="00662CCF" w:rsidP="00EC58CC">
      <w:pPr>
        <w:pStyle w:val="FootnoteText"/>
        <w:rPr>
          <w:lang w:val="en-US"/>
        </w:rPr>
      </w:pPr>
      <w:r w:rsidRPr="00637964">
        <w:rPr>
          <w:lang w:val="en-US"/>
        </w:rPr>
        <w:tab/>
      </w:r>
      <w:r w:rsidRPr="00485AE0">
        <w:rPr>
          <w:rStyle w:val="FootnoteReference"/>
          <w:lang w:val="fr-CH"/>
        </w:rPr>
        <w:footnoteRef/>
      </w:r>
      <w:r w:rsidRPr="00637964">
        <w:rPr>
          <w:lang w:val="en-US"/>
        </w:rPr>
        <w:tab/>
        <w:t xml:space="preserve">See A/HRC/36/CRP.1/Rev.1, </w:t>
      </w:r>
      <w:r>
        <w:rPr>
          <w:lang w:val="en-US"/>
        </w:rPr>
        <w:t>para.</w:t>
      </w:r>
      <w:r w:rsidRPr="00637964">
        <w:rPr>
          <w:lang w:val="en-US"/>
        </w:rPr>
        <w:t xml:space="preserve"> 240-241, 375-377, 411-412, 430, and 463-466; A/HRC/39/CRP.1, </w:t>
      </w:r>
      <w:r>
        <w:rPr>
          <w:lang w:val="en-US"/>
        </w:rPr>
        <w:t>para.</w:t>
      </w:r>
      <w:r w:rsidRPr="00637964">
        <w:rPr>
          <w:lang w:val="en-US"/>
        </w:rPr>
        <w:t xml:space="preserve"> 252-254, 311-314, 322-324, 348-350 and 372-373;</w:t>
      </w:r>
      <w:r w:rsidRPr="00637964" w:rsidDel="00E62202">
        <w:rPr>
          <w:lang w:val="en-US"/>
        </w:rPr>
        <w:t xml:space="preserve"> </w:t>
      </w:r>
      <w:r w:rsidRPr="00637964">
        <w:rPr>
          <w:lang w:val="en-US"/>
        </w:rPr>
        <w:t xml:space="preserve">and </w:t>
      </w:r>
      <w:r>
        <w:rPr>
          <w:lang w:val="en-US"/>
        </w:rPr>
        <w:t>para.</w:t>
      </w:r>
      <w:r w:rsidRPr="00637964">
        <w:rPr>
          <w:lang w:val="en-US"/>
        </w:rPr>
        <w:t xml:space="preserve"> 92, 110, 160, 199-202 of this report.</w:t>
      </w:r>
    </w:p>
  </w:footnote>
  <w:footnote w:id="275">
    <w:p w14:paraId="04CEC74E" w14:textId="243ED48B" w:rsidR="00662CCF" w:rsidRPr="00637964" w:rsidRDefault="00662CCF" w:rsidP="00EC58CC">
      <w:pPr>
        <w:pStyle w:val="FootnoteText"/>
        <w:rPr>
          <w:lang w:val="en-US"/>
        </w:rPr>
      </w:pPr>
      <w:r w:rsidRPr="00637964">
        <w:rPr>
          <w:lang w:val="en-US"/>
        </w:rPr>
        <w:tab/>
      </w:r>
      <w:r w:rsidRPr="00485AE0">
        <w:rPr>
          <w:rStyle w:val="FootnoteReference"/>
          <w:lang w:val="fr-CH"/>
        </w:rPr>
        <w:footnoteRef/>
      </w:r>
      <w:r w:rsidRPr="00637964">
        <w:rPr>
          <w:lang w:val="en-US"/>
        </w:rPr>
        <w:tab/>
        <w:t xml:space="preserve">The Commission received corroborating information to the effect that military equipment; such as military boots, headgears, raincoats were distributed to various groups of Imbonerakure while these items are generally reserved for members of defense and security forces. In some cases, fire arms were also distributed; albeit on a temporary basis in some cases. </w:t>
      </w:r>
    </w:p>
  </w:footnote>
  <w:footnote w:id="276">
    <w:p w14:paraId="0BC0B449" w14:textId="77777777" w:rsidR="00662CCF" w:rsidRPr="00637964" w:rsidRDefault="00662CCF" w:rsidP="00EC58CC">
      <w:pPr>
        <w:pStyle w:val="FootnoteText"/>
        <w:rPr>
          <w:lang w:val="en-US"/>
        </w:rPr>
      </w:pPr>
      <w:r w:rsidRPr="00637964">
        <w:rPr>
          <w:lang w:val="en-US"/>
        </w:rPr>
        <w:tab/>
      </w:r>
      <w:r w:rsidRPr="00485AE0">
        <w:rPr>
          <w:rStyle w:val="FootnoteReference"/>
          <w:lang w:val="fr-CH"/>
        </w:rPr>
        <w:footnoteRef/>
      </w:r>
      <w:r w:rsidRPr="00637964">
        <w:rPr>
          <w:lang w:val="en-US"/>
        </w:rPr>
        <w:tab/>
      </w:r>
      <w:hyperlink r:id="rId72" w:history="1">
        <w:r w:rsidRPr="00637964">
          <w:rPr>
            <w:lang w:val="en-US"/>
          </w:rPr>
          <w:t>http://www.rtnb.bi/fr/art.php?idapi=3/3/89</w:t>
        </w:r>
      </w:hyperlink>
      <w:r w:rsidRPr="00637964">
        <w:rPr>
          <w:lang w:val="en-US"/>
        </w:rPr>
        <w:t xml:space="preserve">, </w:t>
      </w:r>
      <w:hyperlink r:id="rId73" w:history="1">
        <w:r w:rsidRPr="00637964">
          <w:rPr>
            <w:lang w:val="en-US"/>
          </w:rPr>
          <w:t>http://www.rtnb.bi/fr/art.php?idapi=3/3/52</w:t>
        </w:r>
      </w:hyperlink>
      <w:r w:rsidRPr="00637964">
        <w:rPr>
          <w:lang w:val="en-US"/>
        </w:rPr>
        <w:t xml:space="preserve">, </w:t>
      </w:r>
      <w:hyperlink r:id="rId74" w:history="1">
        <w:r w:rsidRPr="00637964">
          <w:rPr>
            <w:lang w:val="en-US"/>
          </w:rPr>
          <w:t>http://www.rtnb.bi/fr/art.php?idapi=3/1/215</w:t>
        </w:r>
      </w:hyperlink>
      <w:r w:rsidRPr="00637964">
        <w:rPr>
          <w:lang w:val="en-US"/>
        </w:rPr>
        <w:t xml:space="preserve">, </w:t>
      </w:r>
      <w:hyperlink r:id="rId75" w:history="1">
        <w:r w:rsidRPr="00637964">
          <w:rPr>
            <w:lang w:val="en-US"/>
          </w:rPr>
          <w:t>http://www.rtnb.bi/fr/art.php?idapi=3/1/138</w:t>
        </w:r>
      </w:hyperlink>
      <w:r w:rsidRPr="00637964">
        <w:rPr>
          <w:lang w:val="en-US"/>
        </w:rPr>
        <w:t xml:space="preserve">, </w:t>
      </w:r>
      <w:hyperlink r:id="rId76" w:history="1">
        <w:r w:rsidRPr="00637964">
          <w:rPr>
            <w:lang w:val="en-US"/>
          </w:rPr>
          <w:t>http://www.rtnb.bi/fr/art.php?idapi=3/0/213</w:t>
        </w:r>
      </w:hyperlink>
      <w:r w:rsidRPr="00637964">
        <w:rPr>
          <w:lang w:val="en-US"/>
        </w:rPr>
        <w:t xml:space="preserve">, </w:t>
      </w:r>
      <w:hyperlink r:id="rId77" w:history="1">
        <w:r w:rsidRPr="00637964">
          <w:rPr>
            <w:lang w:val="en-US"/>
          </w:rPr>
          <w:t>http://www.rtnb.bi/fr/art.php?idapi=2/2/68</w:t>
        </w:r>
      </w:hyperlink>
      <w:r w:rsidRPr="00637964">
        <w:rPr>
          <w:lang w:val="en-US"/>
        </w:rPr>
        <w:t>.</w:t>
      </w:r>
    </w:p>
  </w:footnote>
  <w:footnote w:id="277">
    <w:p w14:paraId="7AD109CA" w14:textId="77777777" w:rsidR="00662CCF" w:rsidRPr="00637964" w:rsidRDefault="00662CCF" w:rsidP="00EC58CC">
      <w:pPr>
        <w:pStyle w:val="FootnoteText"/>
        <w:rPr>
          <w:lang w:val="en-US"/>
        </w:rPr>
      </w:pPr>
      <w:r w:rsidRPr="00637964">
        <w:rPr>
          <w:lang w:val="en-US"/>
        </w:rPr>
        <w:tab/>
      </w:r>
      <w:r w:rsidRPr="00485AE0">
        <w:rPr>
          <w:rStyle w:val="FootnoteReference"/>
          <w:lang w:val="fr-CH"/>
        </w:rPr>
        <w:footnoteRef/>
      </w:r>
      <w:r w:rsidRPr="00637964">
        <w:rPr>
          <w:lang w:val="en-US"/>
        </w:rPr>
        <w:tab/>
      </w:r>
      <w:hyperlink r:id="rId78" w:history="1">
        <w:r w:rsidRPr="00637964">
          <w:rPr>
            <w:lang w:val="en-US"/>
          </w:rPr>
          <w:t>https://www.assemblee.bi/spip.php?article2032</w:t>
        </w:r>
      </w:hyperlink>
      <w:r w:rsidRPr="00637964">
        <w:rPr>
          <w:lang w:val="en-US"/>
        </w:rPr>
        <w:t>.</w:t>
      </w:r>
    </w:p>
  </w:footnote>
  <w:footnote w:id="278">
    <w:p w14:paraId="40719034" w14:textId="4D29C635" w:rsidR="00662CCF" w:rsidRPr="00637964" w:rsidRDefault="00662CCF" w:rsidP="00EC58CC">
      <w:pPr>
        <w:pStyle w:val="FootnoteText"/>
        <w:rPr>
          <w:lang w:val="en-US"/>
        </w:rPr>
      </w:pPr>
      <w:r w:rsidRPr="00637964">
        <w:rPr>
          <w:lang w:val="en-US"/>
        </w:rPr>
        <w:tab/>
      </w:r>
      <w:r w:rsidRPr="00485AE0">
        <w:rPr>
          <w:rStyle w:val="FootnoteReference"/>
          <w:lang w:val="fr-CH"/>
        </w:rPr>
        <w:footnoteRef/>
      </w:r>
      <w:r w:rsidRPr="00637964">
        <w:rPr>
          <w:lang w:val="en-US"/>
        </w:rPr>
        <w:tab/>
        <w:t xml:space="preserve">Ministry of </w:t>
      </w:r>
      <w:r>
        <w:rPr>
          <w:lang w:val="en-US"/>
        </w:rPr>
        <w:t>P</w:t>
      </w:r>
      <w:r w:rsidRPr="00637964">
        <w:rPr>
          <w:lang w:val="en-US"/>
        </w:rPr>
        <w:t xml:space="preserve">ublic </w:t>
      </w:r>
      <w:r>
        <w:rPr>
          <w:lang w:val="en-US"/>
        </w:rPr>
        <w:t>S</w:t>
      </w:r>
      <w:r w:rsidRPr="00637964">
        <w:rPr>
          <w:lang w:val="en-US"/>
        </w:rPr>
        <w:t xml:space="preserve">ecurity and </w:t>
      </w:r>
      <w:r>
        <w:rPr>
          <w:lang w:val="en-US"/>
        </w:rPr>
        <w:t>D</w:t>
      </w:r>
      <w:r w:rsidRPr="00637964">
        <w:rPr>
          <w:lang w:val="en-US"/>
        </w:rPr>
        <w:t xml:space="preserve">isaster </w:t>
      </w:r>
      <w:r>
        <w:rPr>
          <w:lang w:val="en-US"/>
        </w:rPr>
        <w:t>M</w:t>
      </w:r>
      <w:r w:rsidRPr="00637964">
        <w:rPr>
          <w:lang w:val="en-US"/>
        </w:rPr>
        <w:t xml:space="preserve">anagement, </w:t>
      </w:r>
      <w:r>
        <w:rPr>
          <w:lang w:val="en-US"/>
        </w:rPr>
        <w:t>Minister</w:t>
      </w:r>
      <w:r w:rsidRPr="00637964">
        <w:rPr>
          <w:lang w:val="en-US"/>
        </w:rPr>
        <w:t xml:space="preserve">ial </w:t>
      </w:r>
      <w:r>
        <w:rPr>
          <w:lang w:val="en-US"/>
        </w:rPr>
        <w:t>O</w:t>
      </w:r>
      <w:r w:rsidRPr="00637964">
        <w:rPr>
          <w:lang w:val="en-US"/>
        </w:rPr>
        <w:t>rdinance n</w:t>
      </w:r>
      <w:r>
        <w:rPr>
          <w:lang w:val="en-US"/>
        </w:rPr>
        <w:t>°</w:t>
      </w:r>
      <w:r w:rsidRPr="00637964">
        <w:rPr>
          <w:lang w:val="en-US"/>
        </w:rPr>
        <w:t>215/874 o</w:t>
      </w:r>
      <w:r>
        <w:rPr>
          <w:lang w:val="en-US"/>
        </w:rPr>
        <w:t>f</w:t>
      </w:r>
      <w:r w:rsidRPr="00637964">
        <w:rPr>
          <w:lang w:val="en-US"/>
        </w:rPr>
        <w:t xml:space="preserve"> 14 February 2019 appointing the heads of departments in regional police headquarters, provincial offices, </w:t>
      </w:r>
      <w:r>
        <w:rPr>
          <w:lang w:val="en-US"/>
        </w:rPr>
        <w:t>c</w:t>
      </w:r>
      <w:r w:rsidRPr="00637964">
        <w:rPr>
          <w:lang w:val="en-US"/>
        </w:rPr>
        <w:t>ommanders of specialized units and of the inspector of the national police.</w:t>
      </w:r>
    </w:p>
  </w:footnote>
  <w:footnote w:id="279">
    <w:p w14:paraId="5FB6049D" w14:textId="77777777" w:rsidR="00662CCF" w:rsidRPr="00637964" w:rsidRDefault="00662CCF" w:rsidP="00EC58CC">
      <w:pPr>
        <w:pStyle w:val="FootnoteText"/>
        <w:rPr>
          <w:lang w:val="en-US"/>
        </w:rPr>
      </w:pPr>
      <w:r w:rsidRPr="00637964">
        <w:rPr>
          <w:lang w:val="en-US"/>
        </w:rPr>
        <w:tab/>
      </w:r>
      <w:r w:rsidRPr="00485AE0">
        <w:rPr>
          <w:rStyle w:val="FootnoteReference"/>
          <w:lang w:val="fr-CH"/>
        </w:rPr>
        <w:footnoteRef/>
      </w:r>
      <w:r w:rsidRPr="00637964">
        <w:rPr>
          <w:lang w:val="en-US"/>
        </w:rPr>
        <w:tab/>
        <w:t>Preamble, E/CN.4/2005/102/Add.1, p. 5.</w:t>
      </w:r>
    </w:p>
  </w:footnote>
  <w:footnote w:id="280">
    <w:p w14:paraId="64DBE030" w14:textId="143F5598" w:rsidR="00662CCF" w:rsidRPr="00637964" w:rsidRDefault="00662CCF" w:rsidP="00EC58CC">
      <w:pPr>
        <w:pStyle w:val="FootnoteText"/>
        <w:rPr>
          <w:lang w:val="en-US"/>
        </w:rPr>
      </w:pPr>
      <w:r w:rsidRPr="00637964">
        <w:rPr>
          <w:lang w:val="en-US"/>
        </w:rPr>
        <w:tab/>
      </w:r>
      <w:r w:rsidRPr="00485AE0">
        <w:rPr>
          <w:rStyle w:val="FootnoteReference"/>
          <w:lang w:val="fr-CH"/>
        </w:rPr>
        <w:footnoteRef/>
      </w:r>
      <w:r w:rsidRPr="00637964">
        <w:rPr>
          <w:lang w:val="en-US"/>
        </w:rPr>
        <w:tab/>
        <w:t xml:space="preserve">See A/HRC/36/CRP.1/Rev.1, </w:t>
      </w:r>
      <w:r>
        <w:rPr>
          <w:lang w:val="en-US"/>
        </w:rPr>
        <w:t>para.</w:t>
      </w:r>
      <w:r w:rsidRPr="00637964">
        <w:rPr>
          <w:lang w:val="en-US"/>
        </w:rPr>
        <w:t xml:space="preserve"> 81-105.</w:t>
      </w:r>
    </w:p>
  </w:footnote>
  <w:footnote w:id="281">
    <w:p w14:paraId="62347384" w14:textId="735450CF" w:rsidR="00662CCF" w:rsidRPr="00D81DCF" w:rsidRDefault="00662CCF" w:rsidP="00EC58CC">
      <w:pPr>
        <w:pStyle w:val="FootnoteText"/>
        <w:rPr>
          <w:lang w:val="en-US"/>
        </w:rPr>
      </w:pPr>
      <w:r w:rsidRPr="000576B2">
        <w:rPr>
          <w:lang w:val="en-US"/>
        </w:rPr>
        <w:tab/>
      </w:r>
      <w:r w:rsidRPr="00485AE0">
        <w:rPr>
          <w:rStyle w:val="FootnoteReference"/>
          <w:lang w:val="fr-CH"/>
        </w:rPr>
        <w:footnoteRef/>
      </w:r>
      <w:r w:rsidRPr="000576B2">
        <w:rPr>
          <w:lang w:val="en-US"/>
        </w:rPr>
        <w:tab/>
      </w:r>
      <w:r w:rsidRPr="00D81DCF">
        <w:rPr>
          <w:lang w:val="en-US"/>
        </w:rPr>
        <w:t xml:space="preserve">See A/HRC/36/CRP.1/Rev.1, </w:t>
      </w:r>
      <w:r>
        <w:rPr>
          <w:lang w:val="en-US"/>
        </w:rPr>
        <w:t>para.</w:t>
      </w:r>
      <w:r w:rsidRPr="00D81DCF">
        <w:rPr>
          <w:lang w:val="en-US"/>
        </w:rPr>
        <w:t xml:space="preserve"> 105-120 and A/HRC/39/CRP.1, </w:t>
      </w:r>
      <w:r>
        <w:rPr>
          <w:lang w:val="en-US"/>
        </w:rPr>
        <w:t>para.</w:t>
      </w:r>
      <w:r w:rsidRPr="00D81DCF">
        <w:rPr>
          <w:lang w:val="en-US"/>
        </w:rPr>
        <w:t xml:space="preserve"> 48-55, as well as </w:t>
      </w:r>
      <w:r>
        <w:rPr>
          <w:lang w:val="en-US"/>
        </w:rPr>
        <w:t>para.</w:t>
      </w:r>
      <w:r w:rsidRPr="00D81DCF">
        <w:rPr>
          <w:lang w:val="en-US"/>
        </w:rPr>
        <w:t xml:space="preserve"> 30-35, 45 of this report.</w:t>
      </w:r>
    </w:p>
  </w:footnote>
  <w:footnote w:id="282">
    <w:p w14:paraId="1140863E" w14:textId="5D8F5C5E" w:rsidR="00662CCF" w:rsidRPr="00D81DCF" w:rsidRDefault="00662CCF" w:rsidP="00EC58CC">
      <w:pPr>
        <w:pStyle w:val="FootnoteText"/>
        <w:rPr>
          <w:lang w:val="en-US"/>
        </w:rPr>
      </w:pPr>
      <w:r w:rsidRPr="00D81DCF">
        <w:rPr>
          <w:lang w:val="en-US"/>
        </w:rPr>
        <w:tab/>
      </w:r>
      <w:r w:rsidRPr="00485AE0">
        <w:rPr>
          <w:rStyle w:val="FootnoteReference"/>
          <w:lang w:val="fr-CH"/>
        </w:rPr>
        <w:footnoteRef/>
      </w:r>
      <w:r w:rsidRPr="00D81DCF">
        <w:rPr>
          <w:lang w:val="en-US"/>
        </w:rPr>
        <w:tab/>
        <w:t xml:space="preserve">A/HRC/38/10, </w:t>
      </w:r>
      <w:r>
        <w:rPr>
          <w:lang w:val="en-US"/>
        </w:rPr>
        <w:t>para.</w:t>
      </w:r>
      <w:r w:rsidRPr="00D81DCF">
        <w:rPr>
          <w:lang w:val="en-US"/>
        </w:rPr>
        <w:t xml:space="preserve"> 137.72; 137.73; 137.74 and 137.77 and A/HRC/38/10.Add.1, </w:t>
      </w:r>
      <w:r>
        <w:rPr>
          <w:lang w:val="en-US"/>
        </w:rPr>
        <w:t>para.</w:t>
      </w:r>
      <w:r w:rsidRPr="00D81DCF">
        <w:rPr>
          <w:lang w:val="en-US"/>
        </w:rPr>
        <w:t xml:space="preserve"> 7.</w:t>
      </w:r>
    </w:p>
  </w:footnote>
  <w:footnote w:id="283">
    <w:p w14:paraId="736AB297" w14:textId="464EA862" w:rsidR="00662CCF" w:rsidRPr="00D81DCF" w:rsidRDefault="00662CCF" w:rsidP="00EC58CC">
      <w:pPr>
        <w:pStyle w:val="FootnoteText"/>
        <w:rPr>
          <w:lang w:val="en-US"/>
        </w:rPr>
      </w:pPr>
      <w:r w:rsidRPr="00D81DCF">
        <w:rPr>
          <w:lang w:val="en-US"/>
        </w:rPr>
        <w:tab/>
      </w:r>
      <w:r w:rsidRPr="00485AE0">
        <w:rPr>
          <w:rStyle w:val="FootnoteReference"/>
          <w:lang w:val="fr-CH"/>
        </w:rPr>
        <w:footnoteRef/>
      </w:r>
      <w:r w:rsidRPr="00D81DCF">
        <w:rPr>
          <w:lang w:val="en-US"/>
        </w:rPr>
        <w:tab/>
        <w:t>Final Declaration of the XVII Summit of Heads of State and</w:t>
      </w:r>
      <w:r>
        <w:rPr>
          <w:lang w:val="en-US"/>
        </w:rPr>
        <w:t xml:space="preserve"> Government</w:t>
      </w:r>
      <w:r w:rsidRPr="00D81DCF">
        <w:rPr>
          <w:lang w:val="en-US"/>
        </w:rPr>
        <w:t xml:space="preserve"> of the OIF held in Erevan from 11 to 12 October 2018.</w:t>
      </w:r>
    </w:p>
  </w:footnote>
  <w:footnote w:id="284">
    <w:p w14:paraId="5F52424A" w14:textId="0F40C864" w:rsidR="00662CCF" w:rsidRPr="00D81DCF" w:rsidRDefault="00662CCF" w:rsidP="00EC58CC">
      <w:pPr>
        <w:pStyle w:val="FootnoteText"/>
        <w:rPr>
          <w:lang w:val="en-US"/>
        </w:rPr>
      </w:pPr>
      <w:r w:rsidRPr="00D81DCF">
        <w:rPr>
          <w:lang w:val="en-US"/>
        </w:rPr>
        <w:tab/>
      </w:r>
      <w:r w:rsidRPr="00485AE0">
        <w:rPr>
          <w:rStyle w:val="FootnoteReference"/>
          <w:lang w:val="fr-CH"/>
        </w:rPr>
        <w:footnoteRef/>
      </w:r>
      <w:r w:rsidRPr="00D81DCF">
        <w:rPr>
          <w:lang w:val="en-US"/>
        </w:rPr>
        <w:tab/>
        <w:t xml:space="preserve">A/HRC/36/CRP.1/Rev. 1, </w:t>
      </w:r>
      <w:r>
        <w:rPr>
          <w:lang w:val="en-US"/>
        </w:rPr>
        <w:t>para.</w:t>
      </w:r>
      <w:r w:rsidRPr="00D81DCF">
        <w:rPr>
          <w:lang w:val="en-US"/>
        </w:rPr>
        <w:t xml:space="preserve">116-120; A/HRC/39/CRP.1, </w:t>
      </w:r>
      <w:r>
        <w:rPr>
          <w:lang w:val="en-US"/>
        </w:rPr>
        <w:t>para.</w:t>
      </w:r>
      <w:r w:rsidRPr="00D81DCF">
        <w:rPr>
          <w:lang w:val="en-US"/>
        </w:rPr>
        <w:t xml:space="preserve"> 49-51; and See </w:t>
      </w:r>
      <w:r>
        <w:rPr>
          <w:lang w:val="en-US"/>
        </w:rPr>
        <w:t>para.</w:t>
      </w:r>
      <w:r w:rsidRPr="00D81DCF">
        <w:rPr>
          <w:lang w:val="en-US"/>
        </w:rPr>
        <w:t xml:space="preserve"> 44 of this report.</w:t>
      </w:r>
    </w:p>
  </w:footnote>
  <w:footnote w:id="285">
    <w:p w14:paraId="71C5FF66" w14:textId="77777777" w:rsidR="00662CCF" w:rsidRPr="00D81DCF" w:rsidRDefault="00662CCF" w:rsidP="00EC58CC">
      <w:pPr>
        <w:pStyle w:val="FootnoteText"/>
        <w:rPr>
          <w:lang w:val="en-US"/>
        </w:rPr>
      </w:pPr>
      <w:r w:rsidRPr="00D81DCF">
        <w:rPr>
          <w:lang w:val="en-US"/>
        </w:rPr>
        <w:tab/>
      </w:r>
      <w:r w:rsidRPr="00485AE0">
        <w:rPr>
          <w:rStyle w:val="FootnoteReference"/>
          <w:lang w:val="fr-CH"/>
        </w:rPr>
        <w:footnoteRef/>
      </w:r>
      <w:r w:rsidRPr="00D81DCF">
        <w:rPr>
          <w:lang w:val="en-US"/>
        </w:rPr>
        <w:tab/>
        <w:t>https://www.uantwerpen.be/images/uantwerpen/container49546/files/Burundi/elect/2020/1119.pdf.</w:t>
      </w:r>
    </w:p>
  </w:footnote>
  <w:footnote w:id="286">
    <w:p w14:paraId="53E3E92F" w14:textId="77777777" w:rsidR="00662CCF" w:rsidRPr="00D81DCF" w:rsidRDefault="00662CCF" w:rsidP="00EC58CC">
      <w:pPr>
        <w:pStyle w:val="FootnoteText"/>
        <w:jc w:val="both"/>
        <w:rPr>
          <w:lang w:val="en-US"/>
        </w:rPr>
      </w:pPr>
      <w:r w:rsidRPr="000576B2">
        <w:rPr>
          <w:lang w:val="en-US"/>
        </w:rPr>
        <w:tab/>
      </w:r>
      <w:r w:rsidRPr="00485AE0">
        <w:rPr>
          <w:rStyle w:val="FootnoteReference"/>
          <w:lang w:val="fr-CH"/>
        </w:rPr>
        <w:footnoteRef/>
      </w:r>
      <w:r w:rsidRPr="000576B2">
        <w:rPr>
          <w:lang w:val="en-US"/>
        </w:rPr>
        <w:tab/>
      </w:r>
      <w:r w:rsidRPr="00D81DCF">
        <w:rPr>
          <w:lang w:val="en-US"/>
        </w:rPr>
        <w:t>https://www.uantwerpen.be/images/uantwerpen/container49546/files/Burundi/gouv/200818.pdf.</w:t>
      </w:r>
    </w:p>
  </w:footnote>
  <w:footnote w:id="287">
    <w:p w14:paraId="69759719" w14:textId="2D26D25D" w:rsidR="00662CCF" w:rsidRPr="00D81DCF" w:rsidRDefault="00662CCF" w:rsidP="00EC58CC">
      <w:pPr>
        <w:pStyle w:val="FootnoteText"/>
        <w:jc w:val="both"/>
        <w:rPr>
          <w:lang w:val="en-US"/>
        </w:rPr>
      </w:pPr>
      <w:r w:rsidRPr="00D81DCF">
        <w:rPr>
          <w:lang w:val="en-US"/>
        </w:rPr>
        <w:tab/>
      </w:r>
      <w:r w:rsidRPr="00485AE0">
        <w:rPr>
          <w:rStyle w:val="FootnoteReference"/>
          <w:lang w:val="fr-CH"/>
        </w:rPr>
        <w:footnoteRef/>
      </w:r>
      <w:r w:rsidRPr="00D81DCF">
        <w:rPr>
          <w:lang w:val="en-US"/>
        </w:rPr>
        <w:tab/>
        <w:t xml:space="preserve">See </w:t>
      </w:r>
      <w:r>
        <w:rPr>
          <w:lang w:val="en-US"/>
        </w:rPr>
        <w:t>para.</w:t>
      </w:r>
      <w:r w:rsidRPr="00D81DCF">
        <w:rPr>
          <w:lang w:val="en-US"/>
        </w:rPr>
        <w:t xml:space="preserve"> 10-14 and 33 of this report.</w:t>
      </w:r>
    </w:p>
  </w:footnote>
  <w:footnote w:id="288">
    <w:p w14:paraId="5F3290EB" w14:textId="77777777" w:rsidR="00662CCF" w:rsidRPr="00D81DCF" w:rsidRDefault="00662CCF" w:rsidP="00EC58CC">
      <w:pPr>
        <w:pStyle w:val="FootnoteText"/>
        <w:jc w:val="both"/>
        <w:rPr>
          <w:lang w:val="en-US"/>
        </w:rPr>
      </w:pPr>
      <w:r w:rsidRPr="00D81DCF">
        <w:rPr>
          <w:lang w:val="en-US"/>
        </w:rPr>
        <w:tab/>
      </w:r>
      <w:r w:rsidRPr="00485AE0">
        <w:rPr>
          <w:rStyle w:val="FootnoteReference"/>
          <w:lang w:val="fr-CH"/>
        </w:rPr>
        <w:footnoteRef/>
      </w:r>
      <w:r w:rsidRPr="00D81DCF">
        <w:rPr>
          <w:lang w:val="en-US"/>
        </w:rPr>
        <w:tab/>
      </w:r>
      <w:hyperlink r:id="rId79" w:history="1">
        <w:r w:rsidRPr="00D81DCF">
          <w:rPr>
            <w:rStyle w:val="Hyperlink"/>
            <w:lang w:val="en-US"/>
          </w:rPr>
          <w:t>https://regionweek.com/exclusive-burundi-has-been-under-international-conspiracy-for-four-or-five-years-says-1st-vice-president/</w:t>
        </w:r>
      </w:hyperlink>
      <w:r w:rsidRPr="00D81DCF">
        <w:rPr>
          <w:lang w:val="en-US"/>
        </w:rPr>
        <w:t>.</w:t>
      </w:r>
    </w:p>
  </w:footnote>
  <w:footnote w:id="289">
    <w:p w14:paraId="31EE645C" w14:textId="79D810C4" w:rsidR="00662CCF" w:rsidRPr="00D81DCF" w:rsidRDefault="00662CCF" w:rsidP="00EC58CC">
      <w:pPr>
        <w:pStyle w:val="FootnoteText"/>
        <w:jc w:val="both"/>
        <w:rPr>
          <w:lang w:val="en-US"/>
        </w:rPr>
      </w:pPr>
      <w:r w:rsidRPr="00D81DCF">
        <w:rPr>
          <w:lang w:val="en-US"/>
        </w:rPr>
        <w:tab/>
      </w:r>
      <w:r w:rsidRPr="00485AE0">
        <w:rPr>
          <w:rStyle w:val="FootnoteReference"/>
          <w:lang w:val="fr-CH"/>
        </w:rPr>
        <w:footnoteRef/>
      </w:r>
      <w:r w:rsidRPr="00D81DCF">
        <w:rPr>
          <w:lang w:val="en-US"/>
        </w:rPr>
        <w:tab/>
        <w:t xml:space="preserve">Article 25 of the International </w:t>
      </w:r>
      <w:r>
        <w:rPr>
          <w:lang w:val="en-US"/>
        </w:rPr>
        <w:t>Covenant on</w:t>
      </w:r>
      <w:r w:rsidRPr="00D81DCF">
        <w:rPr>
          <w:lang w:val="en-US"/>
        </w:rPr>
        <w:t xml:space="preserve"> </w:t>
      </w:r>
      <w:r>
        <w:rPr>
          <w:lang w:val="en-US"/>
        </w:rPr>
        <w:t>C</w:t>
      </w:r>
      <w:r w:rsidRPr="00D81DCF">
        <w:rPr>
          <w:lang w:val="en-US"/>
        </w:rPr>
        <w:t xml:space="preserve">ivil and </w:t>
      </w:r>
      <w:r>
        <w:rPr>
          <w:lang w:val="en-US"/>
        </w:rPr>
        <w:t>P</w:t>
      </w:r>
      <w:r w:rsidRPr="00D81DCF">
        <w:rPr>
          <w:lang w:val="en-US"/>
        </w:rPr>
        <w:t xml:space="preserve">olitical </w:t>
      </w:r>
      <w:r>
        <w:rPr>
          <w:lang w:val="en-US"/>
        </w:rPr>
        <w:t>R</w:t>
      </w:r>
      <w:r w:rsidRPr="00D81DCF">
        <w:rPr>
          <w:lang w:val="en-US"/>
        </w:rPr>
        <w:t xml:space="preserve">ights – and </w:t>
      </w:r>
      <w:r>
        <w:rPr>
          <w:lang w:val="en-US"/>
        </w:rPr>
        <w:t>para.</w:t>
      </w:r>
      <w:r w:rsidRPr="00D81DCF">
        <w:rPr>
          <w:lang w:val="en-US"/>
        </w:rPr>
        <w:t xml:space="preserve"> 9</w:t>
      </w:r>
      <w:r>
        <w:rPr>
          <w:lang w:val="en-US"/>
        </w:rPr>
        <w:t xml:space="preserve"> of </w:t>
      </w:r>
      <w:r w:rsidRPr="00D81DCF">
        <w:rPr>
          <w:lang w:val="en-US"/>
        </w:rPr>
        <w:t xml:space="preserve">General </w:t>
      </w:r>
      <w:r>
        <w:rPr>
          <w:lang w:val="en-US"/>
        </w:rPr>
        <w:t xml:space="preserve">Comment </w:t>
      </w:r>
      <w:r w:rsidRPr="00D81DCF">
        <w:rPr>
          <w:lang w:val="en-US"/>
        </w:rPr>
        <w:t>no. 25</w:t>
      </w:r>
      <w:r>
        <w:rPr>
          <w:lang w:val="en-US"/>
        </w:rPr>
        <w:t xml:space="preserve"> </w:t>
      </w:r>
      <w:r w:rsidRPr="00D81DCF">
        <w:rPr>
          <w:lang w:val="en-US"/>
        </w:rPr>
        <w:t>of the Human Rights Committe</w:t>
      </w:r>
      <w:r>
        <w:rPr>
          <w:lang w:val="en-US"/>
        </w:rPr>
        <w:t>e; and</w:t>
      </w:r>
      <w:r w:rsidRPr="00D81DCF">
        <w:rPr>
          <w:lang w:val="en-US"/>
        </w:rPr>
        <w:t xml:space="preserve"> </w:t>
      </w:r>
      <w:r>
        <w:rPr>
          <w:lang w:val="en-US"/>
        </w:rPr>
        <w:t xml:space="preserve">also </w:t>
      </w:r>
      <w:r w:rsidRPr="00D81DCF">
        <w:rPr>
          <w:lang w:val="en-US"/>
        </w:rPr>
        <w:t>article 2 (3) of the African Charter on Democracy, Elections and Governance adopted on 30 January 2007. Burundi signed the Charter on</w:t>
      </w:r>
      <w:r>
        <w:rPr>
          <w:lang w:val="en-US"/>
        </w:rPr>
        <w:t xml:space="preserve"> </w:t>
      </w:r>
      <w:r w:rsidRPr="00D81DCF">
        <w:rPr>
          <w:lang w:val="en-US"/>
        </w:rPr>
        <w:t>20 June</w:t>
      </w:r>
      <w:r>
        <w:rPr>
          <w:lang w:val="en-US"/>
        </w:rPr>
        <w:t xml:space="preserve"> </w:t>
      </w:r>
      <w:r w:rsidRPr="00D81DCF">
        <w:rPr>
          <w:lang w:val="en-US"/>
        </w:rPr>
        <w:t>2007 but has not ratified it.</w:t>
      </w:r>
      <w:r>
        <w:rPr>
          <w:lang w:val="en-US"/>
        </w:rPr>
        <w:t xml:space="preserve"> </w:t>
      </w:r>
      <w:r w:rsidRPr="00D81DCF">
        <w:rPr>
          <w:lang w:val="en-US"/>
        </w:rPr>
        <w:t xml:space="preserve">According to international law regulating international treaties, as a signatory, Burundi is obligated to refrain from acts which would defeat the object and purpose of a treaty (Article 18 of the Vienna Convention on the Law of Treaties). See also point 2.3 of the 2000 Bamako Declaration of the International Organisation of </w:t>
      </w:r>
      <w:r>
        <w:rPr>
          <w:lang w:val="en-US"/>
        </w:rPr>
        <w:t>La</w:t>
      </w:r>
      <w:r w:rsidRPr="00D81DCF">
        <w:rPr>
          <w:lang w:val="en-US"/>
        </w:rPr>
        <w:t xml:space="preserve"> Francophonie, a regulatory text adopted by OIF Member States, including, Burundi</w:t>
      </w:r>
      <w:r>
        <w:rPr>
          <w:lang w:val="en-US"/>
        </w:rPr>
        <w:t>: “</w:t>
      </w:r>
      <w:r w:rsidRPr="00D81DCF">
        <w:rPr>
          <w:lang w:val="en-US"/>
        </w:rPr>
        <w:t>Democracy requires, in particular, the holding, at regular intervals, of free, fair and transparent elections, based on the respect and exercise, without any hindrance or discrimination, of the right to freedom and physical integrity for every voter and every candidate, the rights to freedom of opinion and expression, especially through the press and other communications media, freedom of assembly and demonstrat</w:t>
      </w:r>
      <w:r>
        <w:rPr>
          <w:lang w:val="en-US"/>
        </w:rPr>
        <w:t>ion, and freedom of association</w:t>
      </w:r>
      <w:r w:rsidRPr="00D81DCF">
        <w:rPr>
          <w:lang w:val="en-US"/>
        </w:rPr>
        <w:t>”.</w:t>
      </w:r>
    </w:p>
  </w:footnote>
  <w:footnote w:id="290">
    <w:p w14:paraId="218CE0DC" w14:textId="037A0663" w:rsidR="00662CCF" w:rsidRPr="00D81DCF" w:rsidRDefault="00662CCF" w:rsidP="00EC58CC">
      <w:pPr>
        <w:pStyle w:val="FootnoteText"/>
        <w:jc w:val="both"/>
        <w:rPr>
          <w:lang w:val="en-US"/>
        </w:rPr>
      </w:pPr>
      <w:r w:rsidRPr="00D81DCF">
        <w:rPr>
          <w:lang w:val="en-US"/>
        </w:rPr>
        <w:tab/>
      </w:r>
      <w:r w:rsidRPr="00485AE0">
        <w:rPr>
          <w:rStyle w:val="FootnoteReference"/>
          <w:lang w:val="fr-CH"/>
        </w:rPr>
        <w:footnoteRef/>
      </w:r>
      <w:r w:rsidRPr="00D81DCF">
        <w:rPr>
          <w:lang w:val="en-US"/>
        </w:rPr>
        <w:tab/>
        <w:t>Article 2 (6) of the African Charter on Democracy, Elections and Governance; adopted on 30 January 2007.</w:t>
      </w:r>
    </w:p>
  </w:footnote>
  <w:footnote w:id="291">
    <w:p w14:paraId="349B1DAE" w14:textId="7B53B5CA" w:rsidR="00662CCF" w:rsidRPr="009F479F" w:rsidRDefault="00662CCF" w:rsidP="00EC58CC">
      <w:pPr>
        <w:pStyle w:val="FootnoteText"/>
        <w:rPr>
          <w:lang w:val="en-US"/>
        </w:rPr>
      </w:pPr>
      <w:r w:rsidRPr="000576B2">
        <w:rPr>
          <w:lang w:val="en-US"/>
        </w:rPr>
        <w:tab/>
      </w:r>
      <w:r w:rsidRPr="00485AE0">
        <w:rPr>
          <w:rStyle w:val="FootnoteReference"/>
          <w:lang w:val="fr-CH"/>
        </w:rPr>
        <w:footnoteRef/>
      </w:r>
      <w:r w:rsidRPr="000576B2">
        <w:rPr>
          <w:lang w:val="en-US"/>
        </w:rPr>
        <w:tab/>
      </w:r>
      <w:r w:rsidRPr="009F479F">
        <w:rPr>
          <w:lang w:val="en-US"/>
        </w:rPr>
        <w:t>Articles 2 (6) and (10) of the African Charter on Democracy, Elections and Governance; adopted on 30 January 2007.</w:t>
      </w:r>
    </w:p>
  </w:footnote>
  <w:footnote w:id="292">
    <w:p w14:paraId="3DCE7A2C" w14:textId="5D910ED9" w:rsidR="00662CCF" w:rsidRPr="006E78C4" w:rsidRDefault="00662CCF" w:rsidP="00EC58CC">
      <w:pPr>
        <w:pStyle w:val="FootnoteText"/>
      </w:pPr>
      <w:r w:rsidRPr="009F479F">
        <w:rPr>
          <w:lang w:val="en-US"/>
        </w:rPr>
        <w:tab/>
      </w:r>
      <w:r w:rsidRPr="00485AE0">
        <w:rPr>
          <w:rStyle w:val="FootnoteReference"/>
          <w:lang w:val="fr-CH"/>
        </w:rPr>
        <w:footnoteRef/>
      </w:r>
      <w:r w:rsidRPr="006E78C4">
        <w:tab/>
      </w:r>
      <w:r>
        <w:t>See</w:t>
      </w:r>
      <w:r w:rsidRPr="006E78C4">
        <w:t xml:space="preserve"> OSCE, </w:t>
      </w:r>
      <w:r w:rsidRPr="00A302EF">
        <w:rPr>
          <w:i/>
        </w:rPr>
        <w:t>Handbook on Elections Observations</w:t>
      </w:r>
      <w:r w:rsidRPr="006E78C4">
        <w:t>, Sixth edition, 2010.</w:t>
      </w:r>
    </w:p>
  </w:footnote>
  <w:footnote w:id="293">
    <w:p w14:paraId="3531BB48" w14:textId="3B61A785" w:rsidR="00662CCF" w:rsidRPr="006E78C4" w:rsidRDefault="00662CCF" w:rsidP="00EC58CC">
      <w:pPr>
        <w:pStyle w:val="FootnoteText"/>
      </w:pPr>
      <w:r w:rsidRPr="006E78C4">
        <w:tab/>
      </w:r>
      <w:r w:rsidRPr="00485AE0">
        <w:rPr>
          <w:rStyle w:val="FootnoteReference"/>
          <w:lang w:val="fr-CH"/>
        </w:rPr>
        <w:footnoteRef/>
      </w:r>
      <w:r w:rsidRPr="006E78C4">
        <w:tab/>
        <w:t xml:space="preserve">OSCE, </w:t>
      </w:r>
      <w:r w:rsidRPr="00A302EF">
        <w:rPr>
          <w:i/>
        </w:rPr>
        <w:t>Handbook on Elections Observations</w:t>
      </w:r>
      <w:r w:rsidRPr="006E78C4">
        <w:t>, Sixth edition, 2010, p. 62.</w:t>
      </w:r>
    </w:p>
  </w:footnote>
  <w:footnote w:id="294">
    <w:p w14:paraId="4FEA9611" w14:textId="524EED85" w:rsidR="00662CCF" w:rsidRPr="009F479F" w:rsidRDefault="00662CCF" w:rsidP="00EC58CC">
      <w:pPr>
        <w:pStyle w:val="FootnoteText"/>
        <w:rPr>
          <w:lang w:val="en-US"/>
        </w:rPr>
      </w:pPr>
      <w:r w:rsidRPr="006E78C4">
        <w:tab/>
      </w:r>
      <w:r w:rsidRPr="00485AE0">
        <w:rPr>
          <w:rStyle w:val="FootnoteReference"/>
          <w:lang w:val="fr-CH"/>
        </w:rPr>
        <w:footnoteRef/>
      </w:r>
      <w:r w:rsidRPr="009F479F">
        <w:rPr>
          <w:lang w:val="en-US"/>
        </w:rPr>
        <w:tab/>
        <w:t xml:space="preserve">A/HRC/39/CRP.1, </w:t>
      </w:r>
      <w:r>
        <w:rPr>
          <w:lang w:val="en-US"/>
        </w:rPr>
        <w:t>para.</w:t>
      </w:r>
      <w:r w:rsidRPr="009F479F">
        <w:rPr>
          <w:lang w:val="en-US"/>
        </w:rPr>
        <w:t xml:space="preserve"> 29-36; 637-646; and </w:t>
      </w:r>
      <w:r>
        <w:rPr>
          <w:lang w:val="en-US"/>
        </w:rPr>
        <w:t>para.</w:t>
      </w:r>
      <w:r w:rsidRPr="009F479F">
        <w:rPr>
          <w:lang w:val="en-US"/>
        </w:rPr>
        <w:t xml:space="preserve"> 282-290, 317-318 and 482-497 of this report.</w:t>
      </w:r>
    </w:p>
  </w:footnote>
  <w:footnote w:id="295">
    <w:p w14:paraId="758BED01" w14:textId="3B22391F" w:rsidR="00662CCF" w:rsidRPr="009F479F" w:rsidRDefault="00662CCF" w:rsidP="00EC58CC">
      <w:pPr>
        <w:pStyle w:val="FootnoteText"/>
        <w:rPr>
          <w:lang w:val="en-US"/>
        </w:rPr>
      </w:pPr>
      <w:r w:rsidRPr="009F479F">
        <w:rPr>
          <w:lang w:val="en-US"/>
        </w:rPr>
        <w:tab/>
      </w:r>
      <w:r w:rsidRPr="00485AE0">
        <w:rPr>
          <w:rStyle w:val="FootnoteReference"/>
          <w:lang w:val="fr-CH"/>
        </w:rPr>
        <w:footnoteRef/>
      </w:r>
      <w:r w:rsidRPr="009F479F">
        <w:rPr>
          <w:lang w:val="en-US"/>
        </w:rPr>
        <w:tab/>
        <w:t xml:space="preserve">A/HRC/36/CRP.1/Rev.1, </w:t>
      </w:r>
      <w:r>
        <w:rPr>
          <w:lang w:val="en-US"/>
        </w:rPr>
        <w:t>para.</w:t>
      </w:r>
      <w:r w:rsidRPr="009F479F">
        <w:rPr>
          <w:lang w:val="en-US"/>
        </w:rPr>
        <w:t xml:space="preserve"> 500-613.</w:t>
      </w:r>
    </w:p>
  </w:footnote>
  <w:footnote w:id="296">
    <w:p w14:paraId="14102F9C" w14:textId="66BAE44F" w:rsidR="00662CCF" w:rsidRPr="009F479F" w:rsidRDefault="00662CCF" w:rsidP="00EC58CC">
      <w:pPr>
        <w:pStyle w:val="FootnoteText"/>
        <w:rPr>
          <w:lang w:val="en-US"/>
        </w:rPr>
      </w:pPr>
      <w:r w:rsidRPr="009F479F">
        <w:rPr>
          <w:lang w:val="en-US"/>
        </w:rPr>
        <w:tab/>
      </w:r>
      <w:r w:rsidRPr="00485AE0">
        <w:rPr>
          <w:rStyle w:val="FootnoteReference"/>
          <w:lang w:val="fr-CH"/>
        </w:rPr>
        <w:footnoteRef/>
      </w:r>
      <w:r w:rsidRPr="009F479F">
        <w:rPr>
          <w:lang w:val="en-US"/>
        </w:rPr>
        <w:tab/>
        <w:t xml:space="preserve">A/HRC/39/CRP.1, </w:t>
      </w:r>
      <w:r>
        <w:rPr>
          <w:lang w:val="en-US"/>
        </w:rPr>
        <w:t>para.</w:t>
      </w:r>
      <w:r w:rsidRPr="009F479F">
        <w:rPr>
          <w:lang w:val="en-US"/>
        </w:rPr>
        <w:t xml:space="preserve"> 390-461; and </w:t>
      </w:r>
      <w:r>
        <w:rPr>
          <w:lang w:val="en-US"/>
        </w:rPr>
        <w:t>para.</w:t>
      </w:r>
      <w:r w:rsidRPr="009F479F">
        <w:rPr>
          <w:lang w:val="en-US"/>
        </w:rPr>
        <w:t xml:space="preserve"> 214-235 and 241-252 of this report.</w:t>
      </w:r>
    </w:p>
  </w:footnote>
  <w:footnote w:id="297">
    <w:p w14:paraId="4BFF2B0B" w14:textId="77777777" w:rsidR="00662CCF" w:rsidRPr="009F479F" w:rsidRDefault="00662CCF" w:rsidP="00EC58CC">
      <w:pPr>
        <w:pStyle w:val="FootnoteText"/>
        <w:rPr>
          <w:lang w:val="en-US"/>
        </w:rPr>
      </w:pPr>
      <w:r w:rsidRPr="000576B2">
        <w:rPr>
          <w:lang w:val="en-US"/>
        </w:rPr>
        <w:tab/>
      </w:r>
      <w:r w:rsidRPr="00485AE0">
        <w:rPr>
          <w:rStyle w:val="FootnoteReference"/>
          <w:lang w:val="fr-CH"/>
        </w:rPr>
        <w:footnoteRef/>
      </w:r>
      <w:r w:rsidRPr="000576B2">
        <w:rPr>
          <w:lang w:val="en-US"/>
        </w:rPr>
        <w:tab/>
      </w:r>
      <w:r w:rsidRPr="009F479F">
        <w:rPr>
          <w:lang w:val="en-US"/>
        </w:rPr>
        <w:t>Paragraph 10 of the Human Rights Council Resolution 36/2.</w:t>
      </w:r>
    </w:p>
  </w:footnote>
  <w:footnote w:id="298">
    <w:p w14:paraId="172327C1" w14:textId="5EF0D548" w:rsidR="00662CCF" w:rsidRPr="009F479F" w:rsidRDefault="00662CCF" w:rsidP="00EC58CC">
      <w:pPr>
        <w:pStyle w:val="FootnoteText"/>
        <w:rPr>
          <w:lang w:val="en-US"/>
        </w:rPr>
      </w:pPr>
      <w:r w:rsidRPr="009F479F">
        <w:rPr>
          <w:lang w:val="en-US"/>
        </w:rPr>
        <w:tab/>
      </w:r>
      <w:r w:rsidRPr="00485AE0">
        <w:rPr>
          <w:rStyle w:val="FootnoteReference"/>
          <w:lang w:val="fr-CH"/>
        </w:rPr>
        <w:footnoteRef/>
      </w:r>
      <w:r w:rsidRPr="009F479F">
        <w:rPr>
          <w:lang w:val="en-US"/>
        </w:rPr>
        <w:tab/>
        <w:t xml:space="preserve">See A/HRC/36/CRP.1/Rev.1, </w:t>
      </w:r>
      <w:r>
        <w:rPr>
          <w:lang w:val="en-US"/>
        </w:rPr>
        <w:t>para.</w:t>
      </w:r>
      <w:r w:rsidRPr="009F479F">
        <w:rPr>
          <w:lang w:val="en-US"/>
        </w:rPr>
        <w:t xml:space="preserve"> 150-457.</w:t>
      </w:r>
    </w:p>
  </w:footnote>
  <w:footnote w:id="299">
    <w:p w14:paraId="3AB8DA06" w14:textId="77777777" w:rsidR="00662CCF" w:rsidRPr="009F479F" w:rsidRDefault="00662CCF" w:rsidP="00EC58CC">
      <w:pPr>
        <w:pStyle w:val="FootnoteText"/>
        <w:rPr>
          <w:lang w:val="en-US"/>
        </w:rPr>
      </w:pPr>
      <w:r w:rsidRPr="009F479F">
        <w:rPr>
          <w:lang w:val="en-US"/>
        </w:rPr>
        <w:tab/>
      </w:r>
      <w:r w:rsidRPr="00485AE0">
        <w:rPr>
          <w:rStyle w:val="FootnoteReference"/>
          <w:lang w:val="fr-CH"/>
        </w:rPr>
        <w:footnoteRef/>
      </w:r>
      <w:r w:rsidRPr="009F479F">
        <w:rPr>
          <w:lang w:val="en-US"/>
        </w:rPr>
        <w:tab/>
        <w:t>Law n°1/04 of 5 January 2011.</w:t>
      </w:r>
    </w:p>
  </w:footnote>
  <w:footnote w:id="300">
    <w:p w14:paraId="6090F9E2" w14:textId="77777777" w:rsidR="00662CCF" w:rsidRPr="009F479F" w:rsidRDefault="00662CCF" w:rsidP="00EC58CC">
      <w:pPr>
        <w:pStyle w:val="FootnoteText"/>
        <w:rPr>
          <w:lang w:val="en-US"/>
        </w:rPr>
      </w:pPr>
      <w:r w:rsidRPr="009F479F">
        <w:rPr>
          <w:lang w:val="en-US"/>
        </w:rPr>
        <w:tab/>
      </w:r>
      <w:r w:rsidRPr="00485AE0">
        <w:rPr>
          <w:rStyle w:val="FootnoteReference"/>
          <w:lang w:val="fr-CH"/>
        </w:rPr>
        <w:footnoteRef/>
      </w:r>
      <w:r w:rsidRPr="009F479F">
        <w:rPr>
          <w:lang w:val="en-US"/>
        </w:rPr>
        <w:tab/>
      </w:r>
      <w:hyperlink r:id="rId80" w:history="1">
        <w:r w:rsidRPr="009F479F">
          <w:rPr>
            <w:lang w:val="en-US"/>
          </w:rPr>
          <w:t>https://cnidh.bi/mandat</w:t>
        </w:r>
      </w:hyperlink>
      <w:r w:rsidRPr="009F479F">
        <w:rPr>
          <w:lang w:val="en-US"/>
        </w:rPr>
        <w:t>.</w:t>
      </w:r>
    </w:p>
  </w:footnote>
  <w:footnote w:id="301">
    <w:p w14:paraId="34CF4DE9" w14:textId="306EAEAF" w:rsidR="00662CCF" w:rsidRPr="009F479F" w:rsidRDefault="00662CCF" w:rsidP="00EC58CC">
      <w:pPr>
        <w:pStyle w:val="FootnoteText"/>
        <w:rPr>
          <w:lang w:val="en-US"/>
        </w:rPr>
      </w:pPr>
      <w:r w:rsidRPr="009F479F">
        <w:rPr>
          <w:lang w:val="en-US"/>
        </w:rPr>
        <w:tab/>
      </w:r>
      <w:r w:rsidRPr="00485AE0">
        <w:rPr>
          <w:rStyle w:val="FootnoteReference"/>
          <w:lang w:val="fr-CH"/>
        </w:rPr>
        <w:footnoteRef/>
      </w:r>
      <w:r w:rsidRPr="009F479F">
        <w:rPr>
          <w:lang w:val="en-US"/>
        </w:rPr>
        <w:tab/>
        <w:t xml:space="preserve">See A/HRC/36/CRP.1, </w:t>
      </w:r>
      <w:r>
        <w:rPr>
          <w:lang w:val="en-US"/>
        </w:rPr>
        <w:t>para.</w:t>
      </w:r>
      <w:r w:rsidRPr="009F479F">
        <w:rPr>
          <w:lang w:val="en-US"/>
        </w:rPr>
        <w:t xml:space="preserve"> 150 to 155 and A/HRC/39/CRP.1, </w:t>
      </w:r>
      <w:r>
        <w:rPr>
          <w:lang w:val="en-US"/>
        </w:rPr>
        <w:t>para.</w:t>
      </w:r>
      <w:r w:rsidRPr="009F479F">
        <w:rPr>
          <w:lang w:val="en-US"/>
        </w:rPr>
        <w:t xml:space="preserve"> 759.</w:t>
      </w:r>
    </w:p>
  </w:footnote>
  <w:footnote w:id="302">
    <w:p w14:paraId="0FECB253" w14:textId="77777777" w:rsidR="00662CCF" w:rsidRPr="009F479F" w:rsidRDefault="00662CCF" w:rsidP="00EC58CC">
      <w:pPr>
        <w:pStyle w:val="FootnoteText"/>
        <w:rPr>
          <w:lang w:val="en-US"/>
        </w:rPr>
      </w:pPr>
      <w:r w:rsidRPr="000576B2">
        <w:rPr>
          <w:lang w:val="en-US"/>
        </w:rPr>
        <w:tab/>
      </w:r>
      <w:r w:rsidRPr="00485AE0">
        <w:rPr>
          <w:rStyle w:val="FootnoteReference"/>
          <w:lang w:val="fr-CH"/>
        </w:rPr>
        <w:footnoteRef/>
      </w:r>
      <w:r w:rsidRPr="000576B2">
        <w:rPr>
          <w:lang w:val="en-US"/>
        </w:rPr>
        <w:tab/>
      </w:r>
      <w:r w:rsidRPr="009F479F">
        <w:rPr>
          <w:lang w:val="en-US"/>
        </w:rPr>
        <w:t>A/HRC/39/63 and A/HRC/39/CRP.1</w:t>
      </w:r>
    </w:p>
  </w:footnote>
  <w:footnote w:id="303">
    <w:p w14:paraId="0681C2FE" w14:textId="77777777" w:rsidR="00662CCF" w:rsidRPr="009F479F" w:rsidRDefault="00662CCF" w:rsidP="00EC58CC">
      <w:pPr>
        <w:pStyle w:val="FootnoteText"/>
        <w:rPr>
          <w:lang w:val="en-US"/>
        </w:rPr>
      </w:pPr>
      <w:r w:rsidRPr="009F479F">
        <w:rPr>
          <w:lang w:val="en-US"/>
        </w:rPr>
        <w:tab/>
      </w:r>
      <w:r w:rsidRPr="00485AE0">
        <w:rPr>
          <w:rStyle w:val="FootnoteReference"/>
          <w:lang w:val="fr-CH"/>
        </w:rPr>
        <w:footnoteRef/>
      </w:r>
      <w:r w:rsidRPr="009F479F">
        <w:rPr>
          <w:lang w:val="en-US"/>
        </w:rPr>
        <w:tab/>
      </w:r>
      <w:hyperlink r:id="rId81" w:history="1">
        <w:r w:rsidRPr="009F479F">
          <w:rPr>
            <w:rStyle w:val="Hyperlink"/>
            <w:lang w:val="en-US"/>
          </w:rPr>
          <w:t>https://cnidh.bi/d%C3%A9claration%2Cde%2Cla%2Ccnidh%2Csuite%2Cau%2Crapport%2Cde%2Cla%2Ccommission%2Cd%E2%80%99enqu%C3%AAte%2Csur%2Cle%2Cburundi</w:t>
        </w:r>
      </w:hyperlink>
      <w:r w:rsidRPr="009F479F">
        <w:rPr>
          <w:lang w:val="en-US"/>
        </w:rPr>
        <w:t>.</w:t>
      </w:r>
    </w:p>
  </w:footnote>
  <w:footnote w:id="304">
    <w:p w14:paraId="3B223D86" w14:textId="262C657D" w:rsidR="00662CCF" w:rsidRPr="009F479F" w:rsidRDefault="00662CCF" w:rsidP="00EC58CC">
      <w:pPr>
        <w:pStyle w:val="FootnoteText"/>
        <w:rPr>
          <w:lang w:val="en-US"/>
        </w:rPr>
      </w:pPr>
      <w:r w:rsidRPr="009F479F">
        <w:rPr>
          <w:rStyle w:val="FootnoteReference"/>
          <w:lang w:val="en-US"/>
        </w:rPr>
        <w:tab/>
      </w:r>
      <w:r w:rsidRPr="00485AE0">
        <w:rPr>
          <w:rStyle w:val="FootnoteReference"/>
          <w:lang w:val="fr-CH"/>
        </w:rPr>
        <w:footnoteRef/>
      </w:r>
      <w:r w:rsidRPr="009F479F">
        <w:rPr>
          <w:rStyle w:val="FootnoteReference"/>
          <w:lang w:val="en-US"/>
        </w:rPr>
        <w:tab/>
      </w:r>
      <w:r w:rsidRPr="009F479F">
        <w:rPr>
          <w:lang w:val="en-US"/>
        </w:rPr>
        <w:t xml:space="preserve">Article 243 of the 2018 </w:t>
      </w:r>
      <w:r>
        <w:rPr>
          <w:lang w:val="en-US"/>
        </w:rPr>
        <w:t>C</w:t>
      </w:r>
      <w:r w:rsidRPr="009F479F">
        <w:rPr>
          <w:lang w:val="en-US"/>
        </w:rPr>
        <w:t>onstitution.</w:t>
      </w:r>
    </w:p>
  </w:footnote>
  <w:footnote w:id="305">
    <w:p w14:paraId="2B9F20D0" w14:textId="52CE0C94" w:rsidR="00662CCF" w:rsidRPr="009F479F" w:rsidRDefault="00662CCF" w:rsidP="00EC58CC">
      <w:pPr>
        <w:pStyle w:val="FootnoteText"/>
        <w:rPr>
          <w:lang w:val="en-US"/>
        </w:rPr>
      </w:pPr>
      <w:r w:rsidRPr="009F479F">
        <w:rPr>
          <w:lang w:val="en-US"/>
        </w:rPr>
        <w:tab/>
      </w:r>
      <w:r w:rsidRPr="00485AE0">
        <w:rPr>
          <w:rStyle w:val="FootnoteReference"/>
          <w:lang w:val="fr-CH"/>
        </w:rPr>
        <w:footnoteRef/>
      </w:r>
      <w:r w:rsidRPr="009F479F">
        <w:rPr>
          <w:lang w:val="en-US"/>
        </w:rPr>
        <w:tab/>
        <w:t xml:space="preserve">See </w:t>
      </w:r>
      <w:r>
        <w:rPr>
          <w:lang w:val="en-US"/>
        </w:rPr>
        <w:t>para.</w:t>
      </w:r>
      <w:r w:rsidRPr="009F479F">
        <w:rPr>
          <w:lang w:val="en-US"/>
        </w:rPr>
        <w:t xml:space="preserve"> 442-443 of this report. </w:t>
      </w:r>
    </w:p>
  </w:footnote>
  <w:footnote w:id="306">
    <w:p w14:paraId="12BA8AF4" w14:textId="77777777" w:rsidR="00662CCF" w:rsidRPr="009F479F" w:rsidRDefault="00662CCF" w:rsidP="00EC58CC">
      <w:pPr>
        <w:pStyle w:val="FootnoteText"/>
        <w:rPr>
          <w:lang w:val="en-US"/>
        </w:rPr>
      </w:pPr>
      <w:r w:rsidRPr="009F479F">
        <w:rPr>
          <w:lang w:val="en-US"/>
        </w:rPr>
        <w:tab/>
      </w:r>
      <w:r w:rsidRPr="00485AE0">
        <w:rPr>
          <w:rStyle w:val="FootnoteReference"/>
          <w:lang w:val="fr-CH"/>
        </w:rPr>
        <w:footnoteRef/>
      </w:r>
      <w:r w:rsidRPr="009F479F">
        <w:rPr>
          <w:lang w:val="en-US"/>
        </w:rPr>
        <w:tab/>
      </w:r>
      <w:hyperlink r:id="rId82" w:history="1">
        <w:r w:rsidRPr="009F479F">
          <w:rPr>
            <w:lang w:val="en-US"/>
          </w:rPr>
          <w:t>https://twitter.com/OmbudsmanBI/status/1113690268237291520</w:t>
        </w:r>
      </w:hyperlink>
      <w:r w:rsidRPr="009F479F">
        <w:rPr>
          <w:lang w:val="en-US"/>
        </w:rPr>
        <w:t xml:space="preserve">; </w:t>
      </w:r>
      <w:hyperlink r:id="rId83" w:history="1">
        <w:r w:rsidRPr="009F479F">
          <w:rPr>
            <w:lang w:val="en-US"/>
          </w:rPr>
          <w:t>https://twitter.com/OmbudsmanBI/status/1126424492551614464</w:t>
        </w:r>
      </w:hyperlink>
      <w:r w:rsidRPr="009F479F">
        <w:rPr>
          <w:lang w:val="en-US"/>
        </w:rPr>
        <w:t>.</w:t>
      </w:r>
    </w:p>
  </w:footnote>
  <w:footnote w:id="307">
    <w:p w14:paraId="19717FBF" w14:textId="77777777" w:rsidR="00662CCF" w:rsidRPr="009F479F" w:rsidRDefault="00662CCF" w:rsidP="00EC58CC">
      <w:pPr>
        <w:pStyle w:val="FootnoteText"/>
        <w:rPr>
          <w:lang w:val="en-US"/>
        </w:rPr>
      </w:pPr>
      <w:r w:rsidRPr="009F479F">
        <w:rPr>
          <w:lang w:val="en-US"/>
        </w:rPr>
        <w:tab/>
      </w:r>
      <w:r w:rsidRPr="00485AE0">
        <w:rPr>
          <w:rStyle w:val="FootnoteReference"/>
          <w:lang w:val="fr-CH"/>
        </w:rPr>
        <w:footnoteRef/>
      </w:r>
      <w:r w:rsidRPr="009F479F">
        <w:rPr>
          <w:lang w:val="en-US"/>
        </w:rPr>
        <w:tab/>
      </w:r>
      <w:hyperlink r:id="rId84" w:history="1">
        <w:r w:rsidRPr="009F479F">
          <w:rPr>
            <w:lang w:val="en-US"/>
          </w:rPr>
          <w:t>https://twitter.com/OmbudsmanBI/status/1162806191912837120</w:t>
        </w:r>
      </w:hyperlink>
      <w:r w:rsidRPr="009F479F">
        <w:rPr>
          <w:lang w:val="en-US"/>
        </w:rPr>
        <w:t>.</w:t>
      </w:r>
    </w:p>
  </w:footnote>
  <w:footnote w:id="308">
    <w:p w14:paraId="323E7258" w14:textId="77777777" w:rsidR="00662CCF" w:rsidRPr="009F479F" w:rsidRDefault="00662CCF" w:rsidP="00EC58CC">
      <w:pPr>
        <w:pStyle w:val="FootnoteText"/>
        <w:rPr>
          <w:lang w:val="en-US"/>
        </w:rPr>
      </w:pPr>
      <w:r w:rsidRPr="009F479F">
        <w:rPr>
          <w:lang w:val="en-US"/>
        </w:rPr>
        <w:tab/>
      </w:r>
      <w:r w:rsidRPr="00485AE0">
        <w:rPr>
          <w:rStyle w:val="FootnoteReference"/>
          <w:lang w:val="fr-CH"/>
        </w:rPr>
        <w:footnoteRef/>
      </w:r>
      <w:r w:rsidRPr="009F479F">
        <w:rPr>
          <w:lang w:val="en-US"/>
        </w:rPr>
        <w:tab/>
      </w:r>
      <w:hyperlink r:id="rId85" w:history="1">
        <w:r w:rsidRPr="009F479F">
          <w:rPr>
            <w:lang w:val="en-US"/>
          </w:rPr>
          <w:t>https://twitter.com/OmbudsmanBI/status/1162806025411543050</w:t>
        </w:r>
      </w:hyperlink>
      <w:r w:rsidRPr="009F479F">
        <w:rPr>
          <w:lang w:val="en-US"/>
        </w:rPr>
        <w:t>.</w:t>
      </w:r>
    </w:p>
  </w:footnote>
  <w:footnote w:id="309">
    <w:p w14:paraId="20B5570A" w14:textId="77777777" w:rsidR="00662CCF" w:rsidRPr="009F479F" w:rsidRDefault="00662CCF" w:rsidP="00EC58CC">
      <w:pPr>
        <w:pStyle w:val="FootnoteText"/>
        <w:rPr>
          <w:lang w:val="en-US"/>
        </w:rPr>
      </w:pPr>
      <w:r w:rsidRPr="009F479F">
        <w:rPr>
          <w:lang w:val="en-US"/>
        </w:rPr>
        <w:tab/>
      </w:r>
      <w:r w:rsidRPr="00485AE0">
        <w:rPr>
          <w:rStyle w:val="FootnoteReference"/>
          <w:lang w:val="fr-CH"/>
        </w:rPr>
        <w:footnoteRef/>
      </w:r>
      <w:r w:rsidRPr="009F479F">
        <w:rPr>
          <w:lang w:val="en-US"/>
        </w:rPr>
        <w:tab/>
      </w:r>
      <w:hyperlink r:id="rId86" w:history="1">
        <w:r w:rsidRPr="009F479F">
          <w:rPr>
            <w:lang w:val="en-US"/>
          </w:rPr>
          <w:t>https://twitter.com/OmbudsmanBI/status/1038086255706341377</w:t>
        </w:r>
      </w:hyperlink>
      <w:r w:rsidRPr="009F479F">
        <w:rPr>
          <w:lang w:val="en-US"/>
        </w:rPr>
        <w:t xml:space="preserve">, </w:t>
      </w:r>
      <w:hyperlink r:id="rId87" w:history="1">
        <w:r w:rsidRPr="009F479F">
          <w:rPr>
            <w:lang w:val="en-US"/>
          </w:rPr>
          <w:t>https://twitter.com/OmbudsmanBI/status/1113827034759925761</w:t>
        </w:r>
      </w:hyperlink>
      <w:r w:rsidRPr="009F479F">
        <w:rPr>
          <w:lang w:val="en-US"/>
        </w:rPr>
        <w:t xml:space="preserve">, </w:t>
      </w:r>
      <w:hyperlink r:id="rId88" w:history="1">
        <w:r w:rsidRPr="009F479F">
          <w:rPr>
            <w:lang w:val="en-US"/>
          </w:rPr>
          <w:t>https://twitter.com/OmbudsmanBI/status/1038086255706341377</w:t>
        </w:r>
      </w:hyperlink>
      <w:r w:rsidRPr="009F479F">
        <w:rPr>
          <w:lang w:val="en-US"/>
        </w:rPr>
        <w:t xml:space="preserve">, </w:t>
      </w:r>
      <w:hyperlink r:id="rId89" w:history="1">
        <w:r w:rsidRPr="009F479F">
          <w:rPr>
            <w:lang w:val="en-US"/>
          </w:rPr>
          <w:t>https://twitter.com/OmbudsmanBI/status/1114157070302044161</w:t>
        </w:r>
      </w:hyperlink>
      <w:r w:rsidRPr="009F479F">
        <w:rPr>
          <w:lang w:val="en-US"/>
        </w:rPr>
        <w:t>.</w:t>
      </w:r>
    </w:p>
  </w:footnote>
  <w:footnote w:id="310">
    <w:p w14:paraId="67D8CF88" w14:textId="77777777" w:rsidR="00662CCF" w:rsidRPr="009F479F" w:rsidRDefault="00662CCF" w:rsidP="00EC58CC">
      <w:pPr>
        <w:pStyle w:val="FootnoteText"/>
        <w:rPr>
          <w:lang w:val="en-US"/>
        </w:rPr>
      </w:pPr>
      <w:r w:rsidRPr="009F479F">
        <w:rPr>
          <w:lang w:val="en-US"/>
        </w:rPr>
        <w:tab/>
      </w:r>
      <w:r w:rsidRPr="00485AE0">
        <w:rPr>
          <w:rStyle w:val="FootnoteReference"/>
          <w:lang w:val="fr-CH"/>
        </w:rPr>
        <w:footnoteRef/>
      </w:r>
      <w:r w:rsidRPr="009F479F">
        <w:rPr>
          <w:lang w:val="en-US"/>
        </w:rPr>
        <w:tab/>
      </w:r>
      <w:hyperlink r:id="rId90" w:history="1">
        <w:r w:rsidRPr="009F479F">
          <w:rPr>
            <w:lang w:val="en-US"/>
          </w:rPr>
          <w:t>https://burundi-agnews.org/institutions/burundi-ombudsman-linclusivite-sociale-constatee-lors-du-referendum-2018/</w:t>
        </w:r>
      </w:hyperlink>
      <w:r w:rsidRPr="009F479F">
        <w:rPr>
          <w:lang w:val="en-US"/>
        </w:rPr>
        <w:t>.</w:t>
      </w:r>
    </w:p>
  </w:footnote>
  <w:footnote w:id="311">
    <w:p w14:paraId="039E7764" w14:textId="77777777" w:rsidR="00662CCF" w:rsidRPr="009F479F" w:rsidRDefault="00662CCF" w:rsidP="00EC58CC">
      <w:pPr>
        <w:pStyle w:val="FootnoteText"/>
        <w:rPr>
          <w:lang w:val="en-US"/>
        </w:rPr>
      </w:pPr>
      <w:r w:rsidRPr="009F479F">
        <w:rPr>
          <w:lang w:val="en-US"/>
        </w:rPr>
        <w:tab/>
      </w:r>
      <w:r w:rsidRPr="00485AE0">
        <w:rPr>
          <w:rStyle w:val="FootnoteReference"/>
          <w:lang w:val="fr-CH"/>
        </w:rPr>
        <w:footnoteRef/>
      </w:r>
      <w:r w:rsidRPr="009F479F">
        <w:rPr>
          <w:lang w:val="en-US"/>
        </w:rPr>
        <w:tab/>
      </w:r>
      <w:hyperlink r:id="rId91" w:history="1">
        <w:r w:rsidRPr="009F479F">
          <w:rPr>
            <w:lang w:val="en-US"/>
          </w:rPr>
          <w:t>https://twitter.com/OmbudsmanBI/status/1141406557026099202</w:t>
        </w:r>
      </w:hyperlink>
      <w:r w:rsidRPr="009F479F">
        <w:rPr>
          <w:lang w:val="en-US"/>
        </w:rPr>
        <w:t xml:space="preserve">; </w:t>
      </w:r>
      <w:hyperlink r:id="rId92" w:history="1">
        <w:r w:rsidRPr="009F479F">
          <w:rPr>
            <w:lang w:val="en-US"/>
          </w:rPr>
          <w:t>https://twitter.com/OmbudsmanBI/status/1141406574650503168</w:t>
        </w:r>
      </w:hyperlink>
      <w:r w:rsidRPr="009F479F">
        <w:rPr>
          <w:lang w:val="en-US"/>
        </w:rPr>
        <w:t>.</w:t>
      </w:r>
    </w:p>
  </w:footnote>
  <w:footnote w:id="312">
    <w:p w14:paraId="7156E8C7" w14:textId="7A8D7393" w:rsidR="00662CCF" w:rsidRPr="00DA353E" w:rsidRDefault="00662CCF" w:rsidP="00EC58CC">
      <w:pPr>
        <w:pStyle w:val="FootnoteText"/>
        <w:rPr>
          <w:lang w:val="en-US"/>
        </w:rPr>
      </w:pPr>
      <w:r w:rsidRPr="000576B2">
        <w:rPr>
          <w:lang w:val="en-US"/>
        </w:rPr>
        <w:tab/>
      </w:r>
      <w:r w:rsidRPr="00485AE0">
        <w:rPr>
          <w:rStyle w:val="FootnoteReference"/>
          <w:lang w:val="fr-CH"/>
        </w:rPr>
        <w:footnoteRef/>
      </w:r>
      <w:r w:rsidRPr="000576B2">
        <w:rPr>
          <w:lang w:val="en-US"/>
        </w:rPr>
        <w:tab/>
      </w:r>
      <w:r w:rsidRPr="00DA353E">
        <w:rPr>
          <w:lang w:val="en-US"/>
        </w:rPr>
        <w:t>Article 268 of the 2005 Constitution.</w:t>
      </w:r>
    </w:p>
  </w:footnote>
  <w:footnote w:id="313">
    <w:p w14:paraId="2E2D1600" w14:textId="78B08A57" w:rsidR="00662CCF" w:rsidRPr="00DA353E" w:rsidRDefault="00662CCF" w:rsidP="00EC58CC">
      <w:pPr>
        <w:pStyle w:val="FootnoteText"/>
        <w:rPr>
          <w:lang w:val="en-US"/>
        </w:rPr>
      </w:pPr>
      <w:r w:rsidRPr="00DA353E">
        <w:rPr>
          <w:lang w:val="en-US"/>
        </w:rPr>
        <w:tab/>
      </w:r>
      <w:r w:rsidRPr="00485AE0">
        <w:rPr>
          <w:rStyle w:val="FootnoteReference"/>
          <w:lang w:val="fr-CH"/>
        </w:rPr>
        <w:footnoteRef/>
      </w:r>
      <w:r w:rsidRPr="00DA353E">
        <w:rPr>
          <w:lang w:val="en-US"/>
        </w:rPr>
        <w:tab/>
        <w:t xml:space="preserve">Organic </w:t>
      </w:r>
      <w:r w:rsidR="00A302EF">
        <w:rPr>
          <w:lang w:val="en-US"/>
        </w:rPr>
        <w:t>l</w:t>
      </w:r>
      <w:r w:rsidRPr="00DA353E">
        <w:rPr>
          <w:lang w:val="en-US"/>
        </w:rPr>
        <w:t>aw</w:t>
      </w:r>
      <w:r>
        <w:rPr>
          <w:lang w:val="en-US"/>
        </w:rPr>
        <w:t xml:space="preserve"> n°</w:t>
      </w:r>
      <w:r w:rsidRPr="00DA353E">
        <w:rPr>
          <w:lang w:val="en-US"/>
        </w:rPr>
        <w:t>1/25 of 23 December 2017.</w:t>
      </w:r>
    </w:p>
  </w:footnote>
  <w:footnote w:id="314">
    <w:p w14:paraId="12B1D3A5" w14:textId="3BE9A729" w:rsidR="00662CCF" w:rsidRPr="00DA353E" w:rsidRDefault="00662CCF" w:rsidP="00EC58CC">
      <w:pPr>
        <w:pStyle w:val="FootnoteText"/>
        <w:rPr>
          <w:lang w:val="en-US"/>
        </w:rPr>
      </w:pPr>
      <w:r w:rsidRPr="00DA353E">
        <w:rPr>
          <w:lang w:val="en-US"/>
        </w:rPr>
        <w:tab/>
      </w:r>
      <w:r w:rsidRPr="00485AE0">
        <w:rPr>
          <w:rStyle w:val="FootnoteReference"/>
          <w:lang w:val="fr-CH"/>
        </w:rPr>
        <w:footnoteRef/>
      </w:r>
      <w:r w:rsidRPr="00DA353E">
        <w:rPr>
          <w:lang w:val="en-US"/>
        </w:rPr>
        <w:tab/>
        <w:t>Presidential Decree</w:t>
      </w:r>
      <w:r>
        <w:rPr>
          <w:lang w:val="en-US"/>
        </w:rPr>
        <w:t xml:space="preserve"> n°</w:t>
      </w:r>
      <w:r w:rsidRPr="00DA353E">
        <w:rPr>
          <w:lang w:val="en-US"/>
        </w:rPr>
        <w:t>100/257 of 29 December 2017.</w:t>
      </w:r>
    </w:p>
  </w:footnote>
  <w:footnote w:id="315">
    <w:p w14:paraId="4B112C05" w14:textId="77777777" w:rsidR="00662CCF" w:rsidRPr="00DA353E" w:rsidRDefault="00662CCF" w:rsidP="00EC58CC">
      <w:pPr>
        <w:pStyle w:val="FootnoteText"/>
        <w:rPr>
          <w:lang w:val="en-US"/>
        </w:rPr>
      </w:pPr>
      <w:r w:rsidRPr="00DA353E">
        <w:rPr>
          <w:lang w:val="en-US"/>
        </w:rPr>
        <w:tab/>
      </w:r>
      <w:r w:rsidRPr="00485AE0">
        <w:rPr>
          <w:rStyle w:val="FootnoteReference"/>
          <w:lang w:val="fr-CH"/>
        </w:rPr>
        <w:footnoteRef/>
      </w:r>
      <w:r w:rsidRPr="00DA353E">
        <w:rPr>
          <w:lang w:val="en-US"/>
        </w:rPr>
        <w:tab/>
      </w:r>
      <w:hyperlink r:id="rId93" w:history="1">
        <w:r w:rsidRPr="00DA353E">
          <w:rPr>
            <w:rStyle w:val="Hyperlink"/>
            <w:lang w:val="en-US"/>
          </w:rPr>
          <w:t>https://www.aa.com.tr/fr/afrique/burundi-r%C3%A9f%C3%A9rendum-l-observatoire-de-pr%C3%A9vention-du-g%C3%A9nocide-demande-des-observateurs-internationaux/1076413</w:t>
        </w:r>
      </w:hyperlink>
      <w:r w:rsidRPr="00DA353E">
        <w:rPr>
          <w:lang w:val="en-US"/>
        </w:rPr>
        <w:t>.</w:t>
      </w:r>
    </w:p>
  </w:footnote>
  <w:footnote w:id="316">
    <w:p w14:paraId="6CD295CE" w14:textId="77777777" w:rsidR="00662CCF" w:rsidRPr="00DA353E" w:rsidRDefault="00662CCF" w:rsidP="00EC58CC">
      <w:pPr>
        <w:pStyle w:val="FootnoteText"/>
        <w:rPr>
          <w:lang w:val="en-US"/>
        </w:rPr>
      </w:pPr>
      <w:r w:rsidRPr="00DA353E">
        <w:rPr>
          <w:lang w:val="en-US"/>
        </w:rPr>
        <w:tab/>
      </w:r>
      <w:r w:rsidRPr="00485AE0">
        <w:rPr>
          <w:rStyle w:val="FootnoteReference"/>
          <w:lang w:val="fr-CH"/>
        </w:rPr>
        <w:footnoteRef/>
      </w:r>
      <w:r w:rsidRPr="00DA353E">
        <w:rPr>
          <w:lang w:val="en-US"/>
        </w:rPr>
        <w:tab/>
      </w:r>
      <w:hyperlink r:id="rId94" w:history="1">
        <w:r w:rsidRPr="00DA353E">
          <w:rPr>
            <w:lang w:val="en-US"/>
          </w:rPr>
          <w:t>https://ppbdi.com/index.php/ubum/imibano/10000-observatoire-national-pour-la-prevention-du-genocide-communique</w:t>
        </w:r>
      </w:hyperlink>
      <w:r w:rsidRPr="00DA353E">
        <w:rPr>
          <w:lang w:val="en-US"/>
        </w:rPr>
        <w:t>.</w:t>
      </w:r>
    </w:p>
  </w:footnote>
  <w:footnote w:id="317">
    <w:p w14:paraId="65C9DF71" w14:textId="77777777" w:rsidR="00662CCF" w:rsidRPr="00DA353E" w:rsidRDefault="00662CCF" w:rsidP="00EC58CC">
      <w:pPr>
        <w:pStyle w:val="FootnoteText"/>
        <w:rPr>
          <w:lang w:val="en-US"/>
        </w:rPr>
      </w:pPr>
      <w:r w:rsidRPr="00DA353E">
        <w:rPr>
          <w:lang w:val="en-US"/>
        </w:rPr>
        <w:tab/>
      </w:r>
      <w:r w:rsidRPr="00485AE0">
        <w:rPr>
          <w:rStyle w:val="FootnoteReference"/>
          <w:lang w:val="fr-CH"/>
        </w:rPr>
        <w:footnoteRef/>
      </w:r>
      <w:r w:rsidRPr="00DA353E">
        <w:rPr>
          <w:lang w:val="en-US"/>
        </w:rPr>
        <w:tab/>
      </w:r>
      <w:hyperlink r:id="rId95" w:history="1">
        <w:r w:rsidRPr="00DA353E">
          <w:rPr>
            <w:lang w:val="en-US"/>
          </w:rPr>
          <w:t>https://ppbdi.com/index.php/ubum/imibano/10000-observatoire-national-pour-la-prevention-du-genocide-communique</w:t>
        </w:r>
      </w:hyperlink>
      <w:r w:rsidRPr="00DA353E">
        <w:rPr>
          <w:lang w:val="en-US"/>
        </w:rPr>
        <w:t>.</w:t>
      </w:r>
    </w:p>
  </w:footnote>
  <w:footnote w:id="318">
    <w:p w14:paraId="0C8DE991" w14:textId="77777777" w:rsidR="00662CCF" w:rsidRPr="00DA353E" w:rsidRDefault="00662CCF" w:rsidP="00EC58CC">
      <w:pPr>
        <w:pStyle w:val="FootnoteText"/>
        <w:rPr>
          <w:lang w:val="en-US"/>
        </w:rPr>
      </w:pPr>
      <w:r w:rsidRPr="00DA353E">
        <w:rPr>
          <w:lang w:val="en-US"/>
        </w:rPr>
        <w:tab/>
      </w:r>
      <w:r w:rsidRPr="00485AE0">
        <w:rPr>
          <w:rStyle w:val="FootnoteReference"/>
          <w:lang w:val="fr-CH"/>
        </w:rPr>
        <w:footnoteRef/>
      </w:r>
      <w:r w:rsidRPr="00DA353E">
        <w:rPr>
          <w:lang w:val="en-US"/>
        </w:rPr>
        <w:tab/>
      </w:r>
      <w:hyperlink r:id="rId96" w:history="1">
        <w:r w:rsidRPr="00DA353E">
          <w:rPr>
            <w:lang w:val="en-US"/>
          </w:rPr>
          <w:t>http://www.ppbdi.com/index.php/extras/politique-cooperation-actualite-internationales/13638-onpgh-declaration-protestant-les-propos-du-commissaire-de-l-union-africaine</w:t>
        </w:r>
      </w:hyperlink>
      <w:r w:rsidRPr="00DA353E">
        <w:rPr>
          <w:lang w:val="en-US"/>
        </w:rPr>
        <w:t>.</w:t>
      </w:r>
    </w:p>
  </w:footnote>
  <w:footnote w:id="319">
    <w:p w14:paraId="3B46084A" w14:textId="28409046" w:rsidR="00662CCF" w:rsidRPr="00DA353E" w:rsidRDefault="00662CCF" w:rsidP="00EC58CC">
      <w:pPr>
        <w:pStyle w:val="FootnoteText"/>
        <w:rPr>
          <w:lang w:val="en-US"/>
        </w:rPr>
      </w:pPr>
      <w:r w:rsidRPr="00DA353E">
        <w:rPr>
          <w:lang w:val="en-US"/>
        </w:rPr>
        <w:tab/>
      </w:r>
      <w:r w:rsidRPr="00410F39">
        <w:rPr>
          <w:rStyle w:val="FootnoteReference"/>
        </w:rPr>
        <w:footnoteRef/>
      </w:r>
      <w:r w:rsidRPr="00DA353E">
        <w:rPr>
          <w:lang w:val="en-US"/>
        </w:rPr>
        <w:tab/>
        <w:t xml:space="preserve">OHCHR and Carter Center, </w:t>
      </w:r>
      <w:r w:rsidRPr="00A302EF">
        <w:rPr>
          <w:i/>
          <w:lang w:val="en-US"/>
        </w:rPr>
        <w:t>Human Rights and Electoral Standards</w:t>
      </w:r>
      <w:r w:rsidR="00A302EF">
        <w:rPr>
          <w:i/>
          <w:lang w:val="en-US"/>
        </w:rPr>
        <w:t>:</w:t>
      </w:r>
      <w:r w:rsidRPr="00A302EF">
        <w:rPr>
          <w:i/>
          <w:lang w:val="en-US"/>
        </w:rPr>
        <w:t xml:space="preserve"> an Action Pla</w:t>
      </w:r>
      <w:r w:rsidRPr="00DA353E">
        <w:rPr>
          <w:lang w:val="en-US"/>
        </w:rPr>
        <w:t xml:space="preserve">n, December 2017, </w:t>
      </w:r>
      <w:r>
        <w:rPr>
          <w:lang w:val="en-US"/>
        </w:rPr>
        <w:t>para.</w:t>
      </w:r>
      <w:r w:rsidRPr="00DA353E">
        <w:rPr>
          <w:lang w:val="en-US"/>
        </w:rPr>
        <w:t xml:space="preserve"> 32-34; OSCE Handbook on </w:t>
      </w:r>
      <w:r>
        <w:rPr>
          <w:lang w:val="en-US"/>
        </w:rPr>
        <w:t>E</w:t>
      </w:r>
      <w:r w:rsidRPr="00DA353E">
        <w:rPr>
          <w:lang w:val="en-US"/>
        </w:rPr>
        <w:t xml:space="preserve">lections </w:t>
      </w:r>
      <w:r>
        <w:rPr>
          <w:lang w:val="en-US"/>
        </w:rPr>
        <w:t>O</w:t>
      </w:r>
      <w:r w:rsidRPr="00DA353E">
        <w:rPr>
          <w:lang w:val="en-US"/>
        </w:rPr>
        <w:t>bservations.</w:t>
      </w:r>
    </w:p>
  </w:footnote>
  <w:footnote w:id="320">
    <w:p w14:paraId="08B8C399" w14:textId="06152D2C" w:rsidR="00662CCF" w:rsidRPr="00DA353E" w:rsidRDefault="00662CCF" w:rsidP="00EC58CC">
      <w:pPr>
        <w:pStyle w:val="FootnoteText"/>
        <w:rPr>
          <w:lang w:val="en-US"/>
        </w:rPr>
      </w:pPr>
      <w:r w:rsidRPr="00DA353E">
        <w:rPr>
          <w:lang w:val="en-US"/>
        </w:rPr>
        <w:tab/>
      </w:r>
      <w:r w:rsidRPr="00410F39">
        <w:rPr>
          <w:rStyle w:val="FootnoteReference"/>
        </w:rPr>
        <w:footnoteRef/>
      </w:r>
      <w:r w:rsidRPr="00DA353E">
        <w:rPr>
          <w:lang w:val="en-US"/>
        </w:rPr>
        <w:tab/>
      </w:r>
      <w:r w:rsidR="00A302EF">
        <w:rPr>
          <w:lang w:val="en-US"/>
        </w:rPr>
        <w:t>R</w:t>
      </w:r>
      <w:r w:rsidRPr="00DA353E">
        <w:rPr>
          <w:lang w:val="en-US"/>
        </w:rPr>
        <w:t xml:space="preserve">eport of the Special Rapporteur on the </w:t>
      </w:r>
      <w:r>
        <w:rPr>
          <w:lang w:val="en-US"/>
        </w:rPr>
        <w:t>r</w:t>
      </w:r>
      <w:r w:rsidRPr="00DA353E">
        <w:rPr>
          <w:lang w:val="en-US"/>
        </w:rPr>
        <w:t xml:space="preserve">ight to </w:t>
      </w:r>
      <w:r>
        <w:rPr>
          <w:lang w:val="en-US"/>
        </w:rPr>
        <w:t>f</w:t>
      </w:r>
      <w:r w:rsidRPr="00DA353E">
        <w:rPr>
          <w:lang w:val="en-US"/>
        </w:rPr>
        <w:t xml:space="preserve">reedom of </w:t>
      </w:r>
      <w:r>
        <w:rPr>
          <w:lang w:val="en-US"/>
        </w:rPr>
        <w:t>p</w:t>
      </w:r>
      <w:r w:rsidRPr="00DA353E">
        <w:rPr>
          <w:lang w:val="en-US"/>
        </w:rPr>
        <w:t xml:space="preserve">eaceful </w:t>
      </w:r>
      <w:r>
        <w:rPr>
          <w:lang w:val="en-US"/>
        </w:rPr>
        <w:t>a</w:t>
      </w:r>
      <w:r w:rsidRPr="00DA353E">
        <w:rPr>
          <w:lang w:val="en-US"/>
        </w:rPr>
        <w:t xml:space="preserve">ssembly and </w:t>
      </w:r>
      <w:r>
        <w:rPr>
          <w:lang w:val="en-US"/>
        </w:rPr>
        <w:t>f</w:t>
      </w:r>
      <w:r w:rsidRPr="00DA353E">
        <w:rPr>
          <w:lang w:val="en-US"/>
        </w:rPr>
        <w:t xml:space="preserve">reedom of </w:t>
      </w:r>
      <w:r>
        <w:rPr>
          <w:lang w:val="en-US"/>
        </w:rPr>
        <w:t>a</w:t>
      </w:r>
      <w:r w:rsidRPr="00DA353E">
        <w:rPr>
          <w:lang w:val="en-US"/>
        </w:rPr>
        <w:t xml:space="preserve">ssociation, A/68/299, </w:t>
      </w:r>
      <w:r>
        <w:rPr>
          <w:lang w:val="en-US"/>
        </w:rPr>
        <w:t>para.</w:t>
      </w:r>
      <w:r w:rsidRPr="00DA353E">
        <w:rPr>
          <w:lang w:val="en-US"/>
        </w:rPr>
        <w:t xml:space="preserve"> 42.</w:t>
      </w:r>
    </w:p>
  </w:footnote>
  <w:footnote w:id="321">
    <w:p w14:paraId="3334675A" w14:textId="1DA1A646" w:rsidR="00662CCF" w:rsidRPr="00DA353E" w:rsidRDefault="00662CCF" w:rsidP="00EC58CC">
      <w:pPr>
        <w:pStyle w:val="FootnoteText"/>
        <w:rPr>
          <w:lang w:val="en-US"/>
        </w:rPr>
      </w:pPr>
      <w:r w:rsidRPr="000576B2">
        <w:rPr>
          <w:lang w:val="en-US"/>
        </w:rPr>
        <w:tab/>
      </w:r>
      <w:r w:rsidRPr="00410F39">
        <w:rPr>
          <w:rStyle w:val="FootnoteReference"/>
        </w:rPr>
        <w:footnoteRef/>
      </w:r>
      <w:r w:rsidRPr="000576B2">
        <w:rPr>
          <w:lang w:val="en-US"/>
        </w:rPr>
        <w:tab/>
      </w:r>
      <w:r w:rsidR="00A302EF">
        <w:rPr>
          <w:lang w:val="en-US"/>
        </w:rPr>
        <w:t>R</w:t>
      </w:r>
      <w:r w:rsidRPr="00DA353E">
        <w:rPr>
          <w:lang w:val="en-US"/>
        </w:rPr>
        <w:t xml:space="preserve">eport of the Special Rapporteur on the </w:t>
      </w:r>
      <w:r>
        <w:rPr>
          <w:lang w:val="en-US"/>
        </w:rPr>
        <w:t>r</w:t>
      </w:r>
      <w:r w:rsidRPr="00DA353E">
        <w:rPr>
          <w:lang w:val="en-US"/>
        </w:rPr>
        <w:t xml:space="preserve">ight to </w:t>
      </w:r>
      <w:r>
        <w:rPr>
          <w:lang w:val="en-US"/>
        </w:rPr>
        <w:t>f</w:t>
      </w:r>
      <w:r w:rsidRPr="00DA353E">
        <w:rPr>
          <w:lang w:val="en-US"/>
        </w:rPr>
        <w:t xml:space="preserve">reedom of </w:t>
      </w:r>
      <w:r>
        <w:rPr>
          <w:lang w:val="en-US"/>
        </w:rPr>
        <w:t>p</w:t>
      </w:r>
      <w:r w:rsidRPr="00DA353E">
        <w:rPr>
          <w:lang w:val="en-US"/>
        </w:rPr>
        <w:t xml:space="preserve">eaceful </w:t>
      </w:r>
      <w:r>
        <w:rPr>
          <w:lang w:val="en-US"/>
        </w:rPr>
        <w:t>a</w:t>
      </w:r>
      <w:r w:rsidRPr="00DA353E">
        <w:rPr>
          <w:lang w:val="en-US"/>
        </w:rPr>
        <w:t xml:space="preserve">ssembly and </w:t>
      </w:r>
      <w:r>
        <w:rPr>
          <w:lang w:val="en-US"/>
        </w:rPr>
        <w:t>f</w:t>
      </w:r>
      <w:r w:rsidRPr="00DA353E">
        <w:rPr>
          <w:lang w:val="en-US"/>
        </w:rPr>
        <w:t xml:space="preserve">reedom of </w:t>
      </w:r>
      <w:r>
        <w:rPr>
          <w:lang w:val="en-US"/>
        </w:rPr>
        <w:t>a</w:t>
      </w:r>
      <w:r w:rsidRPr="00DA353E">
        <w:rPr>
          <w:lang w:val="en-US"/>
        </w:rPr>
        <w:t xml:space="preserve">ssociation, A/68/299, </w:t>
      </w:r>
      <w:r>
        <w:rPr>
          <w:lang w:val="en-US"/>
        </w:rPr>
        <w:t>para.</w:t>
      </w:r>
      <w:r w:rsidRPr="00DA353E">
        <w:rPr>
          <w:lang w:val="en-US"/>
        </w:rPr>
        <w:t xml:space="preserve"> 10.</w:t>
      </w:r>
    </w:p>
  </w:footnote>
  <w:footnote w:id="322">
    <w:p w14:paraId="7C6DA5F5" w14:textId="7B133131" w:rsidR="00662CCF" w:rsidRPr="00DA353E" w:rsidRDefault="00662CCF" w:rsidP="00EC58CC">
      <w:pPr>
        <w:pStyle w:val="FootnoteText"/>
        <w:rPr>
          <w:lang w:val="en-US"/>
        </w:rPr>
      </w:pPr>
      <w:r w:rsidRPr="00DA353E">
        <w:rPr>
          <w:lang w:val="en-US"/>
        </w:rPr>
        <w:tab/>
      </w:r>
      <w:r w:rsidRPr="00410F39">
        <w:rPr>
          <w:rStyle w:val="FootnoteReference"/>
        </w:rPr>
        <w:footnoteRef/>
      </w:r>
      <w:r>
        <w:rPr>
          <w:lang w:val="en-US"/>
        </w:rPr>
        <w:tab/>
      </w:r>
      <w:r w:rsidR="00A302EF">
        <w:rPr>
          <w:lang w:val="en-US"/>
        </w:rPr>
        <w:t>R</w:t>
      </w:r>
      <w:r w:rsidRPr="00DA353E">
        <w:rPr>
          <w:lang w:val="en-US"/>
        </w:rPr>
        <w:t xml:space="preserve">eport of the Special Rapporteur on the </w:t>
      </w:r>
      <w:r>
        <w:rPr>
          <w:lang w:val="en-US"/>
        </w:rPr>
        <w:t>r</w:t>
      </w:r>
      <w:r w:rsidRPr="00DA353E">
        <w:rPr>
          <w:lang w:val="en-US"/>
        </w:rPr>
        <w:t xml:space="preserve">ight to </w:t>
      </w:r>
      <w:r>
        <w:rPr>
          <w:lang w:val="en-US"/>
        </w:rPr>
        <w:t>f</w:t>
      </w:r>
      <w:r w:rsidRPr="00DA353E">
        <w:rPr>
          <w:lang w:val="en-US"/>
        </w:rPr>
        <w:t xml:space="preserve">reedom of </w:t>
      </w:r>
      <w:r>
        <w:rPr>
          <w:lang w:val="en-US"/>
        </w:rPr>
        <w:t>p</w:t>
      </w:r>
      <w:r w:rsidRPr="00DA353E">
        <w:rPr>
          <w:lang w:val="en-US"/>
        </w:rPr>
        <w:t xml:space="preserve">eaceful </w:t>
      </w:r>
      <w:r>
        <w:rPr>
          <w:lang w:val="en-US"/>
        </w:rPr>
        <w:t>a</w:t>
      </w:r>
      <w:r w:rsidRPr="00DA353E">
        <w:rPr>
          <w:lang w:val="en-US"/>
        </w:rPr>
        <w:t xml:space="preserve">ssembly and </w:t>
      </w:r>
      <w:r>
        <w:rPr>
          <w:lang w:val="en-US"/>
        </w:rPr>
        <w:t>f</w:t>
      </w:r>
      <w:r w:rsidRPr="00DA353E">
        <w:rPr>
          <w:lang w:val="en-US"/>
        </w:rPr>
        <w:t xml:space="preserve">reedom of </w:t>
      </w:r>
      <w:r>
        <w:rPr>
          <w:lang w:val="en-US"/>
        </w:rPr>
        <w:t>a</w:t>
      </w:r>
      <w:r w:rsidRPr="00DA353E">
        <w:rPr>
          <w:lang w:val="en-US"/>
        </w:rPr>
        <w:t xml:space="preserve">ssociation, A/68/299, </w:t>
      </w:r>
      <w:r>
        <w:rPr>
          <w:lang w:val="en-US"/>
        </w:rPr>
        <w:t>para.</w:t>
      </w:r>
      <w:r w:rsidRPr="00DA353E">
        <w:rPr>
          <w:lang w:val="en-US"/>
        </w:rPr>
        <w:t xml:space="preserve"> 42-55.</w:t>
      </w:r>
    </w:p>
  </w:footnote>
  <w:footnote w:id="323">
    <w:p w14:paraId="1584A609" w14:textId="40D35F73" w:rsidR="00662CCF" w:rsidRPr="00DA353E" w:rsidRDefault="00662CCF" w:rsidP="00EC58CC">
      <w:pPr>
        <w:pStyle w:val="FootnoteText"/>
        <w:rPr>
          <w:lang w:val="en-US"/>
        </w:rPr>
      </w:pPr>
      <w:r w:rsidRPr="00DA353E">
        <w:rPr>
          <w:lang w:val="en-US"/>
        </w:rPr>
        <w:tab/>
      </w:r>
      <w:r w:rsidRPr="00410F39">
        <w:rPr>
          <w:rStyle w:val="FootnoteReference"/>
        </w:rPr>
        <w:footnoteRef/>
      </w:r>
      <w:r w:rsidRPr="00DA353E">
        <w:rPr>
          <w:lang w:val="en-US"/>
        </w:rPr>
        <w:tab/>
        <w:t xml:space="preserve">See </w:t>
      </w:r>
      <w:r>
        <w:rPr>
          <w:lang w:val="en-US"/>
        </w:rPr>
        <w:t>para.</w:t>
      </w:r>
      <w:r w:rsidRPr="00DA353E">
        <w:rPr>
          <w:lang w:val="en-US"/>
        </w:rPr>
        <w:t xml:space="preserve"> 244-249 of this report.</w:t>
      </w:r>
    </w:p>
  </w:footnote>
  <w:footnote w:id="324">
    <w:p w14:paraId="1CE26ED4" w14:textId="41094E68" w:rsidR="00662CCF" w:rsidRPr="00DA353E" w:rsidRDefault="00662CCF" w:rsidP="00EC58CC">
      <w:pPr>
        <w:pStyle w:val="FootnoteText"/>
        <w:rPr>
          <w:lang w:val="en-US"/>
        </w:rPr>
      </w:pPr>
      <w:r w:rsidRPr="00DA353E">
        <w:rPr>
          <w:lang w:val="en-US"/>
        </w:rPr>
        <w:tab/>
      </w:r>
      <w:r w:rsidRPr="00410F39">
        <w:rPr>
          <w:rStyle w:val="FootnoteReference"/>
        </w:rPr>
        <w:footnoteRef/>
      </w:r>
      <w:r w:rsidRPr="00DA353E">
        <w:rPr>
          <w:lang w:val="en-US"/>
        </w:rPr>
        <w:tab/>
        <w:t xml:space="preserve">See </w:t>
      </w:r>
      <w:r>
        <w:rPr>
          <w:lang w:val="en-US"/>
        </w:rPr>
        <w:t>para.</w:t>
      </w:r>
      <w:r w:rsidRPr="00DA353E">
        <w:rPr>
          <w:lang w:val="en-US"/>
        </w:rPr>
        <w:t xml:space="preserve"> 243 of this report.</w:t>
      </w:r>
    </w:p>
  </w:footnote>
  <w:footnote w:id="325">
    <w:p w14:paraId="35C28066" w14:textId="3F11CA03" w:rsidR="00662CCF" w:rsidRPr="00DA353E" w:rsidRDefault="00662CCF" w:rsidP="00EC58CC">
      <w:pPr>
        <w:pStyle w:val="FootnoteText"/>
        <w:rPr>
          <w:lang w:val="en-US"/>
        </w:rPr>
      </w:pPr>
      <w:r w:rsidRPr="00DA353E">
        <w:rPr>
          <w:lang w:val="en-US"/>
        </w:rPr>
        <w:tab/>
      </w:r>
      <w:r w:rsidRPr="00410F39">
        <w:rPr>
          <w:rStyle w:val="FootnoteReference"/>
        </w:rPr>
        <w:footnoteRef/>
      </w:r>
      <w:r w:rsidRPr="00DA353E">
        <w:rPr>
          <w:lang w:val="en-US"/>
        </w:rPr>
        <w:tab/>
        <w:t xml:space="preserve">See A/HRC/36/CRP.1/Rev.1, </w:t>
      </w:r>
      <w:r>
        <w:rPr>
          <w:lang w:val="en-US"/>
        </w:rPr>
        <w:t>para.</w:t>
      </w:r>
      <w:r w:rsidRPr="00DA353E">
        <w:rPr>
          <w:lang w:val="en-US"/>
        </w:rPr>
        <w:t xml:space="preserve"> 84, 93-96, 103, 563-585 and A/HRC/39/CRP.1, </w:t>
      </w:r>
      <w:r>
        <w:rPr>
          <w:lang w:val="en-US"/>
        </w:rPr>
        <w:t>para.</w:t>
      </w:r>
      <w:r w:rsidRPr="00DA353E">
        <w:rPr>
          <w:lang w:val="en-US"/>
        </w:rPr>
        <w:t xml:space="preserve"> 325-334 and 442-446.</w:t>
      </w:r>
      <w:r>
        <w:rPr>
          <w:lang w:val="en-US"/>
        </w:rPr>
        <w:t xml:space="preserve"> </w:t>
      </w:r>
    </w:p>
  </w:footnote>
  <w:footnote w:id="326">
    <w:p w14:paraId="01C4AA8A" w14:textId="77777777" w:rsidR="00662CCF" w:rsidRPr="00DA353E" w:rsidRDefault="00662CCF" w:rsidP="00EC58CC">
      <w:pPr>
        <w:pStyle w:val="FootnoteText"/>
        <w:rPr>
          <w:lang w:val="en-US"/>
        </w:rPr>
      </w:pPr>
      <w:r w:rsidRPr="00DA353E">
        <w:rPr>
          <w:lang w:val="en-US"/>
        </w:rPr>
        <w:tab/>
      </w:r>
      <w:r w:rsidRPr="00410F39">
        <w:rPr>
          <w:rStyle w:val="FootnoteReference"/>
        </w:rPr>
        <w:footnoteRef/>
      </w:r>
      <w:r w:rsidRPr="00DA353E">
        <w:rPr>
          <w:lang w:val="en-US"/>
        </w:rPr>
        <w:tab/>
      </w:r>
      <w:hyperlink r:id="rId97" w:history="1">
        <w:r w:rsidRPr="00DA353E">
          <w:rPr>
            <w:lang w:val="en-US"/>
          </w:rPr>
          <w:t>https://twitter.com/LeRenouveauBdi/status/1132510625232576512</w:t>
        </w:r>
      </w:hyperlink>
      <w:r w:rsidRPr="00DA353E">
        <w:rPr>
          <w:lang w:val="en-US"/>
        </w:rPr>
        <w:t xml:space="preserve">, </w:t>
      </w:r>
      <w:hyperlink r:id="rId98" w:history="1">
        <w:r w:rsidRPr="00DA353E">
          <w:rPr>
            <w:lang w:val="en-US"/>
          </w:rPr>
          <w:t>https://twitter.com/IntumwaNews/status/1131777993628635136</w:t>
        </w:r>
      </w:hyperlink>
      <w:r w:rsidRPr="00DA353E">
        <w:rPr>
          <w:lang w:val="en-US"/>
        </w:rPr>
        <w:t>.</w:t>
      </w:r>
    </w:p>
  </w:footnote>
  <w:footnote w:id="327">
    <w:p w14:paraId="70CF2FAB" w14:textId="4A972554" w:rsidR="00662CCF" w:rsidRPr="00DA353E" w:rsidRDefault="00662CCF" w:rsidP="00EC58CC">
      <w:pPr>
        <w:pStyle w:val="FootnoteText"/>
        <w:rPr>
          <w:lang w:val="en-US"/>
        </w:rPr>
      </w:pPr>
      <w:r w:rsidRPr="00DA353E">
        <w:rPr>
          <w:lang w:val="en-US"/>
        </w:rPr>
        <w:tab/>
      </w:r>
      <w:r w:rsidRPr="00410F39">
        <w:rPr>
          <w:rStyle w:val="FootnoteReference"/>
        </w:rPr>
        <w:footnoteRef/>
      </w:r>
      <w:r w:rsidRPr="00DA353E">
        <w:rPr>
          <w:lang w:val="en-US"/>
        </w:rPr>
        <w:tab/>
      </w:r>
      <w:r w:rsidR="00A302EF">
        <w:rPr>
          <w:lang w:val="en-US"/>
        </w:rPr>
        <w:t>R</w:t>
      </w:r>
      <w:r w:rsidRPr="00DA353E">
        <w:rPr>
          <w:lang w:val="en-US"/>
        </w:rPr>
        <w:t xml:space="preserve">eport of the Special Rapporteur on the </w:t>
      </w:r>
      <w:r>
        <w:rPr>
          <w:lang w:val="en-US"/>
        </w:rPr>
        <w:t>r</w:t>
      </w:r>
      <w:r w:rsidRPr="00DA353E">
        <w:rPr>
          <w:lang w:val="en-US"/>
        </w:rPr>
        <w:t xml:space="preserve">ight to </w:t>
      </w:r>
      <w:r>
        <w:rPr>
          <w:lang w:val="en-US"/>
        </w:rPr>
        <w:t>f</w:t>
      </w:r>
      <w:r w:rsidRPr="00DA353E">
        <w:rPr>
          <w:lang w:val="en-US"/>
        </w:rPr>
        <w:t xml:space="preserve">reedom of </w:t>
      </w:r>
      <w:r>
        <w:rPr>
          <w:lang w:val="en-US"/>
        </w:rPr>
        <w:t>p</w:t>
      </w:r>
      <w:r w:rsidRPr="00DA353E">
        <w:rPr>
          <w:lang w:val="en-US"/>
        </w:rPr>
        <w:t xml:space="preserve">eaceful </w:t>
      </w:r>
      <w:r>
        <w:rPr>
          <w:lang w:val="en-US"/>
        </w:rPr>
        <w:t>a</w:t>
      </w:r>
      <w:r w:rsidRPr="00DA353E">
        <w:rPr>
          <w:lang w:val="en-US"/>
        </w:rPr>
        <w:t xml:space="preserve">ssembly and </w:t>
      </w:r>
      <w:r>
        <w:rPr>
          <w:lang w:val="en-US"/>
        </w:rPr>
        <w:t>f</w:t>
      </w:r>
      <w:r w:rsidRPr="00DA353E">
        <w:rPr>
          <w:lang w:val="en-US"/>
        </w:rPr>
        <w:t xml:space="preserve">reedom of </w:t>
      </w:r>
      <w:r>
        <w:rPr>
          <w:lang w:val="en-US"/>
        </w:rPr>
        <w:t>a</w:t>
      </w:r>
      <w:r w:rsidRPr="00DA353E">
        <w:rPr>
          <w:lang w:val="en-US"/>
        </w:rPr>
        <w:t xml:space="preserve">ssociation, A/68/299, </w:t>
      </w:r>
      <w:r>
        <w:rPr>
          <w:lang w:val="en-US"/>
        </w:rPr>
        <w:t>para.</w:t>
      </w:r>
      <w:r w:rsidRPr="00DA353E">
        <w:rPr>
          <w:lang w:val="en-US"/>
        </w:rPr>
        <w:t xml:space="preserve"> 43.</w:t>
      </w:r>
    </w:p>
  </w:footnote>
  <w:footnote w:id="328">
    <w:p w14:paraId="5764B486" w14:textId="1F542DAE" w:rsidR="00662CCF" w:rsidRPr="00DA353E" w:rsidRDefault="00662CCF" w:rsidP="00EC58CC">
      <w:pPr>
        <w:pStyle w:val="FootnoteText"/>
        <w:rPr>
          <w:lang w:val="en-US"/>
        </w:rPr>
      </w:pPr>
      <w:r w:rsidRPr="00DA353E">
        <w:rPr>
          <w:lang w:val="en-US"/>
        </w:rPr>
        <w:tab/>
      </w:r>
      <w:r w:rsidRPr="00410F39">
        <w:rPr>
          <w:rStyle w:val="FootnoteReference"/>
        </w:rPr>
        <w:footnoteRef/>
      </w:r>
      <w:r w:rsidRPr="00DA353E">
        <w:rPr>
          <w:lang w:val="en-US"/>
        </w:rPr>
        <w:tab/>
        <w:t xml:space="preserve">See </w:t>
      </w:r>
      <w:r>
        <w:rPr>
          <w:lang w:val="en-US"/>
        </w:rPr>
        <w:t>para.</w:t>
      </w:r>
      <w:r w:rsidRPr="00DA353E">
        <w:rPr>
          <w:lang w:val="en-US"/>
        </w:rPr>
        <w:t xml:space="preserve"> 250-252 of this report.</w:t>
      </w:r>
    </w:p>
  </w:footnote>
  <w:footnote w:id="329">
    <w:p w14:paraId="4D6E5DC2" w14:textId="0C58C472" w:rsidR="00662CCF" w:rsidRPr="00DA353E" w:rsidRDefault="00662CCF" w:rsidP="00EC58CC">
      <w:pPr>
        <w:pStyle w:val="FootnoteText"/>
        <w:rPr>
          <w:lang w:val="en-US"/>
        </w:rPr>
      </w:pPr>
      <w:r w:rsidRPr="00DA353E">
        <w:rPr>
          <w:lang w:val="en-US"/>
        </w:rPr>
        <w:tab/>
      </w:r>
      <w:r w:rsidRPr="00410F39">
        <w:rPr>
          <w:rStyle w:val="FootnoteReference"/>
        </w:rPr>
        <w:footnoteRef/>
      </w:r>
      <w:r w:rsidRPr="00DA353E">
        <w:rPr>
          <w:lang w:val="en-US"/>
        </w:rPr>
        <w:tab/>
        <w:t xml:space="preserve">Human Rights Committee, </w:t>
      </w:r>
      <w:r w:rsidRPr="00A302EF">
        <w:rPr>
          <w:i/>
          <w:lang w:val="en-US"/>
        </w:rPr>
        <w:t>Boris Zvozskov and al. v. Belarus</w:t>
      </w:r>
      <w:r w:rsidRPr="00DA353E">
        <w:rPr>
          <w:lang w:val="en-US"/>
        </w:rPr>
        <w:t xml:space="preserve"> (2001), CCPR/C/88/D/1039/2001, </w:t>
      </w:r>
      <w:r>
        <w:rPr>
          <w:lang w:val="en-US"/>
        </w:rPr>
        <w:t>para.</w:t>
      </w:r>
      <w:r w:rsidRPr="00DA353E">
        <w:rPr>
          <w:lang w:val="en-US"/>
        </w:rPr>
        <w:t xml:space="preserve"> 7.2. </w:t>
      </w:r>
    </w:p>
  </w:footnote>
  <w:footnote w:id="330">
    <w:p w14:paraId="1E0FB697" w14:textId="7CF888FE" w:rsidR="00662CCF" w:rsidRPr="00DA353E" w:rsidRDefault="00662CCF" w:rsidP="00EC58CC">
      <w:pPr>
        <w:pStyle w:val="FootnoteText"/>
        <w:rPr>
          <w:lang w:val="en-US"/>
        </w:rPr>
      </w:pPr>
      <w:r w:rsidRPr="000576B2">
        <w:rPr>
          <w:lang w:val="en-US"/>
        </w:rPr>
        <w:tab/>
      </w:r>
      <w:r w:rsidRPr="00410F39">
        <w:rPr>
          <w:rStyle w:val="FootnoteReference"/>
        </w:rPr>
        <w:footnoteRef/>
      </w:r>
      <w:r w:rsidRPr="000576B2">
        <w:rPr>
          <w:lang w:val="en-US"/>
        </w:rPr>
        <w:tab/>
      </w:r>
      <w:r w:rsidRPr="00DA353E">
        <w:rPr>
          <w:lang w:val="en-US"/>
        </w:rPr>
        <w:t xml:space="preserve">See UNDP, </w:t>
      </w:r>
      <w:r w:rsidRPr="00A302EF">
        <w:rPr>
          <w:i/>
          <w:lang w:val="en-US"/>
        </w:rPr>
        <w:t>Media and Elections, a Guide for Practitioners</w:t>
      </w:r>
      <w:r w:rsidRPr="00DA353E">
        <w:rPr>
          <w:lang w:val="en-US"/>
        </w:rPr>
        <w:t xml:space="preserve">, </w:t>
      </w:r>
      <w:r>
        <w:rPr>
          <w:lang w:val="en-US"/>
        </w:rPr>
        <w:t>October</w:t>
      </w:r>
      <w:r w:rsidRPr="00DA353E">
        <w:rPr>
          <w:lang w:val="en-US"/>
        </w:rPr>
        <w:t xml:space="preserve"> 2013; IDEA international, </w:t>
      </w:r>
      <w:r w:rsidRPr="00A302EF">
        <w:rPr>
          <w:i/>
          <w:lang w:val="en-US"/>
        </w:rPr>
        <w:t>International Obligations for Elections</w:t>
      </w:r>
      <w:r w:rsidRPr="00DA353E">
        <w:rPr>
          <w:lang w:val="en-US"/>
        </w:rPr>
        <w:t xml:space="preserve">, 2014, pp. 201-211; the Carter Center, </w:t>
      </w:r>
      <w:r w:rsidRPr="00A302EF">
        <w:rPr>
          <w:i/>
          <w:lang w:val="en-US"/>
        </w:rPr>
        <w:t>Election Obligations and Standards Manual</w:t>
      </w:r>
      <w:r w:rsidRPr="00DA353E">
        <w:rPr>
          <w:lang w:val="en-US"/>
        </w:rPr>
        <w:t>, pp. 130-143; OSCE</w:t>
      </w:r>
      <w:r w:rsidR="00A302EF">
        <w:rPr>
          <w:lang w:val="en-US"/>
        </w:rPr>
        <w:t>,</w:t>
      </w:r>
      <w:r w:rsidRPr="00DA353E">
        <w:rPr>
          <w:lang w:val="en-US"/>
        </w:rPr>
        <w:t xml:space="preserve"> </w:t>
      </w:r>
      <w:r w:rsidRPr="00A302EF">
        <w:rPr>
          <w:i/>
          <w:lang w:val="en-US"/>
        </w:rPr>
        <w:t>Handbook on Elections Observations</w:t>
      </w:r>
      <w:r w:rsidRPr="00DA353E">
        <w:rPr>
          <w:lang w:val="en-US"/>
        </w:rPr>
        <w:t>, p. 62.</w:t>
      </w:r>
    </w:p>
  </w:footnote>
  <w:footnote w:id="331">
    <w:p w14:paraId="5BDC93E6" w14:textId="67CE8673" w:rsidR="00662CCF" w:rsidRPr="00DA353E" w:rsidRDefault="00662CCF" w:rsidP="00EC58CC">
      <w:pPr>
        <w:pStyle w:val="FootnoteText"/>
        <w:rPr>
          <w:lang w:val="en-US"/>
        </w:rPr>
      </w:pPr>
      <w:r w:rsidRPr="00DA353E">
        <w:rPr>
          <w:lang w:val="en-US"/>
        </w:rPr>
        <w:tab/>
      </w:r>
      <w:r w:rsidRPr="00410F39">
        <w:rPr>
          <w:rStyle w:val="FootnoteReference"/>
        </w:rPr>
        <w:footnoteRef/>
      </w:r>
      <w:r w:rsidRPr="00DA353E">
        <w:rPr>
          <w:lang w:val="en-US"/>
        </w:rPr>
        <w:tab/>
        <w:t xml:space="preserve">See A/HRC/36/CRP.1/Rev.1, </w:t>
      </w:r>
      <w:r>
        <w:rPr>
          <w:lang w:val="en-US"/>
        </w:rPr>
        <w:t>para.</w:t>
      </w:r>
      <w:r w:rsidRPr="00DA353E">
        <w:rPr>
          <w:lang w:val="en-US"/>
        </w:rPr>
        <w:t xml:space="preserve"> 507-533; A/HRC/39/CRP.1 </w:t>
      </w:r>
      <w:r>
        <w:rPr>
          <w:lang w:val="en-US"/>
        </w:rPr>
        <w:t>para.</w:t>
      </w:r>
      <w:r w:rsidRPr="00DA353E">
        <w:rPr>
          <w:lang w:val="en-US"/>
        </w:rPr>
        <w:t xml:space="preserve"> 399-420.</w:t>
      </w:r>
    </w:p>
  </w:footnote>
  <w:footnote w:id="332">
    <w:p w14:paraId="3822BE9D" w14:textId="6164C923" w:rsidR="00662CCF" w:rsidRPr="00DA353E" w:rsidRDefault="00662CCF" w:rsidP="00EC58CC">
      <w:pPr>
        <w:pStyle w:val="FootnoteText"/>
        <w:rPr>
          <w:lang w:val="en-US"/>
        </w:rPr>
      </w:pPr>
      <w:r w:rsidRPr="00DA353E">
        <w:rPr>
          <w:lang w:val="en-US"/>
        </w:rPr>
        <w:tab/>
      </w:r>
      <w:r w:rsidRPr="00410F39">
        <w:rPr>
          <w:rStyle w:val="FootnoteReference"/>
        </w:rPr>
        <w:footnoteRef/>
      </w:r>
      <w:r w:rsidRPr="00DA353E">
        <w:rPr>
          <w:lang w:val="en-US"/>
        </w:rPr>
        <w:tab/>
        <w:t xml:space="preserve">See </w:t>
      </w:r>
      <w:r>
        <w:rPr>
          <w:lang w:val="en-US"/>
        </w:rPr>
        <w:t>para.</w:t>
      </w:r>
      <w:r w:rsidRPr="00DA353E">
        <w:rPr>
          <w:lang w:val="en-US"/>
        </w:rPr>
        <w:t xml:space="preserve"> 215 of this report.</w:t>
      </w:r>
      <w:r w:rsidRPr="00DA353E">
        <w:rPr>
          <w:lang w:val="en-US"/>
        </w:rPr>
        <w:tab/>
      </w:r>
    </w:p>
  </w:footnote>
  <w:footnote w:id="333">
    <w:p w14:paraId="27F761A2" w14:textId="793B91B3" w:rsidR="00662CCF" w:rsidRPr="00DA353E" w:rsidRDefault="00662CCF" w:rsidP="00EC58CC">
      <w:pPr>
        <w:pStyle w:val="FootnoteText"/>
        <w:rPr>
          <w:lang w:val="en-US"/>
        </w:rPr>
      </w:pPr>
      <w:r w:rsidRPr="00DA353E">
        <w:rPr>
          <w:lang w:val="en-US"/>
        </w:rPr>
        <w:tab/>
      </w:r>
      <w:r w:rsidRPr="00410F39">
        <w:rPr>
          <w:rStyle w:val="FootnoteReference"/>
        </w:rPr>
        <w:footnoteRef/>
      </w:r>
      <w:r w:rsidRPr="00DA353E">
        <w:rPr>
          <w:lang w:val="en-US"/>
        </w:rPr>
        <w:tab/>
        <w:t xml:space="preserve">Human Rights Committee, General Comment </w:t>
      </w:r>
      <w:r>
        <w:rPr>
          <w:lang w:val="en-US"/>
        </w:rPr>
        <w:t>n°</w:t>
      </w:r>
      <w:r w:rsidRPr="00DA353E">
        <w:rPr>
          <w:lang w:val="en-US"/>
        </w:rPr>
        <w:t xml:space="preserve">25, </w:t>
      </w:r>
      <w:r>
        <w:rPr>
          <w:lang w:val="en-US"/>
        </w:rPr>
        <w:t>para.</w:t>
      </w:r>
      <w:r w:rsidRPr="00DA353E">
        <w:rPr>
          <w:lang w:val="en-US"/>
        </w:rPr>
        <w:t xml:space="preserve"> 25.</w:t>
      </w:r>
    </w:p>
  </w:footnote>
  <w:footnote w:id="334">
    <w:p w14:paraId="58693A19" w14:textId="77777777" w:rsidR="00662CCF" w:rsidRPr="00EC58CC" w:rsidRDefault="00662CCF" w:rsidP="00EC58CC">
      <w:pPr>
        <w:pStyle w:val="FootnoteText"/>
      </w:pPr>
      <w:r w:rsidRPr="00DA353E">
        <w:rPr>
          <w:lang w:val="en-US"/>
        </w:rPr>
        <w:tab/>
      </w:r>
      <w:r w:rsidRPr="00410F39">
        <w:rPr>
          <w:rStyle w:val="FootnoteReference"/>
        </w:rPr>
        <w:footnoteRef/>
      </w:r>
      <w:r w:rsidRPr="00EC58CC">
        <w:tab/>
        <w:t>Article 3 (11).</w:t>
      </w:r>
    </w:p>
  </w:footnote>
  <w:footnote w:id="335">
    <w:p w14:paraId="57E6BE67" w14:textId="1DE35653" w:rsidR="00662CCF" w:rsidRPr="00DA353E" w:rsidRDefault="00662CCF" w:rsidP="00EC58CC">
      <w:pPr>
        <w:pStyle w:val="FootnoteText"/>
        <w:rPr>
          <w:lang w:val="en-US"/>
        </w:rPr>
      </w:pPr>
      <w:r w:rsidRPr="00EC58CC">
        <w:tab/>
      </w:r>
      <w:r w:rsidRPr="00410F39">
        <w:rPr>
          <w:rStyle w:val="FootnoteReference"/>
        </w:rPr>
        <w:footnoteRef/>
      </w:r>
      <w:r w:rsidRPr="00DA353E">
        <w:rPr>
          <w:lang w:val="en-US"/>
        </w:rPr>
        <w:tab/>
        <w:t>Article 2 (5) of the Bamako Declaration.</w:t>
      </w:r>
    </w:p>
  </w:footnote>
  <w:footnote w:id="336">
    <w:p w14:paraId="4A234FC8" w14:textId="77777777" w:rsidR="00662CCF" w:rsidRPr="00DA353E" w:rsidRDefault="00662CCF" w:rsidP="00EC58CC">
      <w:pPr>
        <w:pStyle w:val="FootnoteText"/>
        <w:rPr>
          <w:lang w:val="en-US"/>
        </w:rPr>
      </w:pPr>
      <w:r w:rsidRPr="000576B2">
        <w:rPr>
          <w:lang w:val="en-US"/>
        </w:rPr>
        <w:tab/>
      </w:r>
      <w:r w:rsidRPr="00410F39">
        <w:rPr>
          <w:rStyle w:val="FootnoteReference"/>
        </w:rPr>
        <w:footnoteRef/>
      </w:r>
      <w:r w:rsidRPr="000576B2">
        <w:rPr>
          <w:lang w:val="en-US"/>
        </w:rPr>
        <w:tab/>
      </w:r>
      <w:r w:rsidRPr="00DA353E">
        <w:rPr>
          <w:lang w:val="en-US"/>
        </w:rPr>
        <w:t>https://www.uantwerpen.be/images/uantwerpen/container49546/files/Burundi/elect/2020/230617.pdf.</w:t>
      </w:r>
    </w:p>
  </w:footnote>
  <w:footnote w:id="337">
    <w:p w14:paraId="47B887BE" w14:textId="77777777" w:rsidR="00662CCF" w:rsidRPr="00DA353E" w:rsidRDefault="00662CCF" w:rsidP="00EC58CC">
      <w:pPr>
        <w:pStyle w:val="FootnoteText"/>
        <w:rPr>
          <w:lang w:val="en-US"/>
        </w:rPr>
      </w:pPr>
      <w:r w:rsidRPr="00DA353E">
        <w:rPr>
          <w:lang w:val="en-US"/>
        </w:rPr>
        <w:tab/>
      </w:r>
      <w:r w:rsidRPr="00410F39">
        <w:rPr>
          <w:rStyle w:val="FootnoteReference"/>
        </w:rPr>
        <w:footnoteRef/>
      </w:r>
      <w:r w:rsidRPr="00DA353E">
        <w:rPr>
          <w:lang w:val="en-US"/>
        </w:rPr>
        <w:tab/>
        <w:t>https://www.uantwerpen.be/images/uantwerpen/container49546/files/Burundi/elect/2020/030818.pdf</w:t>
      </w:r>
    </w:p>
  </w:footnote>
  <w:footnote w:id="338">
    <w:p w14:paraId="0D3C66EF" w14:textId="24BF930C" w:rsidR="00662CCF" w:rsidRPr="00DA353E" w:rsidRDefault="00662CCF" w:rsidP="00EC58CC">
      <w:pPr>
        <w:pStyle w:val="FootnoteText"/>
        <w:rPr>
          <w:lang w:val="en-US"/>
        </w:rPr>
      </w:pPr>
      <w:r w:rsidRPr="00DA353E">
        <w:rPr>
          <w:lang w:val="en-US"/>
        </w:rPr>
        <w:tab/>
      </w:r>
      <w:r w:rsidRPr="00410F39">
        <w:rPr>
          <w:rStyle w:val="FootnoteReference"/>
        </w:rPr>
        <w:footnoteRef/>
      </w:r>
      <w:r w:rsidRPr="00DA353E">
        <w:rPr>
          <w:lang w:val="en-US"/>
        </w:rPr>
        <w:tab/>
        <w:t xml:space="preserve">The </w:t>
      </w:r>
      <w:r>
        <w:rPr>
          <w:lang w:val="en-US"/>
        </w:rPr>
        <w:t>r</w:t>
      </w:r>
      <w:r w:rsidRPr="00DA353E">
        <w:rPr>
          <w:lang w:val="en-US"/>
        </w:rPr>
        <w:t xml:space="preserve">eport of the Special Rapporteur on the </w:t>
      </w:r>
      <w:r>
        <w:rPr>
          <w:lang w:val="en-US"/>
        </w:rPr>
        <w:t>r</w:t>
      </w:r>
      <w:r w:rsidRPr="00DA353E">
        <w:rPr>
          <w:lang w:val="en-US"/>
        </w:rPr>
        <w:t xml:space="preserve">ight to </w:t>
      </w:r>
      <w:r>
        <w:rPr>
          <w:lang w:val="en-US"/>
        </w:rPr>
        <w:t>f</w:t>
      </w:r>
      <w:r w:rsidRPr="00DA353E">
        <w:rPr>
          <w:lang w:val="en-US"/>
        </w:rPr>
        <w:t xml:space="preserve">reedom of </w:t>
      </w:r>
      <w:r>
        <w:rPr>
          <w:lang w:val="en-US"/>
        </w:rPr>
        <w:t>p</w:t>
      </w:r>
      <w:r w:rsidRPr="00DA353E">
        <w:rPr>
          <w:lang w:val="en-US"/>
        </w:rPr>
        <w:t xml:space="preserve">eaceful </w:t>
      </w:r>
      <w:r>
        <w:rPr>
          <w:lang w:val="en-US"/>
        </w:rPr>
        <w:t>a</w:t>
      </w:r>
      <w:r w:rsidRPr="00DA353E">
        <w:rPr>
          <w:lang w:val="en-US"/>
        </w:rPr>
        <w:t xml:space="preserve">ssembly and </w:t>
      </w:r>
      <w:r>
        <w:rPr>
          <w:lang w:val="en-US"/>
        </w:rPr>
        <w:t>f</w:t>
      </w:r>
      <w:r w:rsidRPr="00DA353E">
        <w:rPr>
          <w:lang w:val="en-US"/>
        </w:rPr>
        <w:t xml:space="preserve">reedom of </w:t>
      </w:r>
      <w:r>
        <w:rPr>
          <w:lang w:val="en-US"/>
        </w:rPr>
        <w:t>a</w:t>
      </w:r>
      <w:r w:rsidRPr="00DA353E">
        <w:rPr>
          <w:lang w:val="en-US"/>
        </w:rPr>
        <w:t xml:space="preserve">ssociation, A/68/299, </w:t>
      </w:r>
      <w:r>
        <w:rPr>
          <w:lang w:val="en-US"/>
        </w:rPr>
        <w:t>para.</w:t>
      </w:r>
      <w:r w:rsidRPr="00DA353E">
        <w:rPr>
          <w:lang w:val="en-US"/>
        </w:rPr>
        <w:t xml:space="preserve"> 30 and 32.</w:t>
      </w:r>
    </w:p>
  </w:footnote>
  <w:footnote w:id="339">
    <w:p w14:paraId="6145894F" w14:textId="77777777" w:rsidR="00662CCF" w:rsidRPr="00DA353E" w:rsidRDefault="00662CCF" w:rsidP="00EC58CC">
      <w:pPr>
        <w:pStyle w:val="FootnoteText"/>
        <w:rPr>
          <w:lang w:val="en-US"/>
        </w:rPr>
      </w:pPr>
      <w:r w:rsidRPr="00DA353E">
        <w:rPr>
          <w:lang w:val="en-US"/>
        </w:rPr>
        <w:tab/>
      </w:r>
      <w:r w:rsidRPr="00410F39">
        <w:rPr>
          <w:rStyle w:val="FootnoteReference"/>
        </w:rPr>
        <w:footnoteRef/>
      </w:r>
      <w:r w:rsidRPr="00DA353E">
        <w:rPr>
          <w:lang w:val="en-US"/>
        </w:rPr>
        <w:tab/>
        <w:t>Article 22 (2) of the International Covenant on Civil and Political Rights.</w:t>
      </w:r>
    </w:p>
  </w:footnote>
  <w:footnote w:id="340">
    <w:p w14:paraId="43B1752A" w14:textId="6D24D477" w:rsidR="00662CCF" w:rsidRPr="00DA353E" w:rsidRDefault="00662CCF" w:rsidP="00EC58CC">
      <w:pPr>
        <w:pStyle w:val="FootnoteText"/>
        <w:rPr>
          <w:lang w:val="en-US"/>
        </w:rPr>
      </w:pPr>
      <w:r w:rsidRPr="00DA353E">
        <w:rPr>
          <w:lang w:val="en-US"/>
        </w:rPr>
        <w:tab/>
      </w:r>
      <w:r w:rsidRPr="00410F39">
        <w:rPr>
          <w:rStyle w:val="FootnoteReference"/>
        </w:rPr>
        <w:footnoteRef/>
      </w:r>
      <w:r w:rsidRPr="00DA353E">
        <w:rPr>
          <w:lang w:val="en-US"/>
        </w:rPr>
        <w:tab/>
      </w:r>
      <w:r w:rsidR="00117EF3">
        <w:rPr>
          <w:lang w:val="en-US"/>
        </w:rPr>
        <w:t>R</w:t>
      </w:r>
      <w:r w:rsidRPr="00DA353E">
        <w:rPr>
          <w:lang w:val="en-US"/>
        </w:rPr>
        <w:t xml:space="preserve">eport of the Special Rapporteur on the </w:t>
      </w:r>
      <w:r>
        <w:rPr>
          <w:lang w:val="en-US"/>
        </w:rPr>
        <w:t>r</w:t>
      </w:r>
      <w:r w:rsidRPr="00DA353E">
        <w:rPr>
          <w:lang w:val="en-US"/>
        </w:rPr>
        <w:t xml:space="preserve">ight to </w:t>
      </w:r>
      <w:r>
        <w:rPr>
          <w:lang w:val="en-US"/>
        </w:rPr>
        <w:t>f</w:t>
      </w:r>
      <w:r w:rsidRPr="00DA353E">
        <w:rPr>
          <w:lang w:val="en-US"/>
        </w:rPr>
        <w:t xml:space="preserve">reedom of </w:t>
      </w:r>
      <w:r>
        <w:rPr>
          <w:lang w:val="en-US"/>
        </w:rPr>
        <w:t>p</w:t>
      </w:r>
      <w:r w:rsidRPr="00DA353E">
        <w:rPr>
          <w:lang w:val="en-US"/>
        </w:rPr>
        <w:t xml:space="preserve">eaceful </w:t>
      </w:r>
      <w:r>
        <w:rPr>
          <w:lang w:val="en-US"/>
        </w:rPr>
        <w:t>a</w:t>
      </w:r>
      <w:r w:rsidRPr="00DA353E">
        <w:rPr>
          <w:lang w:val="en-US"/>
        </w:rPr>
        <w:t xml:space="preserve">ssembly and </w:t>
      </w:r>
      <w:r>
        <w:rPr>
          <w:lang w:val="en-US"/>
        </w:rPr>
        <w:t>f</w:t>
      </w:r>
      <w:r w:rsidRPr="00DA353E">
        <w:rPr>
          <w:lang w:val="en-US"/>
        </w:rPr>
        <w:t xml:space="preserve">reedom of </w:t>
      </w:r>
      <w:r>
        <w:rPr>
          <w:lang w:val="en-US"/>
        </w:rPr>
        <w:t>a</w:t>
      </w:r>
      <w:r w:rsidRPr="00DA353E">
        <w:rPr>
          <w:lang w:val="en-US"/>
        </w:rPr>
        <w:t xml:space="preserve">ssociation, A/68/299, </w:t>
      </w:r>
      <w:r>
        <w:rPr>
          <w:lang w:val="en-US"/>
        </w:rPr>
        <w:t>para.</w:t>
      </w:r>
      <w:r w:rsidRPr="00DA353E">
        <w:rPr>
          <w:lang w:val="en-US"/>
        </w:rPr>
        <w:t xml:space="preserve"> 32.</w:t>
      </w:r>
    </w:p>
  </w:footnote>
  <w:footnote w:id="341">
    <w:p w14:paraId="09E8A174" w14:textId="3891A652" w:rsidR="00662CCF" w:rsidRPr="00DA353E" w:rsidRDefault="00662CCF" w:rsidP="00EC58CC">
      <w:pPr>
        <w:pStyle w:val="FootnoteText"/>
        <w:rPr>
          <w:lang w:val="en-US"/>
        </w:rPr>
      </w:pPr>
      <w:r w:rsidRPr="00DA353E">
        <w:rPr>
          <w:lang w:val="en-US"/>
        </w:rPr>
        <w:tab/>
      </w:r>
      <w:r w:rsidRPr="00410F39">
        <w:rPr>
          <w:rStyle w:val="FootnoteReference"/>
        </w:rPr>
        <w:footnoteRef/>
      </w:r>
      <w:r w:rsidRPr="00DA353E">
        <w:rPr>
          <w:lang w:val="en-US"/>
        </w:rPr>
        <w:tab/>
        <w:t xml:space="preserve">See the list </w:t>
      </w:r>
      <w:r w:rsidR="00117EF3">
        <w:rPr>
          <w:lang w:val="en-US"/>
        </w:rPr>
        <w:t xml:space="preserve">of registered political parties </w:t>
      </w:r>
      <w:r w:rsidRPr="00DA353E">
        <w:rPr>
          <w:lang w:val="en-US"/>
        </w:rPr>
        <w:t>signatories of the 2020 election</w:t>
      </w:r>
      <w:r>
        <w:rPr>
          <w:lang w:val="en-US"/>
        </w:rPr>
        <w:t>s</w:t>
      </w:r>
      <w:r w:rsidRPr="00DA353E">
        <w:rPr>
          <w:lang w:val="en-US"/>
        </w:rPr>
        <w:t xml:space="preserve"> preparation roadmap of Kayanza, signed on 3 August 2018:</w:t>
      </w:r>
    </w:p>
    <w:p w14:paraId="3C86A6C6" w14:textId="6AD38488" w:rsidR="00662CCF" w:rsidRPr="00DA353E" w:rsidRDefault="00662CCF" w:rsidP="00EC58CC">
      <w:pPr>
        <w:pStyle w:val="FootnoteText"/>
        <w:spacing w:line="240" w:lineRule="auto"/>
        <w:ind w:hanging="141"/>
        <w:rPr>
          <w:lang w:val="en-US"/>
        </w:rPr>
      </w:pPr>
      <w:r>
        <w:rPr>
          <w:lang w:val="en-US"/>
        </w:rPr>
        <w:t xml:space="preserve"> </w:t>
      </w:r>
      <w:r w:rsidRPr="00DA353E">
        <w:rPr>
          <w:lang w:val="en-US"/>
        </w:rPr>
        <w:t>https://www.uantwerpen.be/images/uantwerpen/container49546/files/Burundi/elect/2020/030818.pdf.</w:t>
      </w:r>
    </w:p>
  </w:footnote>
  <w:footnote w:id="342">
    <w:p w14:paraId="14B8C649" w14:textId="2C960E12" w:rsidR="00662CCF" w:rsidRPr="00DA353E" w:rsidRDefault="00662CCF" w:rsidP="00EC58CC">
      <w:pPr>
        <w:pStyle w:val="FootnoteText"/>
        <w:rPr>
          <w:lang w:val="en-US"/>
        </w:rPr>
      </w:pPr>
      <w:r w:rsidRPr="00DA353E">
        <w:rPr>
          <w:lang w:val="en-US"/>
        </w:rPr>
        <w:tab/>
      </w:r>
      <w:r w:rsidRPr="00410F39">
        <w:rPr>
          <w:rStyle w:val="FootnoteReference"/>
        </w:rPr>
        <w:footnoteRef/>
      </w:r>
      <w:r w:rsidRPr="00DA353E">
        <w:rPr>
          <w:lang w:val="en-US"/>
        </w:rPr>
        <w:tab/>
        <w:t xml:space="preserve">Law </w:t>
      </w:r>
      <w:r>
        <w:rPr>
          <w:lang w:val="en-US"/>
        </w:rPr>
        <w:t>n°</w:t>
      </w:r>
      <w:r w:rsidRPr="00DA353E">
        <w:rPr>
          <w:lang w:val="en-US"/>
        </w:rPr>
        <w:t xml:space="preserve">1/25 of 14 November 2012 establishing the status of political opposition. This </w:t>
      </w:r>
      <w:r w:rsidR="00117EF3">
        <w:rPr>
          <w:lang w:val="en-US"/>
        </w:rPr>
        <w:t>l</w:t>
      </w:r>
      <w:r w:rsidRPr="00DA353E">
        <w:rPr>
          <w:lang w:val="en-US"/>
        </w:rPr>
        <w:t>aw recognises the right of the opposition to speak out on human rights abuses and violations and to denounce the abuses and other possible dysfunctions in the legislative, executive and judiciary powers, article 6 (d) and (e).</w:t>
      </w:r>
    </w:p>
  </w:footnote>
  <w:footnote w:id="343">
    <w:p w14:paraId="0F9B9585" w14:textId="26C035EE" w:rsidR="00662CCF" w:rsidRPr="00DA353E" w:rsidRDefault="00662CCF" w:rsidP="00EC58CC">
      <w:pPr>
        <w:pStyle w:val="FootnoteText"/>
        <w:jc w:val="both"/>
        <w:rPr>
          <w:lang w:val="en-US"/>
        </w:rPr>
      </w:pPr>
      <w:r w:rsidRPr="00DA353E">
        <w:rPr>
          <w:lang w:val="en-US"/>
        </w:rPr>
        <w:tab/>
      </w:r>
      <w:r w:rsidRPr="00410F39">
        <w:rPr>
          <w:rStyle w:val="FootnoteReference"/>
        </w:rPr>
        <w:footnoteRef/>
      </w:r>
      <w:r w:rsidRPr="00DA353E">
        <w:rPr>
          <w:lang w:val="en-US"/>
        </w:rPr>
        <w:tab/>
      </w:r>
      <w:r w:rsidRPr="006461A6">
        <w:rPr>
          <w:i/>
          <w:lang w:val="en-US"/>
        </w:rPr>
        <w:t>Nyakuri</w:t>
      </w:r>
      <w:r w:rsidRPr="00DA353E">
        <w:rPr>
          <w:lang w:val="en-US"/>
        </w:rPr>
        <w:t xml:space="preserve"> is a Kirundi word, traditionally used to qualify what is true, original, but which, in the recent past evolved and is used to refer to something “fake and pirated” due to the multiplication of “</w:t>
      </w:r>
      <w:r w:rsidRPr="006461A6">
        <w:rPr>
          <w:i/>
          <w:lang w:val="en-US"/>
        </w:rPr>
        <w:t>nyakuri</w:t>
      </w:r>
      <w:r w:rsidRPr="00DA353E">
        <w:rPr>
          <w:lang w:val="en-US"/>
        </w:rPr>
        <w:t>” opposition wings which are pro-CNDD-FDD and pro-</w:t>
      </w:r>
      <w:r>
        <w:rPr>
          <w:lang w:val="en-US"/>
        </w:rPr>
        <w:t>Government</w:t>
      </w:r>
      <w:r w:rsidRPr="00DA353E">
        <w:rPr>
          <w:lang w:val="en-US"/>
        </w:rPr>
        <w:t xml:space="preserve"> within the opposition parties. </w:t>
      </w:r>
      <w:r>
        <w:rPr>
          <w:lang w:val="fr-CH"/>
        </w:rPr>
        <w:t>See</w:t>
      </w:r>
      <w:r w:rsidRPr="00B05CAD">
        <w:rPr>
          <w:lang w:val="fr-CH"/>
        </w:rPr>
        <w:t xml:space="preserve"> Anne-Claire Courtois, </w:t>
      </w:r>
      <w:r w:rsidRPr="00A42850">
        <w:rPr>
          <w:i/>
          <w:lang w:val="fr-CH"/>
        </w:rPr>
        <w:t>Le Burundi en crise : Pirates contre “ vrais ” combattants, Fondation pour la recherche stratégique, note</w:t>
      </w:r>
      <w:r w:rsidRPr="00B05CAD">
        <w:rPr>
          <w:lang w:val="fr-CH"/>
        </w:rPr>
        <w:t xml:space="preserve"> </w:t>
      </w:r>
      <w:r>
        <w:rPr>
          <w:lang w:val="fr-CH"/>
        </w:rPr>
        <w:t>n°</w:t>
      </w:r>
      <w:r w:rsidRPr="00B05CAD">
        <w:rPr>
          <w:lang w:val="fr-CH"/>
        </w:rPr>
        <w:t xml:space="preserve">11/17 </w:t>
      </w:r>
      <w:r>
        <w:rPr>
          <w:lang w:val="fr-CH"/>
        </w:rPr>
        <w:t>of 20 June 2017</w:t>
      </w:r>
      <w:r w:rsidRPr="00B05CAD">
        <w:rPr>
          <w:lang w:val="fr-CH"/>
        </w:rPr>
        <w:t xml:space="preserve">. </w:t>
      </w:r>
      <w:r w:rsidRPr="00DA353E">
        <w:rPr>
          <w:lang w:val="en-US"/>
        </w:rPr>
        <w:t xml:space="preserve">See also A/HRC/36/CRP.1/Rev.1, </w:t>
      </w:r>
      <w:r>
        <w:rPr>
          <w:lang w:val="en-US"/>
        </w:rPr>
        <w:t>para.</w:t>
      </w:r>
      <w:r w:rsidRPr="00DA353E">
        <w:rPr>
          <w:lang w:val="en-US"/>
        </w:rPr>
        <w:t xml:space="preserve"> 184-187.</w:t>
      </w:r>
    </w:p>
  </w:footnote>
  <w:footnote w:id="344">
    <w:p w14:paraId="5EC3CF3B" w14:textId="728CECAB" w:rsidR="00662CCF" w:rsidRPr="00DA353E" w:rsidRDefault="00662CCF" w:rsidP="00EC58CC">
      <w:pPr>
        <w:pStyle w:val="FootnoteText"/>
        <w:jc w:val="both"/>
        <w:rPr>
          <w:lang w:val="en-US"/>
        </w:rPr>
      </w:pPr>
      <w:r w:rsidRPr="000576B2">
        <w:rPr>
          <w:lang w:val="en-US"/>
        </w:rPr>
        <w:tab/>
      </w:r>
      <w:r w:rsidRPr="00410F39">
        <w:rPr>
          <w:rStyle w:val="FootnoteReference"/>
        </w:rPr>
        <w:footnoteRef/>
      </w:r>
      <w:r w:rsidRPr="000576B2">
        <w:rPr>
          <w:lang w:val="en-US"/>
        </w:rPr>
        <w:tab/>
      </w:r>
      <w:r w:rsidRPr="00DA353E">
        <w:rPr>
          <w:lang w:val="en-US"/>
        </w:rPr>
        <w:t xml:space="preserve">See article 48 of </w:t>
      </w:r>
      <w:r w:rsidR="00117EF3">
        <w:rPr>
          <w:lang w:val="en-US"/>
        </w:rPr>
        <w:t>l</w:t>
      </w:r>
      <w:r w:rsidRPr="00DA353E">
        <w:rPr>
          <w:lang w:val="en-US"/>
        </w:rPr>
        <w:t>aw</w:t>
      </w:r>
      <w:r>
        <w:rPr>
          <w:lang w:val="en-US"/>
        </w:rPr>
        <w:t xml:space="preserve"> n</w:t>
      </w:r>
      <w:r w:rsidR="00117EF3">
        <w:rPr>
          <w:lang w:val="en-US"/>
        </w:rPr>
        <w:t xml:space="preserve">o. </w:t>
      </w:r>
      <w:r w:rsidRPr="00DA353E">
        <w:rPr>
          <w:lang w:val="en-US"/>
        </w:rPr>
        <w:t>1/16 of 10 September 2011 on political parties: a declaration subscribing to the Charter of National Unity signed by all founding members; a social project; a request signed by the legal representative accompanied the list of founding members citing names, first names, identity card numbers, date and place of birth as well as the profession and title of each member; a declaration of complete identity of the leaders; proof of residence of the founding members; birth certificates, recent criminal records as well as certificate of moral conduct of the founding members and the leaders; the name and address of the political party; notarised statutes and internal rules of procedure in duplicate; the name of the legal representative and his deputy. In addition, the statutes of political parties must have the following indications: the name of the political party; basic principles and the guidelines of the political party ideology; the head office</w:t>
      </w:r>
      <w:r>
        <w:rPr>
          <w:lang w:val="en-US"/>
        </w:rPr>
        <w:t>;</w:t>
      </w:r>
      <w:r w:rsidRPr="00DA353E">
        <w:rPr>
          <w:lang w:val="en-US"/>
        </w:rPr>
        <w:t xml:space="preserve"> the composition, nomination process and term duration of the governing bodies at the national level; the commitment to respect the National Charter, the Constitution, the </w:t>
      </w:r>
      <w:r w:rsidR="00117EF3">
        <w:rPr>
          <w:lang w:val="en-US"/>
        </w:rPr>
        <w:t>L</w:t>
      </w:r>
      <w:r w:rsidRPr="00DA353E">
        <w:rPr>
          <w:lang w:val="en-US"/>
        </w:rPr>
        <w:t xml:space="preserve">aw, public order and public morals; commitment to the principles laid down in article 22 of this </w:t>
      </w:r>
      <w:r w:rsidR="00117EF3">
        <w:rPr>
          <w:lang w:val="en-US"/>
        </w:rPr>
        <w:t>l</w:t>
      </w:r>
      <w:r w:rsidRPr="00DA353E">
        <w:rPr>
          <w:lang w:val="en-US"/>
        </w:rPr>
        <w:t>aw, explicitly; the internal organisation at the national level; funding sources; required procedures for the modification of statutes; the mode of dissolution and the devolution of the political party assets. </w:t>
      </w:r>
    </w:p>
  </w:footnote>
  <w:footnote w:id="345">
    <w:p w14:paraId="18F1E1F4" w14:textId="63D87195" w:rsidR="00662CCF" w:rsidRPr="00DA353E" w:rsidRDefault="00662CCF" w:rsidP="00EC58CC">
      <w:pPr>
        <w:pStyle w:val="FootnoteText"/>
        <w:jc w:val="both"/>
        <w:rPr>
          <w:lang w:val="en-US"/>
        </w:rPr>
      </w:pPr>
      <w:r w:rsidRPr="00DA353E">
        <w:rPr>
          <w:lang w:val="en-US"/>
        </w:rPr>
        <w:tab/>
      </w:r>
      <w:r w:rsidRPr="00410F39">
        <w:rPr>
          <w:rStyle w:val="FootnoteReference"/>
        </w:rPr>
        <w:footnoteRef/>
      </w:r>
      <w:r w:rsidR="00117EF3">
        <w:rPr>
          <w:lang w:val="en-US"/>
        </w:rPr>
        <w:tab/>
        <w:t>R</w:t>
      </w:r>
      <w:r w:rsidRPr="00DA353E">
        <w:rPr>
          <w:lang w:val="en-US"/>
        </w:rPr>
        <w:t xml:space="preserve">eport of the Special Rapporteur on the </w:t>
      </w:r>
      <w:r>
        <w:rPr>
          <w:lang w:val="en-US"/>
        </w:rPr>
        <w:t>r</w:t>
      </w:r>
      <w:r w:rsidRPr="00DA353E">
        <w:rPr>
          <w:lang w:val="en-US"/>
        </w:rPr>
        <w:t xml:space="preserve">ight to </w:t>
      </w:r>
      <w:r>
        <w:rPr>
          <w:lang w:val="en-US"/>
        </w:rPr>
        <w:t>f</w:t>
      </w:r>
      <w:r w:rsidRPr="00DA353E">
        <w:rPr>
          <w:lang w:val="en-US"/>
        </w:rPr>
        <w:t xml:space="preserve">reedom of </w:t>
      </w:r>
      <w:r>
        <w:rPr>
          <w:lang w:val="en-US"/>
        </w:rPr>
        <w:t>p</w:t>
      </w:r>
      <w:r w:rsidRPr="00DA353E">
        <w:rPr>
          <w:lang w:val="en-US"/>
        </w:rPr>
        <w:t xml:space="preserve">eaceful </w:t>
      </w:r>
      <w:r>
        <w:rPr>
          <w:lang w:val="en-US"/>
        </w:rPr>
        <w:t>a</w:t>
      </w:r>
      <w:r w:rsidRPr="00DA353E">
        <w:rPr>
          <w:lang w:val="en-US"/>
        </w:rPr>
        <w:t xml:space="preserve">ssembly and </w:t>
      </w:r>
      <w:r>
        <w:rPr>
          <w:lang w:val="en-US"/>
        </w:rPr>
        <w:t>f</w:t>
      </w:r>
      <w:r w:rsidRPr="00DA353E">
        <w:rPr>
          <w:lang w:val="en-US"/>
        </w:rPr>
        <w:t xml:space="preserve">reedom of </w:t>
      </w:r>
      <w:r>
        <w:rPr>
          <w:lang w:val="en-US"/>
        </w:rPr>
        <w:t>a</w:t>
      </w:r>
      <w:r w:rsidRPr="00DA353E">
        <w:rPr>
          <w:lang w:val="en-US"/>
        </w:rPr>
        <w:t xml:space="preserve">ssociation, A/68/299, </w:t>
      </w:r>
      <w:r>
        <w:rPr>
          <w:lang w:val="en-US"/>
        </w:rPr>
        <w:t>para.</w:t>
      </w:r>
      <w:r w:rsidRPr="00DA353E">
        <w:rPr>
          <w:lang w:val="en-US"/>
        </w:rPr>
        <w:t xml:space="preserve"> 31.</w:t>
      </w:r>
    </w:p>
  </w:footnote>
  <w:footnote w:id="346">
    <w:p w14:paraId="1276071D" w14:textId="5D5A6E86" w:rsidR="00662CCF" w:rsidRPr="00DA353E" w:rsidRDefault="00662CCF" w:rsidP="00EC58CC">
      <w:pPr>
        <w:pStyle w:val="FootnoteText"/>
        <w:jc w:val="both"/>
        <w:rPr>
          <w:lang w:val="en-US"/>
        </w:rPr>
      </w:pPr>
      <w:r w:rsidRPr="00DA353E">
        <w:rPr>
          <w:lang w:val="en-US"/>
        </w:rPr>
        <w:tab/>
      </w:r>
      <w:r w:rsidRPr="00410F39">
        <w:rPr>
          <w:rStyle w:val="FootnoteReference"/>
        </w:rPr>
        <w:footnoteRef/>
      </w:r>
      <w:r w:rsidRPr="00DA353E">
        <w:rPr>
          <w:lang w:val="en-US"/>
        </w:rPr>
        <w:tab/>
        <w:t xml:space="preserve">See </w:t>
      </w:r>
      <w:r>
        <w:rPr>
          <w:lang w:val="en-US"/>
        </w:rPr>
        <w:t>para.</w:t>
      </w:r>
      <w:r w:rsidRPr="00DA353E">
        <w:rPr>
          <w:lang w:val="en-US"/>
        </w:rPr>
        <w:t xml:space="preserve"> 254-255 of this report.</w:t>
      </w:r>
    </w:p>
  </w:footnote>
  <w:footnote w:id="347">
    <w:p w14:paraId="54FBA339" w14:textId="71F3460B" w:rsidR="00662CCF" w:rsidRPr="00DA353E" w:rsidRDefault="00662CCF" w:rsidP="00EC58CC">
      <w:pPr>
        <w:pStyle w:val="FootnoteText"/>
        <w:jc w:val="both"/>
        <w:rPr>
          <w:lang w:val="en-US"/>
        </w:rPr>
      </w:pPr>
      <w:r w:rsidRPr="00DA353E">
        <w:rPr>
          <w:lang w:val="en-US"/>
        </w:rPr>
        <w:tab/>
      </w:r>
      <w:r w:rsidRPr="00410F39">
        <w:rPr>
          <w:rStyle w:val="FootnoteReference"/>
        </w:rPr>
        <w:footnoteRef/>
      </w:r>
      <w:r w:rsidRPr="00DA353E">
        <w:rPr>
          <w:lang w:val="en-US"/>
        </w:rPr>
        <w:tab/>
      </w:r>
      <w:r>
        <w:rPr>
          <w:lang w:val="en-US"/>
        </w:rPr>
        <w:t>Minister</w:t>
      </w:r>
      <w:r w:rsidRPr="00DA353E">
        <w:rPr>
          <w:lang w:val="en-US"/>
        </w:rPr>
        <w:t xml:space="preserve">ial </w:t>
      </w:r>
      <w:r w:rsidR="00117EF3">
        <w:rPr>
          <w:lang w:val="en-US"/>
        </w:rPr>
        <w:t>o</w:t>
      </w:r>
      <w:r w:rsidRPr="00DA353E">
        <w:rPr>
          <w:lang w:val="en-US"/>
        </w:rPr>
        <w:t xml:space="preserve">rdinance </w:t>
      </w:r>
      <w:r>
        <w:rPr>
          <w:lang w:val="en-US"/>
        </w:rPr>
        <w:t>n°</w:t>
      </w:r>
      <w:r w:rsidRPr="00DA353E">
        <w:rPr>
          <w:lang w:val="en-US"/>
        </w:rPr>
        <w:t>530/1605 of 19 August 2019 on the accreditation and conferment of legal personality of the political part</w:t>
      </w:r>
      <w:r>
        <w:rPr>
          <w:lang w:val="en-US"/>
        </w:rPr>
        <w:t>y</w:t>
      </w:r>
      <w:r w:rsidRPr="00DA353E">
        <w:rPr>
          <w:lang w:val="en-US"/>
        </w:rPr>
        <w:t xml:space="preserve"> called “</w:t>
      </w:r>
      <w:r w:rsidRPr="006461A6">
        <w:rPr>
          <w:i/>
          <w:lang w:val="en-US"/>
        </w:rPr>
        <w:t>Mouvement</w:t>
      </w:r>
      <w:r w:rsidRPr="00DA353E">
        <w:rPr>
          <w:i/>
          <w:lang w:val="en-US"/>
        </w:rPr>
        <w:t xml:space="preserve"> des patriotes humanistes</w:t>
      </w:r>
      <w:r w:rsidRPr="00DA353E">
        <w:rPr>
          <w:lang w:val="en-US"/>
        </w:rPr>
        <w:t>” (MPH).</w:t>
      </w:r>
    </w:p>
  </w:footnote>
  <w:footnote w:id="348">
    <w:p w14:paraId="54B1AAAE" w14:textId="7D3F55DA" w:rsidR="00662CCF" w:rsidRPr="00DA353E" w:rsidRDefault="00662CCF" w:rsidP="00EC58CC">
      <w:pPr>
        <w:pStyle w:val="FootnoteText"/>
        <w:rPr>
          <w:lang w:val="en-US"/>
        </w:rPr>
      </w:pPr>
      <w:r w:rsidRPr="00DA353E">
        <w:rPr>
          <w:lang w:val="en-US"/>
        </w:rPr>
        <w:tab/>
      </w:r>
      <w:r w:rsidRPr="00410F39">
        <w:rPr>
          <w:rStyle w:val="FootnoteReference"/>
        </w:rPr>
        <w:footnoteRef/>
      </w:r>
      <w:r w:rsidRPr="00DA353E">
        <w:rPr>
          <w:lang w:val="en-US"/>
        </w:rPr>
        <w:tab/>
        <w:t xml:space="preserve">See A/HRC/36/CRP.1/Rev.1, </w:t>
      </w:r>
      <w:r>
        <w:rPr>
          <w:lang w:val="en-US"/>
        </w:rPr>
        <w:t>para.</w:t>
      </w:r>
      <w:r w:rsidRPr="00DA353E">
        <w:rPr>
          <w:lang w:val="en-US"/>
        </w:rPr>
        <w:t xml:space="preserve"> 184-187.</w:t>
      </w:r>
    </w:p>
  </w:footnote>
  <w:footnote w:id="349">
    <w:p w14:paraId="3EEDC168" w14:textId="1A370A6F" w:rsidR="00662CCF" w:rsidRPr="00DA353E" w:rsidRDefault="00662CCF" w:rsidP="00EC58CC">
      <w:pPr>
        <w:pStyle w:val="FootnoteText"/>
        <w:rPr>
          <w:lang w:val="en-US"/>
        </w:rPr>
      </w:pPr>
      <w:r w:rsidRPr="00DA353E">
        <w:rPr>
          <w:lang w:val="en-US"/>
        </w:rPr>
        <w:tab/>
      </w:r>
      <w:r w:rsidRPr="00410F39">
        <w:rPr>
          <w:rStyle w:val="FootnoteReference"/>
        </w:rPr>
        <w:footnoteRef/>
      </w:r>
      <w:r w:rsidRPr="00DA353E">
        <w:rPr>
          <w:lang w:val="en-US"/>
        </w:rPr>
        <w:tab/>
        <w:t xml:space="preserve">Request of the </w:t>
      </w:r>
      <w:r>
        <w:rPr>
          <w:lang w:val="en-US"/>
        </w:rPr>
        <w:t>Minister</w:t>
      </w:r>
      <w:r w:rsidRPr="00DA353E">
        <w:rPr>
          <w:lang w:val="en-US"/>
        </w:rPr>
        <w:t xml:space="preserve"> of Interior on 2 November 2017, see</w:t>
      </w:r>
      <w:r>
        <w:rPr>
          <w:lang w:val="en-US"/>
        </w:rPr>
        <w:t xml:space="preserve"> the ordinnance to </w:t>
      </w:r>
      <w:r w:rsidRPr="00DA353E">
        <w:rPr>
          <w:lang w:val="en-US"/>
        </w:rPr>
        <w:t xml:space="preserve">unknown </w:t>
      </w:r>
      <w:r>
        <w:rPr>
          <w:lang w:val="en-US"/>
        </w:rPr>
        <w:t>residency</w:t>
      </w:r>
      <w:r w:rsidR="00117EF3">
        <w:rPr>
          <w:lang w:val="en-US"/>
        </w:rPr>
        <w:t>,</w:t>
      </w:r>
      <w:r w:rsidRPr="00DA353E">
        <w:rPr>
          <w:lang w:val="en-US"/>
        </w:rPr>
        <w:t xml:space="preserve"> RAP 64 of 30 July 2018.</w:t>
      </w:r>
    </w:p>
  </w:footnote>
  <w:footnote w:id="350">
    <w:p w14:paraId="422197B6" w14:textId="38CCCDF3" w:rsidR="00662CCF" w:rsidRPr="00062481" w:rsidRDefault="00662CCF" w:rsidP="00EC58CC">
      <w:pPr>
        <w:pStyle w:val="FootnoteText"/>
        <w:rPr>
          <w:lang w:val="en-US"/>
        </w:rPr>
      </w:pPr>
      <w:r w:rsidRPr="000576B2">
        <w:rPr>
          <w:lang w:val="en-US"/>
        </w:rPr>
        <w:tab/>
      </w:r>
      <w:r w:rsidRPr="00410F39">
        <w:rPr>
          <w:rStyle w:val="FootnoteReference"/>
        </w:rPr>
        <w:footnoteRef/>
      </w:r>
      <w:r w:rsidRPr="000576B2">
        <w:rPr>
          <w:lang w:val="en-US"/>
        </w:rPr>
        <w:tab/>
      </w:r>
      <w:r>
        <w:rPr>
          <w:lang w:val="en-US"/>
        </w:rPr>
        <w:t>Minister</w:t>
      </w:r>
      <w:r w:rsidRPr="00062481">
        <w:rPr>
          <w:lang w:val="en-US"/>
        </w:rPr>
        <w:t xml:space="preserve">ial </w:t>
      </w:r>
      <w:r w:rsidR="00117EF3">
        <w:rPr>
          <w:lang w:val="en-US"/>
        </w:rPr>
        <w:t>o</w:t>
      </w:r>
      <w:r w:rsidRPr="00062481">
        <w:rPr>
          <w:lang w:val="en-US"/>
        </w:rPr>
        <w:t>rdinance n</w:t>
      </w:r>
      <w:r>
        <w:rPr>
          <w:lang w:val="en-US"/>
        </w:rPr>
        <w:t>°</w:t>
      </w:r>
      <w:r w:rsidRPr="00062481">
        <w:rPr>
          <w:lang w:val="en-US"/>
        </w:rPr>
        <w:t>530/1548 of 9 August 2019 on the withdrawal of the suspension of the party CDP.</w:t>
      </w:r>
    </w:p>
  </w:footnote>
  <w:footnote w:id="351">
    <w:p w14:paraId="1DC5EE4C" w14:textId="2CA9B360" w:rsidR="00662CCF" w:rsidRPr="00062481" w:rsidRDefault="00662CCF" w:rsidP="00EC58CC">
      <w:pPr>
        <w:pStyle w:val="FootnoteText"/>
        <w:rPr>
          <w:lang w:val="en-US"/>
        </w:rPr>
      </w:pPr>
      <w:r w:rsidRPr="00062481">
        <w:rPr>
          <w:lang w:val="en-US"/>
        </w:rPr>
        <w:tab/>
      </w:r>
      <w:r w:rsidRPr="00410F39">
        <w:rPr>
          <w:rStyle w:val="FootnoteReference"/>
        </w:rPr>
        <w:footnoteRef/>
      </w:r>
      <w:r w:rsidR="00117EF3">
        <w:rPr>
          <w:lang w:val="en-US"/>
        </w:rPr>
        <w:tab/>
        <w:t>R</w:t>
      </w:r>
      <w:r w:rsidRPr="00DA353E">
        <w:rPr>
          <w:lang w:val="en-US"/>
        </w:rPr>
        <w:t xml:space="preserve">eport of the Special Rapporteur on the </w:t>
      </w:r>
      <w:r>
        <w:rPr>
          <w:lang w:val="en-US"/>
        </w:rPr>
        <w:t>r</w:t>
      </w:r>
      <w:r w:rsidRPr="00DA353E">
        <w:rPr>
          <w:lang w:val="en-US"/>
        </w:rPr>
        <w:t xml:space="preserve">ight to </w:t>
      </w:r>
      <w:r>
        <w:rPr>
          <w:lang w:val="en-US"/>
        </w:rPr>
        <w:t>f</w:t>
      </w:r>
      <w:r w:rsidRPr="00DA353E">
        <w:rPr>
          <w:lang w:val="en-US"/>
        </w:rPr>
        <w:t xml:space="preserve">reedom of </w:t>
      </w:r>
      <w:r>
        <w:rPr>
          <w:lang w:val="en-US"/>
        </w:rPr>
        <w:t>p</w:t>
      </w:r>
      <w:r w:rsidRPr="00DA353E">
        <w:rPr>
          <w:lang w:val="en-US"/>
        </w:rPr>
        <w:t xml:space="preserve">eaceful </w:t>
      </w:r>
      <w:r>
        <w:rPr>
          <w:lang w:val="en-US"/>
        </w:rPr>
        <w:t>a</w:t>
      </w:r>
      <w:r w:rsidRPr="00DA353E">
        <w:rPr>
          <w:lang w:val="en-US"/>
        </w:rPr>
        <w:t xml:space="preserve">ssembly and </w:t>
      </w:r>
      <w:r>
        <w:rPr>
          <w:lang w:val="en-US"/>
        </w:rPr>
        <w:t>f</w:t>
      </w:r>
      <w:r w:rsidRPr="00DA353E">
        <w:rPr>
          <w:lang w:val="en-US"/>
        </w:rPr>
        <w:t xml:space="preserve">reedom of </w:t>
      </w:r>
      <w:r>
        <w:rPr>
          <w:lang w:val="en-US"/>
        </w:rPr>
        <w:t>a</w:t>
      </w:r>
      <w:r w:rsidRPr="00DA353E">
        <w:rPr>
          <w:lang w:val="en-US"/>
        </w:rPr>
        <w:t>ssociation</w:t>
      </w:r>
      <w:r w:rsidRPr="00062481">
        <w:rPr>
          <w:lang w:val="en-US"/>
        </w:rPr>
        <w:t xml:space="preserve">, A/68/299, </w:t>
      </w:r>
      <w:r>
        <w:rPr>
          <w:lang w:val="en-US"/>
        </w:rPr>
        <w:t>para.</w:t>
      </w:r>
      <w:r w:rsidRPr="00062481">
        <w:rPr>
          <w:lang w:val="en-US"/>
        </w:rPr>
        <w:t xml:space="preserve"> 24.</w:t>
      </w:r>
    </w:p>
  </w:footnote>
  <w:footnote w:id="352">
    <w:p w14:paraId="4D539088" w14:textId="7EC31357" w:rsidR="00662CCF" w:rsidRPr="00E00D78" w:rsidRDefault="00662CCF" w:rsidP="00EC58CC">
      <w:pPr>
        <w:pStyle w:val="FootnoteText"/>
        <w:rPr>
          <w:lang w:val="en-US"/>
        </w:rPr>
      </w:pPr>
      <w:r w:rsidRPr="00062481">
        <w:rPr>
          <w:lang w:val="en-US"/>
        </w:rPr>
        <w:tab/>
      </w:r>
      <w:r w:rsidRPr="00410F39">
        <w:rPr>
          <w:rStyle w:val="FootnoteReference"/>
        </w:rPr>
        <w:footnoteRef/>
      </w:r>
      <w:r w:rsidRPr="00E00D78">
        <w:rPr>
          <w:lang w:val="en-US"/>
        </w:rPr>
        <w:tab/>
        <w:t xml:space="preserve">Articles 11 and 38 of </w:t>
      </w:r>
      <w:r w:rsidR="00117EF3">
        <w:rPr>
          <w:lang w:val="en-US"/>
        </w:rPr>
        <w:t>l</w:t>
      </w:r>
      <w:r w:rsidRPr="00E00D78">
        <w:rPr>
          <w:lang w:val="en-US"/>
        </w:rPr>
        <w:t>aw n</w:t>
      </w:r>
      <w:r w:rsidR="00117EF3">
        <w:rPr>
          <w:lang w:val="en-US"/>
        </w:rPr>
        <w:t xml:space="preserve">o. </w:t>
      </w:r>
      <w:r w:rsidRPr="00E00D78">
        <w:rPr>
          <w:lang w:val="en-US"/>
        </w:rPr>
        <w:t xml:space="preserve">1/16 </w:t>
      </w:r>
      <w:r>
        <w:rPr>
          <w:lang w:val="en-US"/>
        </w:rPr>
        <w:t>of</w:t>
      </w:r>
      <w:r w:rsidRPr="00E00D78">
        <w:rPr>
          <w:lang w:val="en-US"/>
        </w:rPr>
        <w:t xml:space="preserve"> 10 September 2011.</w:t>
      </w:r>
    </w:p>
  </w:footnote>
  <w:footnote w:id="353">
    <w:p w14:paraId="19DC90B8" w14:textId="2142E66F" w:rsidR="00662CCF" w:rsidRPr="00062481" w:rsidRDefault="00662CCF" w:rsidP="00EC58CC">
      <w:pPr>
        <w:pStyle w:val="FootnoteText"/>
        <w:rPr>
          <w:lang w:val="en-US"/>
        </w:rPr>
      </w:pPr>
      <w:r w:rsidRPr="00E00D78">
        <w:rPr>
          <w:lang w:val="en-US"/>
        </w:rPr>
        <w:tab/>
      </w:r>
      <w:r w:rsidRPr="00410F39">
        <w:rPr>
          <w:rStyle w:val="FootnoteReference"/>
        </w:rPr>
        <w:footnoteRef/>
      </w:r>
      <w:r w:rsidRPr="00062481">
        <w:rPr>
          <w:lang w:val="en-US"/>
        </w:rPr>
        <w:tab/>
        <w:t xml:space="preserve">See </w:t>
      </w:r>
      <w:r>
        <w:rPr>
          <w:lang w:val="en-US"/>
        </w:rPr>
        <w:t>para.</w:t>
      </w:r>
      <w:r w:rsidRPr="00062481">
        <w:rPr>
          <w:lang w:val="en-US"/>
        </w:rPr>
        <w:t xml:space="preserve"> 80, 106, 121, 149 and 255 of this report.</w:t>
      </w:r>
    </w:p>
  </w:footnote>
  <w:footnote w:id="354">
    <w:p w14:paraId="3DA8981E" w14:textId="77777777" w:rsidR="00662CCF" w:rsidRPr="00062481" w:rsidRDefault="00662CCF" w:rsidP="00EC58CC">
      <w:pPr>
        <w:pStyle w:val="FootnoteText"/>
        <w:rPr>
          <w:lang w:val="en-US"/>
        </w:rPr>
      </w:pPr>
      <w:r w:rsidRPr="00062481">
        <w:rPr>
          <w:lang w:val="en-US"/>
        </w:rPr>
        <w:tab/>
      </w:r>
      <w:r w:rsidRPr="00410F39">
        <w:rPr>
          <w:rStyle w:val="FootnoteReference"/>
        </w:rPr>
        <w:footnoteRef/>
      </w:r>
      <w:r w:rsidRPr="00062481">
        <w:rPr>
          <w:lang w:val="en-US"/>
        </w:rPr>
        <w:tab/>
      </w:r>
      <w:hyperlink r:id="rId99" w:history="1">
        <w:r w:rsidRPr="00062481">
          <w:rPr>
            <w:lang w:val="en-US"/>
          </w:rPr>
          <w:t>https://twitter.com/BurundiCnl/status/1164203257750786053</w:t>
        </w:r>
      </w:hyperlink>
      <w:r w:rsidRPr="00062481">
        <w:rPr>
          <w:lang w:val="en-US"/>
        </w:rPr>
        <w:t>.</w:t>
      </w:r>
    </w:p>
  </w:footnote>
  <w:footnote w:id="355">
    <w:p w14:paraId="07E0965C" w14:textId="77777777" w:rsidR="00662CCF" w:rsidRPr="00062481" w:rsidRDefault="00662CCF" w:rsidP="00EC58CC">
      <w:pPr>
        <w:pStyle w:val="FootnoteText"/>
        <w:rPr>
          <w:lang w:val="en-US"/>
        </w:rPr>
      </w:pPr>
      <w:r w:rsidRPr="00062481">
        <w:rPr>
          <w:lang w:val="en-US"/>
        </w:rPr>
        <w:tab/>
      </w:r>
      <w:r w:rsidRPr="00410F39">
        <w:rPr>
          <w:rStyle w:val="FootnoteReference"/>
        </w:rPr>
        <w:footnoteRef/>
      </w:r>
      <w:r w:rsidRPr="00062481">
        <w:rPr>
          <w:lang w:val="en-US"/>
        </w:rPr>
        <w:tab/>
      </w:r>
      <w:hyperlink r:id="rId100" w:history="1">
        <w:r w:rsidRPr="00062481">
          <w:rPr>
            <w:lang w:val="en-US"/>
          </w:rPr>
          <w:t>https://twitter.com/BurundiSecurity/status/1164815174018064386</w:t>
        </w:r>
      </w:hyperlink>
      <w:r w:rsidRPr="00062481">
        <w:rPr>
          <w:lang w:val="en-US"/>
        </w:rPr>
        <w:t>.</w:t>
      </w:r>
    </w:p>
  </w:footnote>
  <w:footnote w:id="356">
    <w:p w14:paraId="4DF50AA2" w14:textId="646B0205" w:rsidR="00662CCF" w:rsidRPr="00E00D78" w:rsidRDefault="00662CCF" w:rsidP="00EC58CC">
      <w:pPr>
        <w:pStyle w:val="FootnoteText"/>
        <w:rPr>
          <w:lang w:val="en-US"/>
        </w:rPr>
      </w:pPr>
      <w:r w:rsidRPr="00062481">
        <w:rPr>
          <w:lang w:val="en-US"/>
        </w:rPr>
        <w:tab/>
      </w:r>
      <w:r w:rsidRPr="00410F39">
        <w:rPr>
          <w:rStyle w:val="FootnoteReference"/>
        </w:rPr>
        <w:footnoteRef/>
      </w:r>
      <w:r w:rsidRPr="00E00D78">
        <w:rPr>
          <w:lang w:val="en-US"/>
        </w:rPr>
        <w:tab/>
        <w:t xml:space="preserve">Press release of 23 April 2019, available at: </w:t>
      </w:r>
    </w:p>
    <w:p w14:paraId="4CA5C011" w14:textId="69EE600B" w:rsidR="00662CCF" w:rsidRPr="00E00D78" w:rsidRDefault="00662CCF" w:rsidP="00EC58CC">
      <w:pPr>
        <w:pStyle w:val="FootnoteText"/>
        <w:spacing w:line="240" w:lineRule="auto"/>
        <w:ind w:hanging="141"/>
        <w:rPr>
          <w:lang w:val="en-US"/>
        </w:rPr>
      </w:pPr>
      <w:r w:rsidRPr="00E00D78">
        <w:rPr>
          <w:lang w:val="en-US"/>
        </w:rPr>
        <w:t xml:space="preserve"> https://www.uantwerpen.be/images/uantwerpen/container49546/files/Burundi/pp/frod/230419.pdf.</w:t>
      </w:r>
    </w:p>
  </w:footnote>
  <w:footnote w:id="357">
    <w:p w14:paraId="0DC63681" w14:textId="77777777" w:rsidR="00662CCF" w:rsidRPr="00E00D78" w:rsidRDefault="00662CCF" w:rsidP="00EC58CC">
      <w:pPr>
        <w:pStyle w:val="FootnoteText"/>
        <w:rPr>
          <w:lang w:val="en-US"/>
        </w:rPr>
      </w:pPr>
      <w:r w:rsidRPr="00E00D78">
        <w:rPr>
          <w:lang w:val="en-US"/>
        </w:rPr>
        <w:tab/>
      </w:r>
      <w:r w:rsidRPr="00410F39">
        <w:rPr>
          <w:rStyle w:val="FootnoteReference"/>
        </w:rPr>
        <w:footnoteRef/>
      </w:r>
      <w:r w:rsidRPr="00E00D78">
        <w:rPr>
          <w:lang w:val="en-US"/>
        </w:rPr>
        <w:tab/>
      </w:r>
      <w:hyperlink r:id="rId101" w:history="1">
        <w:r w:rsidRPr="00E00D78">
          <w:rPr>
            <w:lang w:val="en-US"/>
          </w:rPr>
          <w:t>http://www.rtnb.bi/fr/art.php?idapi=3/3/114</w:t>
        </w:r>
      </w:hyperlink>
      <w:r w:rsidRPr="00E00D78">
        <w:rPr>
          <w:lang w:val="en-US"/>
        </w:rPr>
        <w:t>.</w:t>
      </w:r>
    </w:p>
  </w:footnote>
  <w:footnote w:id="358">
    <w:p w14:paraId="08259CAD" w14:textId="6C2A711B" w:rsidR="00662CCF" w:rsidRPr="00062481" w:rsidRDefault="00662CCF" w:rsidP="00EC58CC">
      <w:pPr>
        <w:pStyle w:val="FootnoteText"/>
        <w:rPr>
          <w:lang w:val="en-US"/>
        </w:rPr>
      </w:pPr>
      <w:r w:rsidRPr="00E00D78">
        <w:rPr>
          <w:lang w:val="en-US"/>
        </w:rPr>
        <w:tab/>
      </w:r>
      <w:r w:rsidRPr="00410F39">
        <w:rPr>
          <w:rStyle w:val="FootnoteReference"/>
        </w:rPr>
        <w:footnoteRef/>
      </w:r>
      <w:r w:rsidRPr="00062481">
        <w:rPr>
          <w:lang w:val="en-US"/>
        </w:rPr>
        <w:tab/>
        <w:t xml:space="preserve">See </w:t>
      </w:r>
      <w:r>
        <w:rPr>
          <w:lang w:val="en-US"/>
        </w:rPr>
        <w:t>para.</w:t>
      </w:r>
      <w:r w:rsidRPr="00062481">
        <w:rPr>
          <w:lang w:val="en-US"/>
        </w:rPr>
        <w:t xml:space="preserve"> 279-281 of this report.</w:t>
      </w:r>
    </w:p>
  </w:footnote>
  <w:footnote w:id="359">
    <w:p w14:paraId="25F859F6" w14:textId="77777777" w:rsidR="00662CCF" w:rsidRPr="006E78C4" w:rsidRDefault="00662CCF" w:rsidP="00EC58CC">
      <w:pPr>
        <w:pStyle w:val="FootnoteText"/>
      </w:pPr>
      <w:r w:rsidRPr="000576B2">
        <w:rPr>
          <w:lang w:val="en-US"/>
        </w:rPr>
        <w:tab/>
      </w:r>
      <w:r w:rsidRPr="00410F39">
        <w:rPr>
          <w:rStyle w:val="FootnoteReference"/>
        </w:rPr>
        <w:footnoteRef/>
      </w:r>
      <w:r w:rsidRPr="006E78C4">
        <w:tab/>
        <w:t xml:space="preserve">OSCE, </w:t>
      </w:r>
      <w:r w:rsidRPr="00117EF3">
        <w:rPr>
          <w:i/>
        </w:rPr>
        <w:t>Election Observation Handbook</w:t>
      </w:r>
      <w:r w:rsidRPr="006E78C4">
        <w:t xml:space="preserve">, sixth edition, 2010, p. 20. </w:t>
      </w:r>
    </w:p>
  </w:footnote>
  <w:footnote w:id="360">
    <w:p w14:paraId="43A00649" w14:textId="5D6CFC31" w:rsidR="00662CCF" w:rsidRPr="00062481" w:rsidRDefault="00662CCF" w:rsidP="00EC58CC">
      <w:pPr>
        <w:pStyle w:val="FootnoteText"/>
        <w:rPr>
          <w:lang w:val="en-US"/>
        </w:rPr>
      </w:pPr>
      <w:r w:rsidRPr="006E78C4">
        <w:tab/>
      </w:r>
      <w:r w:rsidRPr="00410F39">
        <w:rPr>
          <w:rStyle w:val="FootnoteReference"/>
        </w:rPr>
        <w:footnoteRef/>
      </w:r>
      <w:r w:rsidRPr="006E78C4">
        <w:tab/>
      </w:r>
      <w:hyperlink r:id="rId102" w:history="1">
        <w:r w:rsidRPr="006E78C4">
          <w:t>https://twitter.com/CnddFdd/status/11639271121406976010</w:t>
        </w:r>
      </w:hyperlink>
      <w:r w:rsidRPr="006E78C4">
        <w:t xml:space="preserve">. </w:t>
      </w:r>
      <w:r>
        <w:t xml:space="preserve">According to </w:t>
      </w:r>
      <w:r w:rsidR="00117EF3">
        <w:t>m</w:t>
      </w:r>
      <w:r>
        <w:t xml:space="preserve">inisterial </w:t>
      </w:r>
      <w:r w:rsidR="00117EF3">
        <w:t>o</w:t>
      </w:r>
      <w:r>
        <w:t xml:space="preserve">rdinance </w:t>
      </w:r>
      <w:r w:rsidRPr="00062481">
        <w:rPr>
          <w:lang w:val="en-US"/>
        </w:rPr>
        <w:t xml:space="preserve">n°530/1848 of 30 December 2005 on the modification of the administrative division of the Republic of Burundi and the reference to the 2008 census, Burundi is divided into 129 communes, 2,910 </w:t>
      </w:r>
      <w:r w:rsidRPr="00062481">
        <w:rPr>
          <w:i/>
          <w:lang w:val="en-US"/>
        </w:rPr>
        <w:t>collines</w:t>
      </w:r>
      <w:r w:rsidRPr="00062481">
        <w:rPr>
          <w:lang w:val="en-US"/>
        </w:rPr>
        <w:t xml:space="preserve"> and neighbo</w:t>
      </w:r>
      <w:r>
        <w:rPr>
          <w:lang w:val="en-US"/>
        </w:rPr>
        <w:t>u</w:t>
      </w:r>
      <w:r w:rsidRPr="00062481">
        <w:rPr>
          <w:lang w:val="en-US"/>
        </w:rPr>
        <w:t>rhoods.</w:t>
      </w:r>
    </w:p>
  </w:footnote>
  <w:footnote w:id="361">
    <w:p w14:paraId="6D1E0924" w14:textId="6BB699A2" w:rsidR="00662CCF" w:rsidRPr="00062481" w:rsidRDefault="00662CCF" w:rsidP="00EC58CC">
      <w:pPr>
        <w:pStyle w:val="FootnoteText"/>
        <w:rPr>
          <w:lang w:val="en-US"/>
        </w:rPr>
      </w:pPr>
      <w:r w:rsidRPr="00062481">
        <w:rPr>
          <w:lang w:val="en-US"/>
        </w:rPr>
        <w:tab/>
      </w:r>
      <w:r w:rsidRPr="00410F39">
        <w:rPr>
          <w:rStyle w:val="FootnoteReference"/>
        </w:rPr>
        <w:footnoteRef/>
      </w:r>
      <w:r w:rsidRPr="00062481">
        <w:rPr>
          <w:lang w:val="en-US"/>
        </w:rPr>
        <w:tab/>
        <w:t>Article 3 of</w:t>
      </w:r>
      <w:r>
        <w:rPr>
          <w:lang w:val="en-US"/>
        </w:rPr>
        <w:t xml:space="preserve"> </w:t>
      </w:r>
      <w:r w:rsidR="00117EF3">
        <w:rPr>
          <w:lang w:val="en-US"/>
        </w:rPr>
        <w:t>l</w:t>
      </w:r>
      <w:r w:rsidRPr="00062481">
        <w:rPr>
          <w:lang w:val="en-US"/>
        </w:rPr>
        <w:t>aw n</w:t>
      </w:r>
      <w:r>
        <w:rPr>
          <w:lang w:val="en-US"/>
        </w:rPr>
        <w:t>°</w:t>
      </w:r>
      <w:r w:rsidRPr="00062481">
        <w:rPr>
          <w:lang w:val="en-US"/>
        </w:rPr>
        <w:t xml:space="preserve">1/33 of 28 November 2014 on the revision of </w:t>
      </w:r>
      <w:r w:rsidR="00117EF3">
        <w:rPr>
          <w:lang w:val="en-US"/>
        </w:rPr>
        <w:t>l</w:t>
      </w:r>
      <w:r w:rsidRPr="00062481">
        <w:rPr>
          <w:lang w:val="en-US"/>
        </w:rPr>
        <w:t>aw n</w:t>
      </w:r>
      <w:r>
        <w:rPr>
          <w:lang w:val="en-US"/>
        </w:rPr>
        <w:t>°</w:t>
      </w:r>
      <w:r w:rsidRPr="00062481">
        <w:rPr>
          <w:lang w:val="en-US"/>
        </w:rPr>
        <w:t>1/02 of 25 January 2010 on the organisation of the communal administration.</w:t>
      </w:r>
    </w:p>
  </w:footnote>
  <w:footnote w:id="362">
    <w:p w14:paraId="34519620" w14:textId="4D21900C" w:rsidR="00662CCF" w:rsidRPr="00E00D78" w:rsidRDefault="00662CCF" w:rsidP="00EC58CC">
      <w:pPr>
        <w:pStyle w:val="FootnoteText"/>
        <w:rPr>
          <w:lang w:val="en-US"/>
        </w:rPr>
      </w:pPr>
      <w:r w:rsidRPr="00062481">
        <w:rPr>
          <w:lang w:val="en-US"/>
        </w:rPr>
        <w:tab/>
      </w:r>
      <w:r w:rsidRPr="00410F39">
        <w:rPr>
          <w:rStyle w:val="FootnoteReference"/>
        </w:rPr>
        <w:footnoteRef/>
      </w:r>
      <w:r w:rsidRPr="00E00D78">
        <w:rPr>
          <w:lang w:val="en-US"/>
        </w:rPr>
        <w:tab/>
        <w:t xml:space="preserve">Article 8 of </w:t>
      </w:r>
      <w:r w:rsidR="00117EF3">
        <w:rPr>
          <w:lang w:val="en-US"/>
        </w:rPr>
        <w:t>l</w:t>
      </w:r>
      <w:r w:rsidRPr="00E00D78">
        <w:rPr>
          <w:lang w:val="en-US"/>
        </w:rPr>
        <w:t>aw n°1/33 of 28 November 2014.</w:t>
      </w:r>
    </w:p>
  </w:footnote>
  <w:footnote w:id="363">
    <w:p w14:paraId="38F920C4" w14:textId="75C05F20" w:rsidR="00662CCF" w:rsidRPr="00E00D78" w:rsidRDefault="00662CCF" w:rsidP="00EC58CC">
      <w:pPr>
        <w:pStyle w:val="FootnoteText"/>
        <w:rPr>
          <w:lang w:val="en-US"/>
        </w:rPr>
      </w:pPr>
      <w:r w:rsidRPr="00E00D78">
        <w:rPr>
          <w:lang w:val="en-US"/>
        </w:rPr>
        <w:tab/>
      </w:r>
      <w:r w:rsidRPr="00410F39">
        <w:rPr>
          <w:rStyle w:val="FootnoteReference"/>
        </w:rPr>
        <w:footnoteRef/>
      </w:r>
      <w:r w:rsidRPr="00E00D78">
        <w:rPr>
          <w:lang w:val="en-US"/>
        </w:rPr>
        <w:tab/>
        <w:t xml:space="preserve">Articles 9-11 of </w:t>
      </w:r>
      <w:r w:rsidR="00117EF3">
        <w:rPr>
          <w:lang w:val="en-US"/>
        </w:rPr>
        <w:t>l</w:t>
      </w:r>
      <w:r w:rsidRPr="00E00D78">
        <w:rPr>
          <w:lang w:val="en-US"/>
        </w:rPr>
        <w:t xml:space="preserve">aw n°1/33 of 28 </w:t>
      </w:r>
      <w:r>
        <w:rPr>
          <w:lang w:val="en-US"/>
        </w:rPr>
        <w:t>November</w:t>
      </w:r>
      <w:r w:rsidRPr="00E00D78">
        <w:rPr>
          <w:lang w:val="en-US"/>
        </w:rPr>
        <w:t xml:space="preserve"> 2014. </w:t>
      </w:r>
    </w:p>
  </w:footnote>
  <w:footnote w:id="364">
    <w:p w14:paraId="486AE28F" w14:textId="74909E3F" w:rsidR="00662CCF" w:rsidRPr="00E00D78" w:rsidRDefault="00662CCF" w:rsidP="00EC58CC">
      <w:pPr>
        <w:pStyle w:val="FootnoteText"/>
        <w:rPr>
          <w:lang w:val="en-US"/>
        </w:rPr>
      </w:pPr>
      <w:r w:rsidRPr="00E00D78">
        <w:rPr>
          <w:lang w:val="en-US"/>
        </w:rPr>
        <w:tab/>
      </w:r>
      <w:r w:rsidRPr="00410F39">
        <w:rPr>
          <w:rStyle w:val="FootnoteReference"/>
        </w:rPr>
        <w:footnoteRef/>
      </w:r>
      <w:r w:rsidRPr="00E00D78">
        <w:rPr>
          <w:lang w:val="en-US"/>
        </w:rPr>
        <w:tab/>
        <w:t xml:space="preserve">Articles 24-29 of </w:t>
      </w:r>
      <w:r w:rsidR="00117EF3">
        <w:rPr>
          <w:lang w:val="en-US"/>
        </w:rPr>
        <w:t>l</w:t>
      </w:r>
      <w:r w:rsidRPr="00E00D78">
        <w:rPr>
          <w:lang w:val="en-US"/>
        </w:rPr>
        <w:t>aw n°1/33 du 28 November 2014.</w:t>
      </w:r>
    </w:p>
  </w:footnote>
  <w:footnote w:id="365">
    <w:p w14:paraId="47825C3E" w14:textId="7B2A731F" w:rsidR="00662CCF" w:rsidRPr="00E00D78" w:rsidRDefault="00662CCF" w:rsidP="00EC58CC">
      <w:pPr>
        <w:pStyle w:val="FootnoteText"/>
        <w:rPr>
          <w:lang w:val="en-US"/>
        </w:rPr>
      </w:pPr>
      <w:r w:rsidRPr="00E00D78">
        <w:rPr>
          <w:lang w:val="en-US"/>
        </w:rPr>
        <w:tab/>
      </w:r>
      <w:r w:rsidRPr="00410F39">
        <w:rPr>
          <w:rStyle w:val="FootnoteReference"/>
        </w:rPr>
        <w:footnoteRef/>
      </w:r>
      <w:r w:rsidRPr="00E00D78">
        <w:rPr>
          <w:lang w:val="en-US"/>
        </w:rPr>
        <w:tab/>
        <w:t xml:space="preserve">Article 8 of </w:t>
      </w:r>
      <w:r w:rsidR="00117EF3">
        <w:rPr>
          <w:lang w:val="en-US"/>
        </w:rPr>
        <w:t>l</w:t>
      </w:r>
      <w:r w:rsidRPr="00E00D78">
        <w:rPr>
          <w:lang w:val="en-US"/>
        </w:rPr>
        <w:t>aw n°1/33 du 28 November 2014.</w:t>
      </w:r>
    </w:p>
  </w:footnote>
  <w:footnote w:id="366">
    <w:p w14:paraId="6F199D9F" w14:textId="35521CD5" w:rsidR="00662CCF" w:rsidRPr="00E00D78" w:rsidRDefault="00662CCF" w:rsidP="00EC58CC">
      <w:pPr>
        <w:pStyle w:val="FootnoteText"/>
        <w:rPr>
          <w:lang w:val="en-US"/>
        </w:rPr>
      </w:pPr>
      <w:r w:rsidRPr="00E00D78">
        <w:rPr>
          <w:lang w:val="en-US"/>
        </w:rPr>
        <w:tab/>
      </w:r>
      <w:r w:rsidRPr="00410F39">
        <w:rPr>
          <w:rStyle w:val="FootnoteReference"/>
        </w:rPr>
        <w:footnoteRef/>
      </w:r>
      <w:r w:rsidRPr="00E00D78">
        <w:rPr>
          <w:lang w:val="en-US"/>
        </w:rPr>
        <w:tab/>
        <w:t xml:space="preserve">Articles 43 and 47 of </w:t>
      </w:r>
      <w:r w:rsidR="00117EF3">
        <w:rPr>
          <w:lang w:val="en-US"/>
        </w:rPr>
        <w:t>l</w:t>
      </w:r>
      <w:r w:rsidRPr="00E00D78">
        <w:rPr>
          <w:lang w:val="en-US"/>
        </w:rPr>
        <w:t>aw n°1/33 du 28 November 2014.</w:t>
      </w:r>
    </w:p>
  </w:footnote>
  <w:footnote w:id="367">
    <w:p w14:paraId="44C0DA91" w14:textId="1947D489" w:rsidR="00662CCF" w:rsidRPr="00062481" w:rsidRDefault="00662CCF" w:rsidP="00EC58CC">
      <w:pPr>
        <w:pStyle w:val="FootnoteText"/>
        <w:rPr>
          <w:lang w:val="en-US"/>
        </w:rPr>
      </w:pPr>
      <w:r w:rsidRPr="00E00D78">
        <w:rPr>
          <w:lang w:val="en-US"/>
        </w:rPr>
        <w:tab/>
      </w:r>
      <w:r w:rsidRPr="00410F39">
        <w:rPr>
          <w:rStyle w:val="FootnoteReference"/>
        </w:rPr>
        <w:footnoteRef/>
      </w:r>
      <w:r w:rsidRPr="00062481">
        <w:rPr>
          <w:lang w:val="en-US"/>
        </w:rPr>
        <w:tab/>
        <w:t xml:space="preserve">Articles 59-61 of the </w:t>
      </w:r>
      <w:r w:rsidR="00117EF3">
        <w:rPr>
          <w:lang w:val="en-US"/>
        </w:rPr>
        <w:t>l</w:t>
      </w:r>
      <w:r w:rsidRPr="00062481">
        <w:rPr>
          <w:lang w:val="en-US"/>
        </w:rPr>
        <w:t xml:space="preserve">aw </w:t>
      </w:r>
      <w:r>
        <w:rPr>
          <w:lang w:val="en-US"/>
        </w:rPr>
        <w:t>n°</w:t>
      </w:r>
      <w:r w:rsidRPr="00062481">
        <w:rPr>
          <w:lang w:val="en-US"/>
        </w:rPr>
        <w:t>1/33 of 28 November 2014.</w:t>
      </w:r>
    </w:p>
  </w:footnote>
  <w:footnote w:id="368">
    <w:p w14:paraId="358DC59E" w14:textId="77777777" w:rsidR="00662CCF" w:rsidRPr="00062481" w:rsidRDefault="00662CCF" w:rsidP="00EC58CC">
      <w:pPr>
        <w:pStyle w:val="FootnoteText"/>
        <w:rPr>
          <w:lang w:val="en-US"/>
        </w:rPr>
      </w:pPr>
      <w:r w:rsidRPr="000576B2">
        <w:rPr>
          <w:lang w:val="en-US"/>
        </w:rPr>
        <w:tab/>
      </w:r>
      <w:r w:rsidRPr="00410F39">
        <w:rPr>
          <w:rStyle w:val="FootnoteReference"/>
        </w:rPr>
        <w:footnoteRef/>
      </w:r>
      <w:r w:rsidRPr="000576B2">
        <w:rPr>
          <w:lang w:val="en-US"/>
        </w:rPr>
        <w:tab/>
      </w:r>
      <w:r w:rsidRPr="00062481">
        <w:rPr>
          <w:lang w:val="en-US"/>
        </w:rPr>
        <w:t>TI-213.</w:t>
      </w:r>
    </w:p>
  </w:footnote>
  <w:footnote w:id="369">
    <w:p w14:paraId="1AE3092E" w14:textId="07DDAFD3" w:rsidR="00662CCF" w:rsidRPr="00062481" w:rsidRDefault="00662CCF" w:rsidP="00EC58CC">
      <w:pPr>
        <w:pStyle w:val="FootnoteText"/>
        <w:rPr>
          <w:lang w:val="en-US"/>
        </w:rPr>
      </w:pPr>
      <w:r w:rsidRPr="00062481">
        <w:rPr>
          <w:lang w:val="en-US"/>
        </w:rPr>
        <w:tab/>
      </w:r>
      <w:r w:rsidRPr="00410F39">
        <w:rPr>
          <w:rStyle w:val="FootnoteReference"/>
        </w:rPr>
        <w:footnoteRef/>
      </w:r>
      <w:r w:rsidRPr="00062481">
        <w:rPr>
          <w:lang w:val="en-US"/>
        </w:rPr>
        <w:tab/>
        <w:t xml:space="preserve">See </w:t>
      </w:r>
      <w:r>
        <w:rPr>
          <w:lang w:val="en-US"/>
        </w:rPr>
        <w:t>para.</w:t>
      </w:r>
      <w:r w:rsidRPr="00062481">
        <w:rPr>
          <w:lang w:val="en-US"/>
        </w:rPr>
        <w:t xml:space="preserve"> 537-538 of this report. </w:t>
      </w:r>
    </w:p>
  </w:footnote>
  <w:footnote w:id="370">
    <w:p w14:paraId="12E3E7D4" w14:textId="77777777" w:rsidR="00662CCF" w:rsidRPr="00062481" w:rsidRDefault="00662CCF" w:rsidP="00EC58CC">
      <w:pPr>
        <w:pStyle w:val="FootnoteText"/>
        <w:rPr>
          <w:lang w:val="en-US"/>
        </w:rPr>
      </w:pPr>
      <w:r w:rsidRPr="00062481">
        <w:rPr>
          <w:lang w:val="en-US"/>
        </w:rPr>
        <w:tab/>
      </w:r>
      <w:r w:rsidRPr="00410F39">
        <w:rPr>
          <w:rStyle w:val="FootnoteReference"/>
        </w:rPr>
        <w:footnoteRef/>
      </w:r>
      <w:r w:rsidRPr="00062481">
        <w:rPr>
          <w:lang w:val="en-US"/>
        </w:rPr>
        <w:tab/>
      </w:r>
      <w:hyperlink r:id="rId103" w:history="1">
        <w:r w:rsidRPr="00062481">
          <w:rPr>
            <w:lang w:val="en-US"/>
          </w:rPr>
          <w:t>https://twitter.com/BurundiSecurity/status/1164815174018064386</w:t>
        </w:r>
      </w:hyperlink>
      <w:r w:rsidRPr="00062481">
        <w:rPr>
          <w:lang w:val="en-US"/>
        </w:rPr>
        <w:t>.</w:t>
      </w:r>
    </w:p>
  </w:footnote>
  <w:footnote w:id="371">
    <w:p w14:paraId="4C4179BF" w14:textId="77777777" w:rsidR="00662CCF" w:rsidRPr="00062481" w:rsidRDefault="00662CCF" w:rsidP="00EC58CC">
      <w:pPr>
        <w:pStyle w:val="FootnoteText"/>
        <w:rPr>
          <w:lang w:val="en-US"/>
        </w:rPr>
      </w:pPr>
      <w:r w:rsidRPr="00062481">
        <w:rPr>
          <w:lang w:val="en-US"/>
        </w:rPr>
        <w:tab/>
      </w:r>
      <w:r w:rsidRPr="00410F39">
        <w:rPr>
          <w:rStyle w:val="FootnoteReference"/>
        </w:rPr>
        <w:footnoteRef/>
      </w:r>
      <w:r w:rsidRPr="00062481">
        <w:rPr>
          <w:lang w:val="en-US"/>
        </w:rPr>
        <w:tab/>
        <w:t>CI-045.</w:t>
      </w:r>
    </w:p>
  </w:footnote>
  <w:footnote w:id="372">
    <w:p w14:paraId="06E8640A" w14:textId="77777777" w:rsidR="00662CCF" w:rsidRPr="00062481" w:rsidRDefault="00662CCF" w:rsidP="00EC58CC">
      <w:pPr>
        <w:pStyle w:val="FootnoteText"/>
        <w:rPr>
          <w:lang w:val="en-US"/>
        </w:rPr>
      </w:pPr>
      <w:r w:rsidRPr="00062481">
        <w:rPr>
          <w:lang w:val="en-US"/>
        </w:rPr>
        <w:tab/>
      </w:r>
      <w:r w:rsidRPr="00410F39">
        <w:rPr>
          <w:rStyle w:val="FootnoteReference"/>
        </w:rPr>
        <w:footnoteRef/>
      </w:r>
      <w:r w:rsidRPr="00062481">
        <w:rPr>
          <w:lang w:val="en-US"/>
        </w:rPr>
        <w:tab/>
        <w:t>TI-122.</w:t>
      </w:r>
    </w:p>
  </w:footnote>
  <w:footnote w:id="373">
    <w:p w14:paraId="1C528A55" w14:textId="11ADBA36" w:rsidR="00662CCF" w:rsidRPr="000576B2" w:rsidRDefault="00662CCF" w:rsidP="00EC58CC">
      <w:pPr>
        <w:pStyle w:val="FootnoteText"/>
        <w:rPr>
          <w:lang w:val="en-US"/>
        </w:rPr>
      </w:pPr>
      <w:r w:rsidRPr="000576B2">
        <w:rPr>
          <w:lang w:val="en-US"/>
        </w:rPr>
        <w:tab/>
      </w:r>
      <w:r w:rsidRPr="00410F39">
        <w:rPr>
          <w:rStyle w:val="FootnoteReference"/>
        </w:rPr>
        <w:footnoteRef/>
      </w:r>
      <w:r w:rsidRPr="000576B2">
        <w:rPr>
          <w:lang w:val="en-US"/>
        </w:rPr>
        <w:tab/>
        <w:t xml:space="preserve">See A/HRC/39/CRP.1, </w:t>
      </w:r>
      <w:r>
        <w:rPr>
          <w:lang w:val="en-US"/>
        </w:rPr>
        <w:t>para.</w:t>
      </w:r>
      <w:r w:rsidRPr="000576B2">
        <w:rPr>
          <w:lang w:val="en-US"/>
        </w:rPr>
        <w:t xml:space="preserve"> 250, 304-305, 344-345, 637-646, and see </w:t>
      </w:r>
      <w:r>
        <w:rPr>
          <w:lang w:val="en-US"/>
        </w:rPr>
        <w:t>para.</w:t>
      </w:r>
      <w:r w:rsidRPr="000576B2">
        <w:rPr>
          <w:lang w:val="en-US"/>
        </w:rPr>
        <w:t xml:space="preserve"> 81, 106 and 181 of this report.</w:t>
      </w:r>
    </w:p>
  </w:footnote>
  <w:footnote w:id="374">
    <w:p w14:paraId="2591A949" w14:textId="4A481EDB" w:rsidR="00662CCF" w:rsidRPr="000576B2" w:rsidRDefault="00662CCF" w:rsidP="00EC58CC">
      <w:pPr>
        <w:pStyle w:val="FootnoteText"/>
        <w:rPr>
          <w:lang w:val="en-US"/>
        </w:rPr>
      </w:pPr>
      <w:r w:rsidRPr="000576B2">
        <w:rPr>
          <w:lang w:val="en-US"/>
        </w:rPr>
        <w:tab/>
      </w:r>
      <w:r w:rsidRPr="00410F39">
        <w:rPr>
          <w:rStyle w:val="FootnoteReference"/>
        </w:rPr>
        <w:footnoteRef/>
      </w:r>
      <w:r w:rsidRPr="000576B2">
        <w:rPr>
          <w:lang w:val="en-US"/>
        </w:rPr>
        <w:tab/>
        <w:t xml:space="preserve">See A/HRC/39/CRP.1, </w:t>
      </w:r>
      <w:r>
        <w:rPr>
          <w:lang w:val="en-US"/>
        </w:rPr>
        <w:t>para.</w:t>
      </w:r>
      <w:r w:rsidRPr="000576B2">
        <w:rPr>
          <w:lang w:val="en-US"/>
        </w:rPr>
        <w:t xml:space="preserve"> 250, 304-305, 344-345 and See </w:t>
      </w:r>
      <w:r>
        <w:rPr>
          <w:lang w:val="en-US"/>
        </w:rPr>
        <w:t>para.</w:t>
      </w:r>
      <w:r w:rsidRPr="000576B2">
        <w:rPr>
          <w:lang w:val="en-US"/>
        </w:rPr>
        <w:t xml:space="preserve"> 80-81, 106, 148, 177 of this report.</w:t>
      </w:r>
    </w:p>
  </w:footnote>
  <w:footnote w:id="375">
    <w:p w14:paraId="60181728" w14:textId="77777777" w:rsidR="00662CCF" w:rsidRPr="000576B2" w:rsidRDefault="00662CCF" w:rsidP="00EC58CC">
      <w:pPr>
        <w:pStyle w:val="FootnoteText"/>
        <w:rPr>
          <w:lang w:val="en-US"/>
        </w:rPr>
      </w:pPr>
      <w:r w:rsidRPr="000576B2">
        <w:rPr>
          <w:lang w:val="en-US"/>
        </w:rPr>
        <w:tab/>
      </w:r>
      <w:r w:rsidRPr="00410F39">
        <w:rPr>
          <w:rStyle w:val="FootnoteReference"/>
        </w:rPr>
        <w:footnoteRef/>
      </w:r>
      <w:r w:rsidRPr="000576B2">
        <w:rPr>
          <w:lang w:val="en-US"/>
        </w:rPr>
        <w:tab/>
      </w:r>
      <w:hyperlink r:id="rId104" w:history="1">
        <w:r w:rsidRPr="000576B2">
          <w:rPr>
            <w:lang w:val="en-US"/>
          </w:rPr>
          <w:t>https://twitter.com/LeRenouveauBdi/status/1147943343839764480</w:t>
        </w:r>
      </w:hyperlink>
      <w:r w:rsidRPr="000576B2">
        <w:rPr>
          <w:lang w:val="en-US"/>
        </w:rPr>
        <w:t xml:space="preserve">; </w:t>
      </w:r>
      <w:hyperlink r:id="rId105" w:history="1">
        <w:r w:rsidRPr="000576B2">
          <w:rPr>
            <w:lang w:val="en-US"/>
          </w:rPr>
          <w:t>https://twitter.com/RTNBurundi/status/1134916711004725254</w:t>
        </w:r>
      </w:hyperlink>
      <w:r w:rsidRPr="000576B2">
        <w:rPr>
          <w:lang w:val="en-US"/>
        </w:rPr>
        <w:t xml:space="preserve">; </w:t>
      </w:r>
      <w:hyperlink r:id="rId106" w:history="1">
        <w:r w:rsidRPr="000576B2">
          <w:rPr>
            <w:lang w:val="en-US"/>
          </w:rPr>
          <w:t>https://twitter.com/sinrenovat/status/1163048145288355843</w:t>
        </w:r>
      </w:hyperlink>
      <w:r w:rsidRPr="000576B2">
        <w:rPr>
          <w:lang w:val="en-US"/>
        </w:rPr>
        <w:t>.</w:t>
      </w:r>
    </w:p>
  </w:footnote>
  <w:footnote w:id="376">
    <w:p w14:paraId="173D37DE" w14:textId="77777777" w:rsidR="00662CCF" w:rsidRPr="000576B2" w:rsidRDefault="00662CCF" w:rsidP="00EC58CC">
      <w:pPr>
        <w:pStyle w:val="FootnoteText"/>
        <w:rPr>
          <w:lang w:val="en-US"/>
        </w:rPr>
      </w:pPr>
      <w:r w:rsidRPr="000576B2">
        <w:rPr>
          <w:lang w:val="en-US"/>
        </w:rPr>
        <w:tab/>
      </w:r>
      <w:r w:rsidRPr="00410F39">
        <w:rPr>
          <w:rStyle w:val="FootnoteReference"/>
        </w:rPr>
        <w:footnoteRef/>
      </w:r>
      <w:r w:rsidRPr="000576B2">
        <w:rPr>
          <w:lang w:val="en-US"/>
        </w:rPr>
        <w:tab/>
      </w:r>
      <w:hyperlink r:id="rId107" w:history="1">
        <w:r w:rsidRPr="000576B2">
          <w:rPr>
            <w:lang w:val="en-US"/>
          </w:rPr>
          <w:t>https://twitter.com/IntumwaNews/status/1122168986949574657</w:t>
        </w:r>
      </w:hyperlink>
      <w:r w:rsidRPr="000576B2">
        <w:rPr>
          <w:lang w:val="en-US"/>
        </w:rPr>
        <w:t>.</w:t>
      </w:r>
    </w:p>
  </w:footnote>
  <w:footnote w:id="377">
    <w:p w14:paraId="22950D6D" w14:textId="77777777" w:rsidR="00662CCF" w:rsidRPr="000576B2" w:rsidRDefault="00662CCF" w:rsidP="00EC58CC">
      <w:pPr>
        <w:pStyle w:val="FootnoteText"/>
        <w:rPr>
          <w:lang w:val="en-US"/>
        </w:rPr>
      </w:pPr>
      <w:r w:rsidRPr="000576B2">
        <w:rPr>
          <w:lang w:val="en-US"/>
        </w:rPr>
        <w:tab/>
      </w:r>
      <w:r w:rsidRPr="00410F39">
        <w:rPr>
          <w:rStyle w:val="FootnoteReference"/>
        </w:rPr>
        <w:footnoteRef/>
      </w:r>
      <w:r w:rsidRPr="000576B2">
        <w:rPr>
          <w:lang w:val="en-US"/>
        </w:rPr>
        <w:tab/>
      </w:r>
      <w:hyperlink r:id="rId108" w:history="1">
        <w:r w:rsidRPr="000576B2">
          <w:rPr>
            <w:rStyle w:val="Hyperlink"/>
            <w:lang w:val="en-US"/>
          </w:rPr>
          <w:t>https://twitter.com/RadioIsanganiro/status/1127128226789232640</w:t>
        </w:r>
      </w:hyperlink>
      <w:r w:rsidRPr="000576B2">
        <w:rPr>
          <w:lang w:val="en-US"/>
        </w:rPr>
        <w:t xml:space="preserve">. </w:t>
      </w:r>
    </w:p>
  </w:footnote>
  <w:footnote w:id="378">
    <w:p w14:paraId="4B30D6E7" w14:textId="77777777" w:rsidR="00662CCF" w:rsidRPr="000576B2" w:rsidRDefault="00662CCF" w:rsidP="00EC58CC">
      <w:pPr>
        <w:pStyle w:val="FootnoteText"/>
        <w:rPr>
          <w:lang w:val="en-US"/>
        </w:rPr>
      </w:pPr>
      <w:r w:rsidRPr="000576B2">
        <w:rPr>
          <w:lang w:val="en-US"/>
        </w:rPr>
        <w:tab/>
      </w:r>
      <w:r w:rsidRPr="00410F39">
        <w:rPr>
          <w:rStyle w:val="FootnoteReference"/>
        </w:rPr>
        <w:footnoteRef/>
      </w:r>
      <w:r w:rsidRPr="000576B2">
        <w:rPr>
          <w:lang w:val="en-US"/>
        </w:rPr>
        <w:tab/>
      </w:r>
      <w:hyperlink r:id="rId109" w:history="1">
        <w:r w:rsidRPr="000576B2">
          <w:rPr>
            <w:lang w:val="en-US"/>
          </w:rPr>
          <w:t>http://www.rtnb.bi/fr/art.php?idapi=3/3/89</w:t>
        </w:r>
      </w:hyperlink>
      <w:r w:rsidRPr="000576B2">
        <w:rPr>
          <w:lang w:val="en-US"/>
        </w:rPr>
        <w:t xml:space="preserve">; </w:t>
      </w:r>
      <w:hyperlink r:id="rId110" w:history="1">
        <w:r w:rsidRPr="000576B2">
          <w:rPr>
            <w:lang w:val="en-US"/>
          </w:rPr>
          <w:t>https://twitter.com/LeRenouveauBdi/status/1163391594348912641</w:t>
        </w:r>
      </w:hyperlink>
      <w:r w:rsidRPr="000576B2">
        <w:rPr>
          <w:lang w:val="en-US"/>
        </w:rPr>
        <w:t xml:space="preserve">; </w:t>
      </w:r>
      <w:hyperlink r:id="rId111" w:history="1">
        <w:r w:rsidRPr="000576B2">
          <w:rPr>
            <w:lang w:val="en-US"/>
          </w:rPr>
          <w:t>https://twitter.com/Cndd_Fdd_Mga/status/1162668488546226177</w:t>
        </w:r>
      </w:hyperlink>
      <w:r w:rsidRPr="000576B2">
        <w:rPr>
          <w:lang w:val="en-US"/>
        </w:rPr>
        <w:t xml:space="preserve">; </w:t>
      </w:r>
    </w:p>
  </w:footnote>
  <w:footnote w:id="379">
    <w:p w14:paraId="2BB140A0" w14:textId="77777777" w:rsidR="00662CCF" w:rsidRPr="000576B2" w:rsidRDefault="00662CCF" w:rsidP="00EC58CC">
      <w:pPr>
        <w:pStyle w:val="FootnoteText"/>
        <w:rPr>
          <w:lang w:val="en-US"/>
        </w:rPr>
      </w:pPr>
      <w:r w:rsidRPr="000576B2">
        <w:rPr>
          <w:lang w:val="en-US"/>
        </w:rPr>
        <w:tab/>
      </w:r>
      <w:r w:rsidRPr="00410F39">
        <w:rPr>
          <w:rStyle w:val="FootnoteReference"/>
        </w:rPr>
        <w:footnoteRef/>
      </w:r>
      <w:r w:rsidRPr="000576B2">
        <w:rPr>
          <w:lang w:val="en-US"/>
        </w:rPr>
        <w:tab/>
      </w:r>
      <w:hyperlink r:id="rId112" w:history="1">
        <w:r w:rsidRPr="000576B2">
          <w:rPr>
            <w:rStyle w:val="Hyperlink"/>
            <w:lang w:val="en-US"/>
          </w:rPr>
          <w:t>https://twitter.com/CnddFddYouthBuj/status/1163343764095733761</w:t>
        </w:r>
      </w:hyperlink>
      <w:r w:rsidRPr="000576B2">
        <w:rPr>
          <w:lang w:val="en-US"/>
        </w:rPr>
        <w:t xml:space="preserve">; </w:t>
      </w:r>
      <w:hyperlink r:id="rId113" w:history="1">
        <w:r w:rsidRPr="000576B2">
          <w:rPr>
            <w:lang w:val="en-US"/>
          </w:rPr>
          <w:t>https://twitter.com/CnddFddYouthBuj/status/1158675141997543424</w:t>
        </w:r>
      </w:hyperlink>
      <w:r w:rsidRPr="000576B2">
        <w:rPr>
          <w:lang w:val="en-US"/>
        </w:rPr>
        <w:t xml:space="preserve">; </w:t>
      </w:r>
      <w:hyperlink r:id="rId114" w:history="1">
        <w:r w:rsidRPr="000576B2">
          <w:rPr>
            <w:lang w:val="en-US"/>
          </w:rPr>
          <w:t>https://twitter.com/Cndd_Fdd_Mga/status/1151405750318768128</w:t>
        </w:r>
      </w:hyperlink>
      <w:r w:rsidRPr="000576B2">
        <w:rPr>
          <w:lang w:val="en-US"/>
        </w:rPr>
        <w:t xml:space="preserve">; </w:t>
      </w:r>
      <w:hyperlink r:id="rId115" w:history="1">
        <w:r w:rsidRPr="000576B2">
          <w:rPr>
            <w:lang w:val="en-US"/>
          </w:rPr>
          <w:t>https://twitter.com/LeRenouveauBdi/status/1147943343839764480</w:t>
        </w:r>
      </w:hyperlink>
      <w:r w:rsidRPr="000576B2">
        <w:rPr>
          <w:lang w:val="en-US"/>
        </w:rPr>
        <w:t xml:space="preserve">; </w:t>
      </w:r>
      <w:hyperlink r:id="rId116" w:history="1">
        <w:r w:rsidRPr="000576B2">
          <w:rPr>
            <w:lang w:val="en-US"/>
          </w:rPr>
          <w:t>https://twitter.com/RTNBurundi/status/1134916711004725254</w:t>
        </w:r>
      </w:hyperlink>
      <w:r w:rsidRPr="000576B2">
        <w:rPr>
          <w:lang w:val="en-US"/>
        </w:rPr>
        <w:t xml:space="preserve">; </w:t>
      </w:r>
      <w:hyperlink r:id="rId117" w:history="1">
        <w:r w:rsidRPr="000576B2">
          <w:rPr>
            <w:lang w:val="en-US"/>
          </w:rPr>
          <w:t>https://twitter.com/sinrenovat/status/1163048145288355843</w:t>
        </w:r>
      </w:hyperlink>
      <w:r w:rsidRPr="000576B2">
        <w:rPr>
          <w:lang w:val="en-US"/>
        </w:rPr>
        <w:t xml:space="preserve">. </w:t>
      </w:r>
    </w:p>
  </w:footnote>
  <w:footnote w:id="380">
    <w:p w14:paraId="4A08F265" w14:textId="560E97AF" w:rsidR="00662CCF" w:rsidRPr="006E78C4" w:rsidRDefault="00662CCF" w:rsidP="00EC58CC">
      <w:pPr>
        <w:pStyle w:val="FootnoteText"/>
      </w:pPr>
      <w:r w:rsidRPr="000576B2">
        <w:rPr>
          <w:lang w:val="en-US"/>
        </w:rPr>
        <w:tab/>
      </w:r>
      <w:r w:rsidRPr="00410F39">
        <w:rPr>
          <w:rStyle w:val="FootnoteReference"/>
        </w:rPr>
        <w:footnoteRef/>
      </w:r>
      <w:r w:rsidRPr="006E78C4">
        <w:tab/>
        <w:t xml:space="preserve">Manuela </w:t>
      </w:r>
      <w:r w:rsidRPr="005A2D35">
        <w:rPr>
          <w:i/>
        </w:rPr>
        <w:t>Travaglianti, Threatening your Own. Electoral Violence within Ethnic Groups in Burundi and Beyond</w:t>
      </w:r>
      <w:r w:rsidRPr="006E78C4">
        <w:t xml:space="preserve">, A dissertation submitted in partial fulfilment of the requirements for the degree of Doctor of Philosophy, Department of Politics, New York University, </w:t>
      </w:r>
      <w:proofErr w:type="gramStart"/>
      <w:r w:rsidRPr="006E78C4">
        <w:t>January</w:t>
      </w:r>
      <w:proofErr w:type="gramEnd"/>
      <w:r w:rsidRPr="006E78C4">
        <w:t xml:space="preserve"> 2014.</w:t>
      </w:r>
    </w:p>
  </w:footnote>
  <w:footnote w:id="381">
    <w:p w14:paraId="5447F657" w14:textId="6DB632C5" w:rsidR="00662CCF" w:rsidRPr="006E78C4" w:rsidRDefault="00662CCF" w:rsidP="00EC58CC">
      <w:pPr>
        <w:pStyle w:val="FootnoteText"/>
      </w:pPr>
      <w:r w:rsidRPr="006E78C4">
        <w:tab/>
      </w:r>
      <w:r w:rsidRPr="00410F39">
        <w:rPr>
          <w:rStyle w:val="FootnoteReference"/>
        </w:rPr>
        <w:footnoteRef/>
      </w:r>
      <w:r w:rsidRPr="006E78C4">
        <w:tab/>
        <w:t xml:space="preserve">Manuela Travaglianti, </w:t>
      </w:r>
      <w:r w:rsidRPr="005A2D35">
        <w:rPr>
          <w:i/>
        </w:rPr>
        <w:t>Threatening your Own. Electoral Violence within Ethnic Groups in Burundi and Beyond</w:t>
      </w:r>
      <w:r w:rsidRPr="006E78C4">
        <w:t xml:space="preserve">, A dissertation submitted in partial fulfilment of the requirements for the degree of Doctor of Philosophy, Department of Politics, New York University, </w:t>
      </w:r>
      <w:proofErr w:type="gramStart"/>
      <w:r w:rsidRPr="006E78C4">
        <w:t>January</w:t>
      </w:r>
      <w:proofErr w:type="gramEnd"/>
      <w:r w:rsidRPr="006E78C4">
        <w:t xml:space="preserve"> 2014.</w:t>
      </w:r>
    </w:p>
  </w:footnote>
  <w:footnote w:id="382">
    <w:p w14:paraId="67C245CA" w14:textId="6AF42C87" w:rsidR="00662CCF" w:rsidRPr="000576B2" w:rsidRDefault="00662CCF" w:rsidP="00EC58CC">
      <w:pPr>
        <w:pStyle w:val="FootnoteText"/>
        <w:rPr>
          <w:lang w:val="en-US"/>
        </w:rPr>
      </w:pPr>
      <w:r w:rsidRPr="006E78C4">
        <w:tab/>
      </w:r>
      <w:r w:rsidRPr="00410F39">
        <w:rPr>
          <w:rStyle w:val="FootnoteReference"/>
        </w:rPr>
        <w:footnoteRef/>
      </w:r>
      <w:r w:rsidRPr="000576B2">
        <w:rPr>
          <w:lang w:val="en-US"/>
        </w:rPr>
        <w:tab/>
        <w:t>The election was subsequently postponed to 15 July then 21 July</w:t>
      </w:r>
      <w:r>
        <w:rPr>
          <w:lang w:val="en-US"/>
        </w:rPr>
        <w:t>,</w:t>
      </w:r>
      <w:r w:rsidRPr="000576B2">
        <w:rPr>
          <w:lang w:val="en-US"/>
        </w:rPr>
        <w:t xml:space="preserve"> du</w:t>
      </w:r>
      <w:r>
        <w:rPr>
          <w:lang w:val="en-US"/>
        </w:rPr>
        <w:t>e</w:t>
      </w:r>
      <w:r w:rsidRPr="000576B2">
        <w:rPr>
          <w:lang w:val="en-US"/>
        </w:rPr>
        <w:t xml:space="preserve"> to security incidents.</w:t>
      </w:r>
    </w:p>
  </w:footnote>
  <w:footnote w:id="383">
    <w:p w14:paraId="22FC3C96" w14:textId="0E6392D6" w:rsidR="00662CCF" w:rsidRPr="000576B2" w:rsidRDefault="00662CCF" w:rsidP="00EC58CC">
      <w:pPr>
        <w:pStyle w:val="FootnoteText"/>
        <w:rPr>
          <w:lang w:val="en-US"/>
        </w:rPr>
      </w:pPr>
      <w:r w:rsidRPr="000576B2">
        <w:rPr>
          <w:lang w:val="en-US"/>
        </w:rPr>
        <w:tab/>
      </w:r>
      <w:r w:rsidRPr="00410F39">
        <w:rPr>
          <w:rStyle w:val="FootnoteReference"/>
        </w:rPr>
        <w:footnoteRef/>
      </w:r>
      <w:r w:rsidRPr="000576B2">
        <w:rPr>
          <w:lang w:val="en-US"/>
        </w:rPr>
        <w:tab/>
        <w:t xml:space="preserve">See A/HRC/36/CRP.1/Rev.1, </w:t>
      </w:r>
      <w:r>
        <w:rPr>
          <w:lang w:val="en-US"/>
        </w:rPr>
        <w:t>para.</w:t>
      </w:r>
      <w:r w:rsidRPr="000576B2">
        <w:rPr>
          <w:lang w:val="en-US"/>
        </w:rPr>
        <w:t xml:space="preserve"> 85-86, A/HRC/39/CRP.1, </w:t>
      </w:r>
      <w:r>
        <w:rPr>
          <w:lang w:val="en-US"/>
        </w:rPr>
        <w:t>para.</w:t>
      </w:r>
      <w:r w:rsidRPr="000576B2">
        <w:rPr>
          <w:lang w:val="en-US"/>
        </w:rPr>
        <w:t xml:space="preserve"> 91-93, LM-004.</w:t>
      </w:r>
    </w:p>
  </w:footnote>
  <w:footnote w:id="384">
    <w:p w14:paraId="41AD170A" w14:textId="345D367F" w:rsidR="00662CCF" w:rsidRPr="000576B2" w:rsidRDefault="00662CCF" w:rsidP="00EC58CC">
      <w:pPr>
        <w:pStyle w:val="FootnoteText"/>
        <w:rPr>
          <w:lang w:val="en-US"/>
        </w:rPr>
      </w:pPr>
      <w:r w:rsidRPr="000576B2">
        <w:rPr>
          <w:lang w:val="en-US"/>
        </w:rPr>
        <w:tab/>
      </w:r>
      <w:r w:rsidRPr="00410F39">
        <w:rPr>
          <w:rStyle w:val="FootnoteReference"/>
        </w:rPr>
        <w:footnoteRef/>
      </w:r>
      <w:r w:rsidRPr="000576B2">
        <w:rPr>
          <w:lang w:val="en-US"/>
        </w:rPr>
        <w:tab/>
        <w:t>Articles 108-116 of the 2018 Constitution.</w:t>
      </w:r>
    </w:p>
  </w:footnote>
  <w:footnote w:id="385">
    <w:p w14:paraId="2859BE97" w14:textId="5CC5068F" w:rsidR="00662CCF" w:rsidRPr="000576B2" w:rsidRDefault="00662CCF" w:rsidP="00EC58CC">
      <w:pPr>
        <w:pStyle w:val="FootnoteText"/>
        <w:rPr>
          <w:lang w:val="en-US"/>
        </w:rPr>
      </w:pPr>
      <w:r w:rsidRPr="000576B2">
        <w:rPr>
          <w:lang w:val="en-US"/>
        </w:rPr>
        <w:tab/>
      </w:r>
      <w:r w:rsidRPr="00410F39">
        <w:rPr>
          <w:rStyle w:val="FootnoteReference"/>
        </w:rPr>
        <w:footnoteRef/>
      </w:r>
      <w:r w:rsidRPr="000576B2">
        <w:rPr>
          <w:lang w:val="en-US"/>
        </w:rPr>
        <w:tab/>
        <w:t xml:space="preserve">See A/HRC/39/CRP.1, </w:t>
      </w:r>
      <w:r>
        <w:rPr>
          <w:lang w:val="en-US"/>
        </w:rPr>
        <w:t>para.</w:t>
      </w:r>
      <w:r w:rsidRPr="000576B2">
        <w:rPr>
          <w:lang w:val="en-US"/>
        </w:rPr>
        <w:t xml:space="preserve"> 733</w:t>
      </w:r>
      <w:r>
        <w:rPr>
          <w:lang w:val="en-US"/>
        </w:rPr>
        <w:t>.</w:t>
      </w:r>
    </w:p>
  </w:footnote>
  <w:footnote w:id="386">
    <w:p w14:paraId="626E4D8C" w14:textId="77777777" w:rsidR="00662CCF" w:rsidRPr="00B05CAD" w:rsidRDefault="00662CCF" w:rsidP="003D5320">
      <w:pPr>
        <w:pStyle w:val="FootnoteText"/>
      </w:pPr>
      <w:r>
        <w:tab/>
      </w:r>
      <w:r>
        <w:rPr>
          <w:rStyle w:val="FootnoteReference"/>
        </w:rPr>
        <w:footnoteRef/>
      </w:r>
      <w:r>
        <w:tab/>
        <w:t>Article 275 of the 2018 Constitution.</w:t>
      </w:r>
    </w:p>
  </w:footnote>
  <w:footnote w:id="387">
    <w:p w14:paraId="3CA1DCE9" w14:textId="77777777" w:rsidR="00662CCF" w:rsidRPr="00B05CAD" w:rsidRDefault="00662CCF" w:rsidP="003D5320">
      <w:pPr>
        <w:pStyle w:val="FootnoteText"/>
      </w:pPr>
      <w:r>
        <w:tab/>
      </w:r>
      <w:r>
        <w:rPr>
          <w:rStyle w:val="FootnoteReference"/>
        </w:rPr>
        <w:footnoteRef/>
      </w:r>
      <w:r>
        <w:tab/>
        <w:t xml:space="preserve">Article 277 of the 2005 Constitution. </w:t>
      </w:r>
    </w:p>
  </w:footnote>
  <w:footnote w:id="388">
    <w:p w14:paraId="28A4A373" w14:textId="77777777" w:rsidR="00662CCF" w:rsidRPr="00B05CAD" w:rsidRDefault="00662CCF" w:rsidP="003D5320">
      <w:pPr>
        <w:pStyle w:val="FootnoteText"/>
      </w:pPr>
      <w:r>
        <w:tab/>
      </w:r>
      <w:r>
        <w:rPr>
          <w:rStyle w:val="FootnoteReference"/>
        </w:rPr>
        <w:footnoteRef/>
      </w:r>
      <w:r>
        <w:tab/>
        <w:t>See paragraph. 245</w:t>
      </w:r>
      <w:r>
        <w:rPr>
          <w:cs/>
        </w:rPr>
        <w:t>–</w:t>
      </w:r>
      <w:r>
        <w:t>246 of this report.</w:t>
      </w:r>
    </w:p>
  </w:footnote>
  <w:footnote w:id="389">
    <w:p w14:paraId="4F1F2D39" w14:textId="6A176390" w:rsidR="00662CCF" w:rsidRPr="00B05CAD" w:rsidRDefault="00662CCF" w:rsidP="003D5320">
      <w:pPr>
        <w:pStyle w:val="FootnoteText"/>
      </w:pPr>
      <w:r>
        <w:tab/>
      </w:r>
      <w:r>
        <w:rPr>
          <w:rStyle w:val="FootnoteReference"/>
        </w:rPr>
        <w:footnoteRef/>
      </w:r>
      <w:r>
        <w:tab/>
        <w:t>Speech made by President Nkurunziza to promulgate the new Constitution of the Republic of Burundi on 7 June 2018.</w:t>
      </w:r>
    </w:p>
  </w:footnote>
  <w:footnote w:id="390">
    <w:p w14:paraId="7A16B141" w14:textId="77777777" w:rsidR="00662CCF" w:rsidRPr="00B05CAD" w:rsidRDefault="00662CCF" w:rsidP="003D5320">
      <w:pPr>
        <w:pStyle w:val="FootnoteText"/>
      </w:pPr>
      <w:r>
        <w:tab/>
      </w:r>
      <w:r>
        <w:rPr>
          <w:rStyle w:val="FootnoteReference"/>
        </w:rPr>
        <w:footnoteRef/>
      </w:r>
      <w:r>
        <w:tab/>
        <w:t>Article 129</w:t>
      </w:r>
      <w:r>
        <w:rPr>
          <w:cs/>
        </w:rPr>
        <w:t>–</w:t>
      </w:r>
      <w:r>
        <w:t xml:space="preserve">142 of the 2018 Constitution. </w:t>
      </w:r>
    </w:p>
  </w:footnote>
  <w:footnote w:id="391">
    <w:p w14:paraId="539B0ABD" w14:textId="77777777" w:rsidR="00662CCF" w:rsidRPr="00B05CAD" w:rsidRDefault="00662CCF" w:rsidP="003D5320">
      <w:pPr>
        <w:pStyle w:val="FootnoteText"/>
      </w:pPr>
      <w:r>
        <w:tab/>
      </w:r>
      <w:r>
        <w:rPr>
          <w:rStyle w:val="FootnoteReference"/>
        </w:rPr>
        <w:footnoteRef/>
      </w:r>
      <w:r>
        <w:tab/>
        <w:t>Article 185 of the Constitution is now void of the provision which makes former Heads of State full members of the Senate, as provided by Article 180 of the 2005 Constitution.</w:t>
      </w:r>
    </w:p>
  </w:footnote>
  <w:footnote w:id="392">
    <w:p w14:paraId="7DF7E5E0" w14:textId="77777777" w:rsidR="00662CCF" w:rsidRPr="00B05CAD" w:rsidRDefault="00662CCF" w:rsidP="003D5320">
      <w:pPr>
        <w:pStyle w:val="FootnoteText"/>
      </w:pPr>
      <w:r>
        <w:tab/>
      </w:r>
      <w:r>
        <w:rPr>
          <w:rStyle w:val="FootnoteReference"/>
        </w:rPr>
        <w:footnoteRef/>
      </w:r>
      <w:r>
        <w:tab/>
        <w:t>Article 9 of the 2018 Constitution.</w:t>
      </w:r>
    </w:p>
  </w:footnote>
  <w:footnote w:id="393">
    <w:p w14:paraId="2A3AADD3" w14:textId="77777777" w:rsidR="00662CCF" w:rsidRPr="00B05CAD" w:rsidRDefault="00662CCF" w:rsidP="003D5320">
      <w:pPr>
        <w:pStyle w:val="FootnoteText"/>
      </w:pPr>
      <w:r>
        <w:tab/>
      </w:r>
      <w:r>
        <w:rPr>
          <w:rStyle w:val="FootnoteReference"/>
        </w:rPr>
        <w:footnoteRef/>
      </w:r>
      <w:r>
        <w:tab/>
        <w:t>Article 11 of the 2018 Constitution.</w:t>
      </w:r>
    </w:p>
  </w:footnote>
  <w:footnote w:id="394">
    <w:p w14:paraId="282B3D6A" w14:textId="77777777" w:rsidR="00662CCF" w:rsidRPr="00B05CAD" w:rsidRDefault="00662CCF" w:rsidP="003D5320">
      <w:pPr>
        <w:pStyle w:val="FootnoteText"/>
      </w:pPr>
      <w:r>
        <w:tab/>
      </w:r>
      <w:r>
        <w:rPr>
          <w:rStyle w:val="FootnoteReference"/>
        </w:rPr>
        <w:footnoteRef/>
      </w:r>
      <w:r>
        <w:tab/>
        <w:t xml:space="preserve">Article 4 of the 2018 Constitution states: </w:t>
      </w:r>
      <w:r>
        <w:rPr>
          <w:cs/>
        </w:rPr>
        <w:t>“</w:t>
      </w:r>
      <w:r>
        <w:t xml:space="preserve">The status and return to monarchy </w:t>
      </w:r>
      <w:r w:rsidRPr="00E00D78">
        <w:rPr>
          <w:u w:val="single"/>
        </w:rPr>
        <w:t>should</w:t>
      </w:r>
      <w:r>
        <w:t xml:space="preserve"> be subject to a referendum</w:t>
      </w:r>
      <w:r>
        <w:rPr>
          <w:cs/>
        </w:rPr>
        <w:t>”</w:t>
      </w:r>
      <w:r>
        <w:t xml:space="preserve">; while in the 2005 Constitution it stated that </w:t>
      </w:r>
      <w:r>
        <w:rPr>
          <w:cs/>
        </w:rPr>
        <w:t>“</w:t>
      </w:r>
      <w:r>
        <w:t xml:space="preserve">The status and return to monarchy </w:t>
      </w:r>
      <w:r w:rsidRPr="00E00D78">
        <w:rPr>
          <w:u w:val="single"/>
        </w:rPr>
        <w:t>can</w:t>
      </w:r>
      <w:r>
        <w:t xml:space="preserve"> be subject to a referendum</w:t>
      </w:r>
      <w:r>
        <w:rPr>
          <w:cs/>
        </w:rPr>
        <w:t>”</w:t>
      </w:r>
      <w:r>
        <w:t>.</w:t>
      </w:r>
    </w:p>
  </w:footnote>
  <w:footnote w:id="395">
    <w:p w14:paraId="1DDFC31B" w14:textId="10D8B843" w:rsidR="00662CCF" w:rsidRPr="00B05CAD" w:rsidRDefault="00662CCF" w:rsidP="003D5320">
      <w:pPr>
        <w:pStyle w:val="FootnoteText"/>
      </w:pPr>
      <w:r>
        <w:tab/>
      </w:r>
      <w:r>
        <w:rPr>
          <w:rStyle w:val="FootnoteReference"/>
        </w:rPr>
        <w:footnoteRef/>
      </w:r>
      <w:r>
        <w:tab/>
      </w:r>
      <w:hyperlink r:id="rId118" w:history="1">
        <w:r>
          <w:t>https://www.dw.com/fr/nkurunziza-serait-il-tent%C3%A9-de-restaurer-la-monarchie/a-44153506</w:t>
        </w:r>
      </w:hyperlink>
      <w:r>
        <w:t xml:space="preserve">, </w:t>
      </w:r>
      <w:hyperlink r:id="rId119" w:history="1">
        <w:r>
          <w:t>https://www.lemonde.fr/afrique/article/2018/06/07/au-burundi-pierre-nkurunziza-renonce-a-la-presidence-a-vie-mais-pas-a-la-royaute_5311261_3212.html</w:t>
        </w:r>
      </w:hyperlink>
      <w:r>
        <w:t xml:space="preserve">, </w:t>
      </w:r>
      <w:hyperlink r:id="rId120" w:history="1">
        <w:r>
          <w:t>https://www.politiquemagazine.fr/monde/une-monarchie-au-burundi/</w:t>
        </w:r>
      </w:hyperlink>
      <w:r>
        <w:t xml:space="preserve">, </w:t>
      </w:r>
      <w:hyperlink r:id="rId121" w:history="1">
        <w:r>
          <w:t>https://www.iwacu-burundi.org/burundi-le-pays-de-dieu-and-du-roi/</w:t>
        </w:r>
      </w:hyperlink>
      <w:r>
        <w:t xml:space="preserve">. </w:t>
      </w:r>
    </w:p>
  </w:footnote>
  <w:footnote w:id="396">
    <w:p w14:paraId="2C4CB41B" w14:textId="77777777" w:rsidR="00662CCF" w:rsidRPr="00B05CAD" w:rsidRDefault="00662CCF" w:rsidP="003D5320">
      <w:pPr>
        <w:pStyle w:val="FootnoteText"/>
      </w:pPr>
      <w:r>
        <w:tab/>
      </w:r>
      <w:r>
        <w:rPr>
          <w:rStyle w:val="FootnoteReference"/>
        </w:rPr>
        <w:footnoteRef/>
      </w:r>
      <w:r>
        <w:tab/>
      </w:r>
      <w:hyperlink r:id="rId122" w:history="1">
        <w:r>
          <w:t>http://french.peopledaily.com.cn/Afrique/n3/2018/0421/c96852-9452168.html</w:t>
        </w:r>
      </w:hyperlink>
      <w:r>
        <w:t>.</w:t>
      </w:r>
    </w:p>
  </w:footnote>
  <w:footnote w:id="397">
    <w:p w14:paraId="15A64CB9" w14:textId="77777777" w:rsidR="00662CCF" w:rsidRPr="00B05CAD" w:rsidRDefault="00662CCF" w:rsidP="003D5320">
      <w:pPr>
        <w:pStyle w:val="FootnoteText"/>
      </w:pPr>
      <w:r>
        <w:tab/>
      </w:r>
      <w:r>
        <w:rPr>
          <w:rStyle w:val="FootnoteReference"/>
        </w:rPr>
        <w:footnoteRef/>
      </w:r>
      <w:r>
        <w:tab/>
      </w:r>
      <w:hyperlink r:id="rId123" w:history="1">
        <w:r>
          <w:t>http://www.rtnb.bi/fr/art.php?idapi=3/2/188</w:t>
        </w:r>
      </w:hyperlink>
      <w:r>
        <w:t xml:space="preserve">; </w:t>
      </w:r>
      <w:hyperlink r:id="rId124" w:history="1">
        <w:r>
          <w:t>http://www.rtnb.bi/fr/art.php?idapi=3/2/202</w:t>
        </w:r>
      </w:hyperlink>
      <w:r>
        <w:t xml:space="preserve">; </w:t>
      </w:r>
      <w:hyperlink r:id="rId125" w:history="1">
        <w:r>
          <w:t>http://www.rtnb.bi/fr/art.php?idapi=3/2/207</w:t>
        </w:r>
      </w:hyperlink>
      <w:r>
        <w:t xml:space="preserve">, </w:t>
      </w:r>
      <w:hyperlink r:id="rId126" w:history="1">
        <w:r>
          <w:t>https://twitter.com/CnddFdd/status/1134449514528542720</w:t>
        </w:r>
      </w:hyperlink>
      <w:r>
        <w:t xml:space="preserve">. </w:t>
      </w:r>
    </w:p>
  </w:footnote>
  <w:footnote w:id="398">
    <w:p w14:paraId="27DA11AD" w14:textId="77777777" w:rsidR="00662CCF" w:rsidRPr="00B05CAD" w:rsidRDefault="00662CCF" w:rsidP="003D5320">
      <w:pPr>
        <w:pStyle w:val="FootnoteText"/>
      </w:pPr>
      <w:r>
        <w:tab/>
      </w:r>
      <w:r>
        <w:rPr>
          <w:rStyle w:val="FootnoteReference"/>
        </w:rPr>
        <w:footnoteRef/>
      </w:r>
      <w:r>
        <w:tab/>
      </w:r>
      <w:hyperlink r:id="rId127" w:history="1">
        <w:r>
          <w:t>https://twitter.com/IntumwaNews/status/1134459118130016256</w:t>
        </w:r>
      </w:hyperlink>
      <w:r>
        <w:t>.</w:t>
      </w:r>
    </w:p>
  </w:footnote>
  <w:footnote w:id="399">
    <w:p w14:paraId="73E4E3B9" w14:textId="7960CFB1" w:rsidR="00662CCF" w:rsidRPr="00B05CAD" w:rsidRDefault="00662CCF" w:rsidP="003D5320">
      <w:pPr>
        <w:pStyle w:val="FootnoteText"/>
      </w:pPr>
      <w:r>
        <w:tab/>
      </w:r>
      <w:r>
        <w:rPr>
          <w:rStyle w:val="FootnoteReference"/>
        </w:rPr>
        <w:footnoteRef/>
      </w:r>
      <w:r>
        <w:tab/>
        <w:t>Address to the Nation by the President of the Republic on the 57</w:t>
      </w:r>
      <w:r w:rsidRPr="006F25C7">
        <w:rPr>
          <w:vertAlign w:val="superscript"/>
        </w:rPr>
        <w:t>th</w:t>
      </w:r>
      <w:r>
        <w:t xml:space="preserve"> Celebration of the National Day on 1 July 2019.</w:t>
      </w:r>
    </w:p>
  </w:footnote>
  <w:footnote w:id="400">
    <w:p w14:paraId="2F013428" w14:textId="77777777" w:rsidR="00662CCF" w:rsidRPr="00B05CAD" w:rsidRDefault="00662CCF" w:rsidP="003D5320">
      <w:pPr>
        <w:pStyle w:val="FootnoteText"/>
      </w:pPr>
      <w:r>
        <w:tab/>
      </w:r>
      <w:r>
        <w:rPr>
          <w:rStyle w:val="FootnoteReference"/>
        </w:rPr>
        <w:footnoteRef/>
      </w:r>
      <w:r>
        <w:tab/>
      </w:r>
      <w:hyperlink r:id="rId128" w:history="1">
        <w:r>
          <w:t>https://www.la-croix.com/Monde/Afrique/Au-Burundi-derive-quasi-sectaire-regime-president-Pierre-Nkurunziza-2018-04-04-1200929074</w:t>
        </w:r>
      </w:hyperlink>
      <w:r>
        <w:t>.</w:t>
      </w:r>
    </w:p>
  </w:footnote>
  <w:footnote w:id="401">
    <w:p w14:paraId="5C3AB76C" w14:textId="77777777" w:rsidR="00662CCF" w:rsidRPr="00B05CAD" w:rsidRDefault="00662CCF" w:rsidP="003D5320">
      <w:pPr>
        <w:pStyle w:val="FootnoteText"/>
      </w:pPr>
      <w:r>
        <w:tab/>
      </w:r>
      <w:r>
        <w:rPr>
          <w:rStyle w:val="FootnoteReference"/>
        </w:rPr>
        <w:footnoteRef/>
      </w:r>
      <w:r>
        <w:tab/>
      </w:r>
      <w:hyperlink r:id="rId129" w:history="1">
        <w:r>
          <w:t>http://www.rfi.fr/afrique/20180110-burundi-unions-libres-passibles-sanctions</w:t>
        </w:r>
      </w:hyperlink>
      <w:r>
        <w:t xml:space="preserve">, </w:t>
      </w:r>
      <w:hyperlink r:id="rId130" w:history="1">
        <w:r>
          <w:t>https://www.bbc.com/afrique/region-40059101</w:t>
        </w:r>
      </w:hyperlink>
      <w:r>
        <w:t>.</w:t>
      </w:r>
    </w:p>
  </w:footnote>
  <w:footnote w:id="402">
    <w:p w14:paraId="539BA2B8" w14:textId="77777777" w:rsidR="00662CCF" w:rsidRPr="00B05CAD" w:rsidRDefault="00662CCF" w:rsidP="003D5320">
      <w:pPr>
        <w:pStyle w:val="FootnoteText"/>
      </w:pPr>
      <w:r>
        <w:tab/>
      </w:r>
      <w:r>
        <w:rPr>
          <w:rStyle w:val="FootnoteReference"/>
        </w:rPr>
        <w:footnoteRef/>
      </w:r>
      <w:r>
        <w:tab/>
        <w:t>TI-122.</w:t>
      </w:r>
    </w:p>
  </w:footnote>
  <w:footnote w:id="403">
    <w:p w14:paraId="14BE49AF" w14:textId="77777777" w:rsidR="00662CCF" w:rsidRPr="00B05CAD" w:rsidRDefault="00662CCF" w:rsidP="003D5320">
      <w:pPr>
        <w:pStyle w:val="FootnoteText"/>
      </w:pPr>
      <w:r>
        <w:tab/>
      </w:r>
      <w:r>
        <w:rPr>
          <w:rStyle w:val="FootnoteReference"/>
        </w:rPr>
        <w:footnoteRef/>
      </w:r>
      <w:r>
        <w:tab/>
      </w:r>
      <w:hyperlink r:id="rId131" w:history="1">
        <w:r>
          <w:t>http://www.rtnb.bi/fr/art.php?idapi=3/3/117</w:t>
        </w:r>
      </w:hyperlink>
      <w:r>
        <w:t>.</w:t>
      </w:r>
    </w:p>
  </w:footnote>
  <w:footnote w:id="404">
    <w:p w14:paraId="631D7412" w14:textId="77777777" w:rsidR="00662CCF" w:rsidRPr="00B05CAD" w:rsidRDefault="00662CCF" w:rsidP="003D5320">
      <w:pPr>
        <w:pStyle w:val="FootnoteText"/>
      </w:pPr>
      <w:r>
        <w:tab/>
      </w:r>
      <w:r>
        <w:rPr>
          <w:rStyle w:val="FootnoteReference"/>
        </w:rPr>
        <w:footnoteRef/>
      </w:r>
      <w:r>
        <w:tab/>
      </w:r>
      <w:hyperlink r:id="rId132" w:history="1">
        <w:r>
          <w:t>https://twitter.com/RTNBurundi/status/1165308954731319298</w:t>
        </w:r>
      </w:hyperlink>
      <w:r>
        <w:t>.</w:t>
      </w:r>
    </w:p>
  </w:footnote>
  <w:footnote w:id="405">
    <w:p w14:paraId="7BFACAE6" w14:textId="77777777" w:rsidR="00662CCF" w:rsidRPr="00B05CAD" w:rsidRDefault="00662CCF" w:rsidP="003D5320">
      <w:pPr>
        <w:pStyle w:val="FootnoteText"/>
      </w:pPr>
      <w:r>
        <w:tab/>
      </w:r>
      <w:r>
        <w:rPr>
          <w:rStyle w:val="FootnoteReference"/>
        </w:rPr>
        <w:footnoteRef/>
      </w:r>
      <w:r>
        <w:tab/>
      </w:r>
      <w:hyperlink r:id="rId133" w:history="1">
        <w:r>
          <w:t>https://twitter.com/RTNBurundi/status/1165217661531426816</w:t>
        </w:r>
      </w:hyperlink>
      <w:r>
        <w:t>.</w:t>
      </w:r>
    </w:p>
  </w:footnote>
  <w:footnote w:id="406">
    <w:p w14:paraId="5F46DD21" w14:textId="77777777" w:rsidR="00662CCF" w:rsidRPr="00B05CAD" w:rsidRDefault="00662CCF" w:rsidP="003D5320">
      <w:pPr>
        <w:pStyle w:val="FootnoteText"/>
      </w:pPr>
      <w:r>
        <w:tab/>
      </w:r>
      <w:r>
        <w:rPr>
          <w:rStyle w:val="FootnoteReference"/>
        </w:rPr>
        <w:footnoteRef/>
      </w:r>
      <w:r>
        <w:tab/>
      </w:r>
      <w:hyperlink r:id="rId134" w:history="1">
        <w:r>
          <w:t>https://twitter.com/RTNBurundi/status/1164813819597557761</w:t>
        </w:r>
      </w:hyperlink>
      <w:r>
        <w:t>.</w:t>
      </w:r>
    </w:p>
  </w:footnote>
  <w:footnote w:id="407">
    <w:p w14:paraId="3C9E1354" w14:textId="77777777" w:rsidR="00662CCF" w:rsidRPr="00B05CAD" w:rsidRDefault="00662CCF" w:rsidP="003D5320">
      <w:pPr>
        <w:pStyle w:val="FootnoteText"/>
      </w:pPr>
      <w:r>
        <w:tab/>
      </w:r>
      <w:r>
        <w:rPr>
          <w:rStyle w:val="FootnoteReference"/>
        </w:rPr>
        <w:footnoteRef/>
      </w:r>
      <w:r>
        <w:tab/>
      </w:r>
      <w:hyperlink r:id="rId135" w:history="1">
        <w:r>
          <w:t>https://twitter.com/RTNBurundi/status/1164479507404902400</w:t>
        </w:r>
      </w:hyperlink>
      <w:r>
        <w:t>.</w:t>
      </w:r>
    </w:p>
  </w:footnote>
  <w:footnote w:id="408">
    <w:p w14:paraId="17585D47" w14:textId="67281E80" w:rsidR="00662CCF" w:rsidRPr="00B05CAD" w:rsidRDefault="00662CCF" w:rsidP="003D5320">
      <w:pPr>
        <w:pStyle w:val="FootnoteText"/>
      </w:pPr>
      <w:r>
        <w:tab/>
      </w:r>
      <w:r>
        <w:rPr>
          <w:rStyle w:val="FootnoteReference"/>
        </w:rPr>
        <w:footnoteRef/>
      </w:r>
      <w:r>
        <w:tab/>
        <w:t>2019 New Year Address by the President of the Republic.</w:t>
      </w:r>
    </w:p>
  </w:footnote>
  <w:footnote w:id="409">
    <w:p w14:paraId="33FF2584" w14:textId="437B5237" w:rsidR="00662CCF" w:rsidRPr="00B05CAD" w:rsidRDefault="00662CCF" w:rsidP="003D5320">
      <w:pPr>
        <w:pStyle w:val="FootnoteText"/>
      </w:pPr>
      <w:r>
        <w:tab/>
      </w:r>
      <w:r>
        <w:rPr>
          <w:rStyle w:val="FootnoteReference"/>
        </w:rPr>
        <w:footnoteRef/>
      </w:r>
      <w:r>
        <w:tab/>
        <w:t xml:space="preserve">Also, during the thanksgiving prayer of August 2019 in Bubanza, where the President declared he would lead praises to celebrate the liberation and divine protection which Burundi might be benefiting from, as well as the blessings of God who might have chosen him (informal translation by the Commission): </w:t>
      </w:r>
      <w:hyperlink r:id="rId136" w:history="1">
        <w:r>
          <w:t>https://www.youtube.com/watch?v=1bx8HQK6h_c&amp;feature=youtu.be</w:t>
        </w:r>
      </w:hyperlink>
      <w:r>
        <w:t>.</w:t>
      </w:r>
    </w:p>
    <w:p w14:paraId="5E4EFFAF" w14:textId="77777777" w:rsidR="00662CCF" w:rsidRPr="00B05CAD" w:rsidRDefault="00662CCF" w:rsidP="003D5320">
      <w:pPr>
        <w:pStyle w:val="FootnoteText"/>
        <w:spacing w:line="240" w:lineRule="auto"/>
        <w:ind w:hanging="141"/>
      </w:pPr>
      <w:r>
        <w:tab/>
      </w:r>
      <w:r>
        <w:tab/>
        <w:t xml:space="preserve">He may have received the revelation about him ruling over Burundi while he was still in the bushes and when he converted as a born again: </w:t>
      </w:r>
      <w:hyperlink r:id="rId137" w:history="1">
        <w:r>
          <w:t>https://www.lepoint.fr/monde/pierre-nkurunziza-president-du-burundi-par-volonte-divine-13-05-2015-1928289_24.php</w:t>
        </w:r>
      </w:hyperlink>
      <w:r>
        <w:t>.</w:t>
      </w:r>
    </w:p>
  </w:footnote>
  <w:footnote w:id="410">
    <w:p w14:paraId="17B3C866" w14:textId="77777777" w:rsidR="00662CCF" w:rsidRPr="00B05CAD" w:rsidRDefault="00662CCF" w:rsidP="003D5320">
      <w:pPr>
        <w:pStyle w:val="FootnoteText"/>
      </w:pPr>
      <w:r>
        <w:tab/>
      </w:r>
      <w:r>
        <w:rPr>
          <w:rStyle w:val="FootnoteReference"/>
        </w:rPr>
        <w:footnoteRef/>
      </w:r>
      <w:r>
        <w:tab/>
      </w:r>
      <w:hyperlink r:id="rId138" w:history="1">
        <w:r>
          <w:t>https://twitter.com/OmbudsmanBI/status/1094513397012533250</w:t>
        </w:r>
      </w:hyperlink>
      <w:r>
        <w:t>.</w:t>
      </w:r>
    </w:p>
  </w:footnote>
  <w:footnote w:id="411">
    <w:p w14:paraId="671BB324" w14:textId="48C58C93" w:rsidR="00662CCF" w:rsidRPr="006E78C4" w:rsidRDefault="00662CCF" w:rsidP="003D5320">
      <w:pPr>
        <w:pStyle w:val="FootnoteText"/>
      </w:pPr>
      <w:r>
        <w:tab/>
      </w:r>
      <w:r>
        <w:rPr>
          <w:rStyle w:val="FootnoteReference"/>
        </w:rPr>
        <w:footnoteRef/>
      </w:r>
      <w:r>
        <w:tab/>
        <w:t>IDEA</w:t>
      </w:r>
      <w:r w:rsidR="00117EF3">
        <w:t>,</w:t>
      </w:r>
      <w:r>
        <w:t xml:space="preserve"> </w:t>
      </w:r>
      <w:r w:rsidRPr="00117EF3">
        <w:rPr>
          <w:i/>
        </w:rPr>
        <w:t>international, International Obligations for Elections</w:t>
      </w:r>
      <w:r>
        <w:t xml:space="preserve">, pp. 59-60; The Carter Center, </w:t>
      </w:r>
      <w:r w:rsidRPr="00117EF3">
        <w:rPr>
          <w:i/>
        </w:rPr>
        <w:t>Elections obligations and standards, an assessment manual</w:t>
      </w:r>
      <w:r>
        <w:t>, pp. 38</w:t>
      </w:r>
      <w:r>
        <w:rPr>
          <w:cs/>
        </w:rPr>
        <w:t>–</w:t>
      </w:r>
      <w:r>
        <w:t>50.</w:t>
      </w:r>
    </w:p>
  </w:footnote>
  <w:footnote w:id="412">
    <w:p w14:paraId="2CB44DDC" w14:textId="2385C180" w:rsidR="00662CCF" w:rsidRPr="006E78C4" w:rsidRDefault="00662CCF" w:rsidP="003D5320">
      <w:pPr>
        <w:pStyle w:val="FootnoteText"/>
      </w:pPr>
      <w:r>
        <w:tab/>
      </w:r>
      <w:r>
        <w:rPr>
          <w:rStyle w:val="FootnoteReference"/>
        </w:rPr>
        <w:footnoteRef/>
      </w:r>
      <w:r>
        <w:tab/>
        <w:t>OSCE</w:t>
      </w:r>
      <w:r w:rsidR="00117EF3">
        <w:t>,</w:t>
      </w:r>
      <w:r>
        <w:t xml:space="preserve"> </w:t>
      </w:r>
      <w:r w:rsidRPr="00117EF3">
        <w:rPr>
          <w:i/>
        </w:rPr>
        <w:t>Handbook on elections observations</w:t>
      </w:r>
      <w:r>
        <w:t>, p. 50.</w:t>
      </w:r>
    </w:p>
  </w:footnote>
  <w:footnote w:id="413">
    <w:p w14:paraId="1C1BCC56" w14:textId="0926F948" w:rsidR="00662CCF" w:rsidRPr="00B05CAD" w:rsidRDefault="00662CCF" w:rsidP="003D5320">
      <w:pPr>
        <w:pStyle w:val="FootnoteText"/>
      </w:pPr>
      <w:r>
        <w:tab/>
      </w:r>
      <w:r>
        <w:rPr>
          <w:rStyle w:val="FootnoteReference"/>
        </w:rPr>
        <w:footnoteRef/>
      </w:r>
      <w:r>
        <w:tab/>
        <w:t>Point 4. C-13 of the Bamako Declaration signed by La Francophonie Member States in 2000.</w:t>
      </w:r>
    </w:p>
  </w:footnote>
  <w:footnote w:id="414">
    <w:p w14:paraId="717AC9CB" w14:textId="52FAFB8C" w:rsidR="00662CCF" w:rsidRPr="00B05CAD" w:rsidRDefault="00662CCF" w:rsidP="003D5320">
      <w:pPr>
        <w:pStyle w:val="FootnoteText"/>
      </w:pPr>
      <w:r>
        <w:tab/>
      </w:r>
      <w:r>
        <w:rPr>
          <w:rStyle w:val="FootnoteReference"/>
        </w:rPr>
        <w:footnoteRef/>
      </w:r>
      <w:r>
        <w:tab/>
        <w:t>As a reminder, the Constitution was also amended in June 2018, following a referendum held on 17 May 2018 and a new law on the press was later enacted in September 2018. See para. 282-291 of this report.</w:t>
      </w:r>
    </w:p>
  </w:footnote>
  <w:footnote w:id="415">
    <w:p w14:paraId="0E9C66B0" w14:textId="39B8E6C5" w:rsidR="00662CCF" w:rsidRPr="00B05CAD" w:rsidRDefault="00662CCF" w:rsidP="003D5320">
      <w:pPr>
        <w:pStyle w:val="FootnoteText"/>
      </w:pPr>
      <w:r>
        <w:tab/>
      </w:r>
      <w:r>
        <w:rPr>
          <w:rStyle w:val="FootnoteReference"/>
        </w:rPr>
        <w:footnoteRef/>
      </w:r>
      <w:r w:rsidR="00117EF3">
        <w:tab/>
        <w:t>Organic l</w:t>
      </w:r>
      <w:r>
        <w:t xml:space="preserve">aw No. 1/11 of 20 May 2019 to </w:t>
      </w:r>
      <w:r w:rsidR="00117EF3">
        <w:t>a</w:t>
      </w:r>
      <w:r>
        <w:t xml:space="preserve">mend </w:t>
      </w:r>
      <w:r w:rsidR="00117EF3">
        <w:t>l</w:t>
      </w:r>
      <w:r>
        <w:t>aw n°1/20 of 3 June 2014 to lay down Electoral Code.</w:t>
      </w:r>
    </w:p>
  </w:footnote>
  <w:footnote w:id="416">
    <w:p w14:paraId="211C1DD2" w14:textId="77777777" w:rsidR="00662CCF" w:rsidRPr="00B05CAD" w:rsidRDefault="00662CCF" w:rsidP="003D5320">
      <w:pPr>
        <w:pStyle w:val="FootnoteText"/>
      </w:pPr>
      <w:r>
        <w:tab/>
      </w:r>
      <w:r>
        <w:rPr>
          <w:rStyle w:val="FootnoteReference"/>
        </w:rPr>
        <w:footnoteRef/>
      </w:r>
      <w:r>
        <w:tab/>
        <w:t xml:space="preserve">Press release available on the following link: https://www.uantwerpen.be/images/uantwerpen/container49546/files/Burundi/pp/frod/050119.pdf. </w:t>
      </w:r>
    </w:p>
  </w:footnote>
  <w:footnote w:id="417">
    <w:p w14:paraId="4EB0B763" w14:textId="77777777" w:rsidR="00662CCF" w:rsidRPr="00B05CAD" w:rsidRDefault="00662CCF" w:rsidP="003D5320">
      <w:pPr>
        <w:pStyle w:val="FootnoteText"/>
      </w:pPr>
      <w:r>
        <w:tab/>
      </w:r>
      <w:r>
        <w:rPr>
          <w:rStyle w:val="FootnoteReference"/>
        </w:rPr>
        <w:footnoteRef/>
      </w:r>
      <w:r>
        <w:tab/>
        <w:t>See paragraph. 254 of this report.</w:t>
      </w:r>
    </w:p>
  </w:footnote>
  <w:footnote w:id="418">
    <w:p w14:paraId="6C783059" w14:textId="739EEF46" w:rsidR="00662CCF" w:rsidRPr="00B05CAD" w:rsidRDefault="00662CCF" w:rsidP="003D5320">
      <w:pPr>
        <w:pStyle w:val="FootnoteText"/>
      </w:pPr>
      <w:r>
        <w:tab/>
      </w:r>
      <w:r>
        <w:rPr>
          <w:rStyle w:val="FootnoteReference"/>
        </w:rPr>
        <w:footnoteRef/>
      </w:r>
      <w:r>
        <w:tab/>
        <w:t xml:space="preserve">Law </w:t>
      </w:r>
      <w:r w:rsidR="00117EF3">
        <w:t>n°1/16 of 10 September 2011 on political p</w:t>
      </w:r>
      <w:r>
        <w:t>arties.</w:t>
      </w:r>
    </w:p>
  </w:footnote>
  <w:footnote w:id="419">
    <w:p w14:paraId="59E3A8F0" w14:textId="32A3E312" w:rsidR="00662CCF" w:rsidRPr="00B05CAD" w:rsidRDefault="00662CCF" w:rsidP="003D5320">
      <w:pPr>
        <w:pStyle w:val="FootnoteText"/>
      </w:pPr>
      <w:r>
        <w:tab/>
      </w:r>
      <w:r>
        <w:rPr>
          <w:rStyle w:val="FootnoteReference"/>
        </w:rPr>
        <w:footnoteRef/>
      </w:r>
      <w:r>
        <w:tab/>
        <w:t>See para. 213</w:t>
      </w:r>
      <w:r>
        <w:rPr>
          <w:cs/>
        </w:rPr>
        <w:t>–</w:t>
      </w:r>
      <w:r>
        <w:t>272 of this report.</w:t>
      </w:r>
    </w:p>
  </w:footnote>
  <w:footnote w:id="420">
    <w:p w14:paraId="0DD4DA87" w14:textId="77777777" w:rsidR="00662CCF" w:rsidRPr="00B05CAD" w:rsidRDefault="00662CCF" w:rsidP="003D5320">
      <w:pPr>
        <w:pStyle w:val="FootnoteText"/>
      </w:pPr>
      <w:r>
        <w:tab/>
      </w:r>
      <w:r>
        <w:rPr>
          <w:rStyle w:val="FootnoteReference"/>
        </w:rPr>
        <w:footnoteRef/>
      </w:r>
      <w:r>
        <w:tab/>
        <w:t>Article 17 (1) of the African Charter on Democracy, Elections and Governance.</w:t>
      </w:r>
    </w:p>
  </w:footnote>
  <w:footnote w:id="421">
    <w:p w14:paraId="39D030A1" w14:textId="6C78241C" w:rsidR="00662CCF" w:rsidRPr="00B05CAD" w:rsidRDefault="00662CCF" w:rsidP="003D5320">
      <w:pPr>
        <w:pStyle w:val="FootnoteText"/>
      </w:pPr>
      <w:r>
        <w:tab/>
      </w:r>
      <w:r>
        <w:rPr>
          <w:rStyle w:val="FootnoteReference"/>
        </w:rPr>
        <w:footnoteRef/>
      </w:r>
      <w:r>
        <w:tab/>
        <w:t>Point 4. B-8 of th</w:t>
      </w:r>
      <w:r w:rsidR="00117EF3">
        <w:t>e Bamako Declaration signed by m</w:t>
      </w:r>
      <w:r>
        <w:t>ember States of La Francophonie in 2000.</w:t>
      </w:r>
    </w:p>
  </w:footnote>
  <w:footnote w:id="422">
    <w:p w14:paraId="02E66430" w14:textId="77777777" w:rsidR="00662CCF" w:rsidRPr="00B05CAD" w:rsidRDefault="00662CCF" w:rsidP="003D5320">
      <w:pPr>
        <w:pStyle w:val="FootnoteText"/>
      </w:pPr>
      <w:r>
        <w:tab/>
      </w:r>
      <w:r>
        <w:rPr>
          <w:rStyle w:val="FootnoteReference"/>
        </w:rPr>
        <w:footnoteRef/>
      </w:r>
      <w:r>
        <w:tab/>
        <w:t>Article 90 of the 2018 Constitution.</w:t>
      </w:r>
    </w:p>
  </w:footnote>
  <w:footnote w:id="423">
    <w:p w14:paraId="5B9E34CA" w14:textId="77777777" w:rsidR="00662CCF" w:rsidRPr="00B05CAD" w:rsidRDefault="00662CCF" w:rsidP="003D5320">
      <w:pPr>
        <w:pStyle w:val="FootnoteText"/>
      </w:pPr>
      <w:r>
        <w:tab/>
      </w:r>
      <w:r>
        <w:rPr>
          <w:rStyle w:val="FootnoteReference"/>
        </w:rPr>
        <w:footnoteRef/>
      </w:r>
      <w:r>
        <w:tab/>
        <w:t>Article 92 of the 2018 Constitution.</w:t>
      </w:r>
    </w:p>
  </w:footnote>
  <w:footnote w:id="424">
    <w:p w14:paraId="5F5C21CB" w14:textId="0AFAEC7E" w:rsidR="00662CCF" w:rsidRPr="00B05CAD" w:rsidRDefault="00662CCF" w:rsidP="003D5320">
      <w:pPr>
        <w:pStyle w:val="FootnoteText"/>
      </w:pPr>
      <w:r>
        <w:tab/>
      </w:r>
      <w:r>
        <w:rPr>
          <w:rStyle w:val="FootnoteReference"/>
        </w:rPr>
        <w:footnoteRef/>
      </w:r>
      <w:r>
        <w:tab/>
        <w:t xml:space="preserve">Article 3 of </w:t>
      </w:r>
      <w:r w:rsidR="00117EF3">
        <w:t>d</w:t>
      </w:r>
      <w:r>
        <w:t>ecree n°100/125.</w:t>
      </w:r>
    </w:p>
  </w:footnote>
  <w:footnote w:id="425">
    <w:p w14:paraId="6C89559D" w14:textId="5529BCD6" w:rsidR="00662CCF" w:rsidRPr="00B05CAD" w:rsidRDefault="00662CCF" w:rsidP="003D5320">
      <w:pPr>
        <w:pStyle w:val="FootnoteText"/>
      </w:pPr>
      <w:r>
        <w:tab/>
      </w:r>
      <w:r>
        <w:rPr>
          <w:rStyle w:val="FootnoteReference"/>
        </w:rPr>
        <w:footnoteRef/>
      </w:r>
      <w:r>
        <w:tab/>
        <w:t>CENI</w:t>
      </w:r>
      <w:r>
        <w:rPr>
          <w:cs/>
        </w:rPr>
        <w:t>’</w:t>
      </w:r>
      <w:r>
        <w:t xml:space="preserve">s web link: </w:t>
      </w:r>
      <w:hyperlink r:id="rId139" w:history="1">
        <w:r>
          <w:t>https://www.ceniburundi.bi/Organisation-missions-and</w:t>
        </w:r>
      </w:hyperlink>
      <w:r>
        <w:t xml:space="preserve">. </w:t>
      </w:r>
    </w:p>
  </w:footnote>
  <w:footnote w:id="426">
    <w:p w14:paraId="6BA66550" w14:textId="370E7999" w:rsidR="00662CCF" w:rsidRPr="00B05CAD" w:rsidRDefault="00662CCF" w:rsidP="003D5320">
      <w:pPr>
        <w:pStyle w:val="FootnoteText"/>
      </w:pPr>
      <w:r>
        <w:tab/>
      </w:r>
      <w:r>
        <w:rPr>
          <w:rStyle w:val="FootnoteReference"/>
        </w:rPr>
        <w:footnoteRef/>
      </w:r>
      <w:r>
        <w:tab/>
        <w:t xml:space="preserve">Article 19 of </w:t>
      </w:r>
      <w:r w:rsidR="00117EF3">
        <w:t>d</w:t>
      </w:r>
      <w:r>
        <w:t>ecree n°100/125.</w:t>
      </w:r>
    </w:p>
  </w:footnote>
  <w:footnote w:id="427">
    <w:p w14:paraId="6989A2E0" w14:textId="6F0BF433" w:rsidR="00662CCF" w:rsidRPr="00B05CAD" w:rsidRDefault="00662CCF" w:rsidP="003D5320">
      <w:pPr>
        <w:pStyle w:val="FootnoteText"/>
      </w:pPr>
      <w:r>
        <w:tab/>
      </w:r>
      <w:r>
        <w:rPr>
          <w:rStyle w:val="FootnoteReference"/>
        </w:rPr>
        <w:footnoteRef/>
      </w:r>
      <w:r>
        <w:tab/>
        <w:t xml:space="preserve">Presidential </w:t>
      </w:r>
      <w:r w:rsidR="00117EF3">
        <w:t>d</w:t>
      </w:r>
      <w:r>
        <w:t>ecree n°100/126 of 31 August 2018.</w:t>
      </w:r>
    </w:p>
  </w:footnote>
  <w:footnote w:id="428">
    <w:p w14:paraId="603A4C1B" w14:textId="77777777" w:rsidR="00662CCF" w:rsidRPr="00B05CAD" w:rsidRDefault="00662CCF" w:rsidP="003D5320">
      <w:pPr>
        <w:pStyle w:val="FootnoteText"/>
      </w:pPr>
      <w:r>
        <w:tab/>
      </w:r>
      <w:r>
        <w:rPr>
          <w:rStyle w:val="FootnoteReference"/>
        </w:rPr>
        <w:footnoteRef/>
      </w:r>
      <w:r>
        <w:tab/>
      </w:r>
      <w:hyperlink r:id="rId140" w:history="1">
        <w:r>
          <w:t>https://twitter.com/Irabarutachane1/status/1034735795322712065</w:t>
        </w:r>
      </w:hyperlink>
      <w:r>
        <w:t>.</w:t>
      </w:r>
    </w:p>
  </w:footnote>
  <w:footnote w:id="429">
    <w:p w14:paraId="378694C1" w14:textId="2098CC8E" w:rsidR="00662CCF" w:rsidRPr="00B05CAD" w:rsidRDefault="00662CCF" w:rsidP="003D5320">
      <w:pPr>
        <w:pStyle w:val="FootnoteText"/>
      </w:pPr>
      <w:r>
        <w:tab/>
      </w:r>
      <w:r>
        <w:rPr>
          <w:rStyle w:val="FootnoteReference"/>
        </w:rPr>
        <w:footnoteRef/>
      </w:r>
      <w:r>
        <w:tab/>
        <w:t xml:space="preserve">Article 12 of </w:t>
      </w:r>
      <w:r w:rsidR="00117EF3">
        <w:t>d</w:t>
      </w:r>
      <w:r>
        <w:t>ecree n°100/125.</w:t>
      </w:r>
    </w:p>
  </w:footnote>
  <w:footnote w:id="430">
    <w:p w14:paraId="41058E00" w14:textId="44B7EA92" w:rsidR="00662CCF" w:rsidRPr="00B05CAD" w:rsidRDefault="00662CCF" w:rsidP="003D5320">
      <w:pPr>
        <w:pStyle w:val="FootnoteText"/>
      </w:pPr>
      <w:r>
        <w:tab/>
      </w:r>
      <w:r>
        <w:rPr>
          <w:rStyle w:val="FootnoteReference"/>
        </w:rPr>
        <w:footnoteRef/>
      </w:r>
      <w:r>
        <w:tab/>
        <w:t xml:space="preserve">Article 8 of </w:t>
      </w:r>
      <w:r w:rsidR="00117EF3">
        <w:t>d</w:t>
      </w:r>
      <w:r>
        <w:t>ecree n°100/125.</w:t>
      </w:r>
    </w:p>
  </w:footnote>
  <w:footnote w:id="431">
    <w:p w14:paraId="0D256055" w14:textId="2655FA1E" w:rsidR="00662CCF" w:rsidRPr="00B05CAD" w:rsidRDefault="00662CCF" w:rsidP="003D5320">
      <w:pPr>
        <w:pStyle w:val="FootnoteText"/>
      </w:pPr>
      <w:r>
        <w:tab/>
      </w:r>
      <w:r>
        <w:rPr>
          <w:rStyle w:val="FootnoteReference"/>
        </w:rPr>
        <w:footnoteRef/>
      </w:r>
      <w:r>
        <w:tab/>
      </w:r>
      <w:hyperlink r:id="rId141" w:history="1">
        <w:r>
          <w:t>http://www.arib.info/Acopa-Burundi-Seminaire-Bruxelles-22September2014.pdf</w:t>
        </w:r>
      </w:hyperlink>
      <w:r>
        <w:t>.</w:t>
      </w:r>
    </w:p>
  </w:footnote>
  <w:footnote w:id="432">
    <w:p w14:paraId="6DED578C" w14:textId="77777777" w:rsidR="00662CCF" w:rsidRPr="00B05CAD" w:rsidRDefault="00662CCF" w:rsidP="003D5320">
      <w:pPr>
        <w:pStyle w:val="FootnoteText"/>
      </w:pPr>
      <w:r>
        <w:tab/>
      </w:r>
      <w:r>
        <w:rPr>
          <w:rStyle w:val="FootnoteReference"/>
        </w:rPr>
        <w:footnoteRef/>
      </w:r>
      <w:r>
        <w:tab/>
      </w:r>
      <w:hyperlink r:id="rId142" w:history="1">
        <w:r>
          <w:t>https://www.voaafrique.com/Burundi</w:t>
        </w:r>
      </w:hyperlink>
      <w:r>
        <w:t xml:space="preserve">, </w:t>
      </w:r>
      <w:hyperlink r:id="rId143" w:history="1">
        <w:r>
          <w:rPr>
            <w:rStyle w:val="Hyperlink"/>
          </w:rPr>
          <w:t>https://afrique.lalibre.be/36073/burundi-pierre-nkurunziza-sera-t-il-quand-meme-candidat-en-2020/</w:t>
        </w:r>
      </w:hyperlink>
      <w:r>
        <w:t>; see paragraph. 229 of this report.</w:t>
      </w:r>
    </w:p>
  </w:footnote>
  <w:footnote w:id="433">
    <w:p w14:paraId="45447851" w14:textId="36CF95BD" w:rsidR="00662CCF" w:rsidRPr="007622C6" w:rsidRDefault="00662CCF" w:rsidP="003D5320">
      <w:pPr>
        <w:pStyle w:val="FootnoteText"/>
        <w:rPr>
          <w:lang w:val="fr-FR"/>
        </w:rPr>
      </w:pPr>
      <w:r>
        <w:tab/>
      </w:r>
      <w:r>
        <w:rPr>
          <w:rStyle w:val="FootnoteReference"/>
        </w:rPr>
        <w:footnoteRef/>
      </w:r>
      <w:r>
        <w:tab/>
        <w:t xml:space="preserve">During the sessions he organized across the country, President Nkurunziza emphasized the fact that this was a colonial creation. </w:t>
      </w:r>
      <w:hyperlink r:id="rId144" w:history="1">
        <w:r w:rsidRPr="007622C6">
          <w:rPr>
            <w:lang w:val="fr-FR"/>
          </w:rPr>
          <w:t>http://french.peopledaily.com.cn/Afrique/n3/2018/0421/c96852-9452168.html</w:t>
        </w:r>
      </w:hyperlink>
      <w:r w:rsidRPr="007622C6">
        <w:rPr>
          <w:lang w:val="fr-FR"/>
        </w:rPr>
        <w:t>.</w:t>
      </w:r>
    </w:p>
  </w:footnote>
  <w:footnote w:id="434">
    <w:p w14:paraId="6EC888F9" w14:textId="77777777" w:rsidR="00662CCF" w:rsidRPr="00B05CAD" w:rsidRDefault="00662CCF" w:rsidP="003D5320">
      <w:pPr>
        <w:pStyle w:val="FootnoteText"/>
      </w:pPr>
      <w:r w:rsidRPr="007622C6">
        <w:rPr>
          <w:lang w:val="fr-FR"/>
        </w:rPr>
        <w:tab/>
      </w:r>
      <w:r>
        <w:rPr>
          <w:rStyle w:val="FootnoteReference"/>
        </w:rPr>
        <w:footnoteRef/>
      </w:r>
      <w:r w:rsidRPr="007622C6">
        <w:rPr>
          <w:lang w:val="fr-FR"/>
        </w:rPr>
        <w:tab/>
        <w:t xml:space="preserve">See paragraph. </w:t>
      </w:r>
      <w:r>
        <w:t>246</w:t>
      </w:r>
      <w:r>
        <w:rPr>
          <w:cs/>
        </w:rPr>
        <w:t>–</w:t>
      </w:r>
      <w:r>
        <w:t>247 of this report.</w:t>
      </w:r>
    </w:p>
  </w:footnote>
  <w:footnote w:id="435">
    <w:p w14:paraId="1E3BB896" w14:textId="37C7B26D" w:rsidR="00662CCF" w:rsidRPr="00B05CAD" w:rsidRDefault="00662CCF" w:rsidP="003D5320">
      <w:pPr>
        <w:pStyle w:val="FootnoteText"/>
      </w:pPr>
      <w:r>
        <w:tab/>
      </w:r>
      <w:r>
        <w:rPr>
          <w:rStyle w:val="FootnoteReference"/>
        </w:rPr>
        <w:footnoteRef/>
      </w:r>
      <w:r>
        <w:tab/>
        <w:t xml:space="preserve">Law n°1/18 of 15 May 2014 on the </w:t>
      </w:r>
      <w:r w:rsidR="00C6327D">
        <w:t>c</w:t>
      </w:r>
      <w:r>
        <w:t xml:space="preserve">reation, </w:t>
      </w:r>
      <w:r w:rsidR="00C6327D">
        <w:t>m</w:t>
      </w:r>
      <w:r>
        <w:t xml:space="preserve">andate, </w:t>
      </w:r>
      <w:r w:rsidR="00C6327D">
        <w:t>c</w:t>
      </w:r>
      <w:r>
        <w:t xml:space="preserve">omposition, </w:t>
      </w:r>
      <w:r w:rsidR="00C6327D">
        <w:t>o</w:t>
      </w:r>
      <w:r>
        <w:t xml:space="preserve">rganization and </w:t>
      </w:r>
      <w:r w:rsidR="00C6327D">
        <w:t>f</w:t>
      </w:r>
      <w:r>
        <w:t>unctioning of the CVR.</w:t>
      </w:r>
    </w:p>
  </w:footnote>
  <w:footnote w:id="436">
    <w:p w14:paraId="74251D58" w14:textId="77777777" w:rsidR="00662CCF" w:rsidRPr="00B05CAD" w:rsidRDefault="00662CCF" w:rsidP="003D5320">
      <w:pPr>
        <w:pStyle w:val="FootnoteText"/>
      </w:pPr>
      <w:r>
        <w:tab/>
      </w:r>
      <w:r>
        <w:rPr>
          <w:rStyle w:val="FootnoteReference"/>
        </w:rPr>
        <w:footnoteRef/>
      </w:r>
      <w:r>
        <w:tab/>
        <w:t>A/HRC/21/46, p. 9.</w:t>
      </w:r>
    </w:p>
  </w:footnote>
  <w:footnote w:id="437">
    <w:p w14:paraId="4EE3A46A" w14:textId="4862EE23" w:rsidR="00662CCF" w:rsidRPr="00B05CAD" w:rsidRDefault="00662CCF" w:rsidP="003D5320">
      <w:pPr>
        <w:pStyle w:val="FootnoteText"/>
      </w:pPr>
      <w:r>
        <w:tab/>
      </w:r>
      <w:r>
        <w:rPr>
          <w:rStyle w:val="FootnoteReference"/>
        </w:rPr>
        <w:footnoteRef/>
      </w:r>
      <w:r>
        <w:tab/>
        <w:t>See A/HRC/39/CRP.1, paragraph 98</w:t>
      </w:r>
      <w:r>
        <w:rPr>
          <w:cs/>
        </w:rPr>
        <w:t>–</w:t>
      </w:r>
      <w:r>
        <w:t xml:space="preserve">118, and the Special Rapporteur on </w:t>
      </w:r>
      <w:r w:rsidR="00C6327D">
        <w:t>t</w:t>
      </w:r>
      <w:r>
        <w:t xml:space="preserve">ransitional </w:t>
      </w:r>
      <w:r w:rsidR="00C6327D">
        <w:t>j</w:t>
      </w:r>
      <w:r>
        <w:t>ustice A/HRC/30/42/Add.1.</w:t>
      </w:r>
    </w:p>
  </w:footnote>
  <w:footnote w:id="438">
    <w:p w14:paraId="0E2762A2" w14:textId="72314B9E" w:rsidR="00662CCF" w:rsidRPr="006E78C4" w:rsidRDefault="00662CCF" w:rsidP="003D5320">
      <w:pPr>
        <w:pStyle w:val="FootnoteText"/>
      </w:pPr>
      <w:r>
        <w:tab/>
      </w:r>
      <w:r>
        <w:rPr>
          <w:rStyle w:val="FootnoteReference"/>
        </w:rPr>
        <w:footnoteRef/>
      </w:r>
      <w:r>
        <w:tab/>
        <w:t xml:space="preserve">Impunity Watch, </w:t>
      </w:r>
      <w:r w:rsidRPr="009345E9">
        <w:rPr>
          <w:i/>
        </w:rPr>
        <w:t>Restricted Access</w:t>
      </w:r>
      <w:r w:rsidRPr="009345E9">
        <w:rPr>
          <w:i/>
          <w:cs/>
        </w:rPr>
        <w:t xml:space="preserve">’ </w:t>
      </w:r>
      <w:r w:rsidRPr="009345E9">
        <w:rPr>
          <w:i/>
        </w:rPr>
        <w:t>Promises and Pitfalls of Victim Participation in Transitional Justice Mechanisms - A Comparative Perspective</w:t>
      </w:r>
      <w:r>
        <w:t>, July 2017.</w:t>
      </w:r>
    </w:p>
  </w:footnote>
  <w:footnote w:id="439">
    <w:p w14:paraId="17FF9873" w14:textId="682EE3FB" w:rsidR="00662CCF" w:rsidRPr="00B05CAD" w:rsidRDefault="00662CCF" w:rsidP="003D5320">
      <w:pPr>
        <w:pStyle w:val="FootnoteText"/>
      </w:pPr>
      <w:r>
        <w:tab/>
      </w:r>
      <w:r>
        <w:rPr>
          <w:rStyle w:val="FootnoteReference"/>
        </w:rPr>
        <w:footnoteRef/>
      </w:r>
      <w:r>
        <w:tab/>
        <w:t xml:space="preserve">Impunity Watch, </w:t>
      </w:r>
      <w:r w:rsidRPr="009345E9">
        <w:rPr>
          <w:i/>
        </w:rPr>
        <w:t>Gender and Transitional Justice in Burundi: Between Gender-based Role Attributions, Hierarchisation &amp; Political Dynamics</w:t>
      </w:r>
      <w:r>
        <w:t>, July 2018.</w:t>
      </w:r>
    </w:p>
  </w:footnote>
  <w:footnote w:id="440">
    <w:p w14:paraId="43884513" w14:textId="60D18C08" w:rsidR="00662CCF" w:rsidRPr="00B05CAD" w:rsidRDefault="00662CCF" w:rsidP="003D5320">
      <w:pPr>
        <w:pStyle w:val="FootnoteText"/>
      </w:pPr>
      <w:r>
        <w:tab/>
      </w:r>
      <w:r>
        <w:rPr>
          <w:rStyle w:val="FootnoteReference"/>
        </w:rPr>
        <w:footnoteRef/>
      </w:r>
      <w:r>
        <w:tab/>
        <w:t xml:space="preserve">Law n°1/22 of 6 November 2018 amending </w:t>
      </w:r>
      <w:r w:rsidR="00C6327D">
        <w:t>l</w:t>
      </w:r>
      <w:r>
        <w:t xml:space="preserve">aw n°1/18 of 15 May 2014 on the </w:t>
      </w:r>
      <w:r w:rsidR="00C6327D">
        <w:t>c</w:t>
      </w:r>
      <w:r>
        <w:t xml:space="preserve">reation, </w:t>
      </w:r>
      <w:r w:rsidR="00C6327D">
        <w:t>m</w:t>
      </w:r>
      <w:r>
        <w:t xml:space="preserve">andate, </w:t>
      </w:r>
      <w:r w:rsidR="00C6327D">
        <w:t>c</w:t>
      </w:r>
      <w:r>
        <w:t xml:space="preserve">omposition, </w:t>
      </w:r>
      <w:r w:rsidR="00C6327D">
        <w:t>o</w:t>
      </w:r>
      <w:r>
        <w:t xml:space="preserve">rganization and </w:t>
      </w:r>
      <w:r w:rsidR="00C6327D">
        <w:t>f</w:t>
      </w:r>
      <w:r>
        <w:t>unctioning of the CVR. Detailed in Articles 4, 6 (1) and 6 (4) (g).</w:t>
      </w:r>
    </w:p>
  </w:footnote>
  <w:footnote w:id="441">
    <w:p w14:paraId="5DCEC6D0" w14:textId="77777777" w:rsidR="00662CCF" w:rsidRPr="00B05CAD" w:rsidRDefault="00662CCF" w:rsidP="003D5320">
      <w:pPr>
        <w:pStyle w:val="FootnoteText"/>
      </w:pPr>
      <w:r>
        <w:tab/>
      </w:r>
      <w:r>
        <w:rPr>
          <w:rStyle w:val="FootnoteReference"/>
        </w:rPr>
        <w:footnoteRef/>
      </w:r>
      <w:r>
        <w:tab/>
        <w:t>See CVR President</w:t>
      </w:r>
      <w:r>
        <w:rPr>
          <w:cs/>
        </w:rPr>
        <w:t>’</w:t>
      </w:r>
      <w:r>
        <w:t>s speech during an information meeting with international partners of the CVR on 30 January 2019 in paragraph 13.</w:t>
      </w:r>
    </w:p>
  </w:footnote>
  <w:footnote w:id="442">
    <w:p w14:paraId="60ADFC64" w14:textId="77777777" w:rsidR="00662CCF" w:rsidRPr="00B05CAD" w:rsidRDefault="00662CCF" w:rsidP="003D5320">
      <w:pPr>
        <w:pStyle w:val="FootnoteText"/>
      </w:pPr>
      <w:r>
        <w:tab/>
      </w:r>
      <w:r>
        <w:rPr>
          <w:rStyle w:val="FootnoteReference"/>
        </w:rPr>
        <w:footnoteRef/>
      </w:r>
      <w:r>
        <w:tab/>
        <w:t>CVR President</w:t>
      </w:r>
      <w:r>
        <w:rPr>
          <w:cs/>
        </w:rPr>
        <w:t>’</w:t>
      </w:r>
      <w:r>
        <w:t>s speech during an information meeting with international partners of the CVR on 30 January 2019 in paragraph 4.</w:t>
      </w:r>
    </w:p>
  </w:footnote>
  <w:footnote w:id="443">
    <w:p w14:paraId="0DB87893" w14:textId="77777777" w:rsidR="00662CCF" w:rsidRPr="00B05CAD" w:rsidRDefault="00662CCF" w:rsidP="003D5320">
      <w:pPr>
        <w:pStyle w:val="FootnoteText"/>
      </w:pPr>
      <w:r>
        <w:tab/>
      </w:r>
      <w:r>
        <w:rPr>
          <w:rStyle w:val="FootnoteReference"/>
        </w:rPr>
        <w:footnoteRef/>
      </w:r>
      <w:r>
        <w:tab/>
      </w:r>
      <w:hyperlink r:id="rId145" w:history="1">
        <w:r>
          <w:t>https://twitter.com/burundi_cvr/status/1124063299476369409</w:t>
        </w:r>
      </w:hyperlink>
      <w:r>
        <w:t>.</w:t>
      </w:r>
    </w:p>
  </w:footnote>
  <w:footnote w:id="444">
    <w:p w14:paraId="78F6569F" w14:textId="77777777" w:rsidR="00662CCF" w:rsidRPr="00B05CAD" w:rsidRDefault="00662CCF" w:rsidP="003D5320">
      <w:pPr>
        <w:pStyle w:val="FootnoteText"/>
      </w:pPr>
      <w:r>
        <w:tab/>
      </w:r>
      <w:r>
        <w:rPr>
          <w:rStyle w:val="FootnoteReference"/>
        </w:rPr>
        <w:footnoteRef/>
      </w:r>
      <w:r>
        <w:tab/>
      </w:r>
      <w:hyperlink r:id="rId146" w:history="1">
        <w:r>
          <w:t>https://twitter.com/ndayicariye/status/1120997161100029954</w:t>
        </w:r>
      </w:hyperlink>
      <w:r>
        <w:t xml:space="preserve"> .</w:t>
      </w:r>
    </w:p>
  </w:footnote>
  <w:footnote w:id="445">
    <w:p w14:paraId="6F0B6B11" w14:textId="2FF7B109" w:rsidR="00662CCF" w:rsidRPr="00B05CAD" w:rsidRDefault="00662CCF" w:rsidP="003D5320">
      <w:pPr>
        <w:pStyle w:val="FootnoteText"/>
      </w:pPr>
      <w:r>
        <w:tab/>
      </w:r>
      <w:r>
        <w:rPr>
          <w:rStyle w:val="FootnoteReference"/>
        </w:rPr>
        <w:footnoteRef/>
      </w:r>
      <w:r>
        <w:tab/>
        <w:t xml:space="preserve"> The Special Rapporteur on the promotion of truth, justice, reparation, and guarantees of non-recurrence and the Special Adviser to the Secretary-General on the prevention of genocide, </w:t>
      </w:r>
      <w:r w:rsidRPr="007A40BA">
        <w:rPr>
          <w:i/>
          <w:lang w:val="en-US"/>
        </w:rPr>
        <w:t>Joint study on the contribution of transitional justice to the prevention of gross violations and abuses of human rights and serious violations of international humanitarian law, including genocide, war crimes, ethnic cleansing and crimes against humanity, and their recurrence</w:t>
      </w:r>
      <w:r>
        <w:rPr>
          <w:lang w:val="en-US"/>
        </w:rPr>
        <w:t>,</w:t>
      </w:r>
      <w:r w:rsidRPr="0099778A">
        <w:t xml:space="preserve"> </w:t>
      </w:r>
      <w:r>
        <w:t>A/HRC/37/65, paragraphs 74 and 75.</w:t>
      </w:r>
    </w:p>
  </w:footnote>
  <w:footnote w:id="446">
    <w:p w14:paraId="24174C23" w14:textId="77777777" w:rsidR="00662CCF" w:rsidRPr="006E78C4" w:rsidRDefault="00662CCF" w:rsidP="003D5320">
      <w:pPr>
        <w:pStyle w:val="FootnoteText"/>
      </w:pPr>
      <w:r>
        <w:tab/>
      </w:r>
      <w:r>
        <w:rPr>
          <w:rStyle w:val="FootnoteReference"/>
        </w:rPr>
        <w:footnoteRef/>
      </w:r>
      <w:r>
        <w:tab/>
        <w:t xml:space="preserve">Manuela Travaglianti, </w:t>
      </w:r>
      <w:r w:rsidRPr="007A40BA">
        <w:rPr>
          <w:i/>
        </w:rPr>
        <w:t>Threatening your Own. Electoral Violence within Ethnic Groups in Burundi and Beyond</w:t>
      </w:r>
      <w:r>
        <w:t>, A dissertation submitted in partial fulfilment of the requirements for the degree of Doctor of Philosophy, Department of Politics, New York University, January 2014, p. 66.</w:t>
      </w:r>
    </w:p>
  </w:footnote>
  <w:footnote w:id="447">
    <w:p w14:paraId="2CD08FFE" w14:textId="77777777" w:rsidR="00662CCF" w:rsidRPr="003F3FB5" w:rsidRDefault="00662CCF" w:rsidP="003D5320">
      <w:pPr>
        <w:pStyle w:val="FootnoteText"/>
        <w:rPr>
          <w:lang w:val="es-ES"/>
        </w:rPr>
      </w:pPr>
      <w:r>
        <w:tab/>
      </w:r>
      <w:r>
        <w:rPr>
          <w:rStyle w:val="FootnoteReference"/>
        </w:rPr>
        <w:footnoteRef/>
      </w:r>
      <w:r w:rsidRPr="003F3FB5">
        <w:rPr>
          <w:lang w:val="es-ES"/>
        </w:rPr>
        <w:tab/>
        <w:t>JI-066, JI-060, JI-103, JI-063.</w:t>
      </w:r>
    </w:p>
  </w:footnote>
  <w:footnote w:id="448">
    <w:p w14:paraId="5830BC5E" w14:textId="77777777" w:rsidR="00662CCF" w:rsidRPr="003F3FB5" w:rsidRDefault="00662CCF" w:rsidP="003D5320">
      <w:pPr>
        <w:pStyle w:val="FootnoteText"/>
        <w:rPr>
          <w:lang w:val="es-ES"/>
        </w:rPr>
      </w:pPr>
      <w:r w:rsidRPr="003F3FB5">
        <w:rPr>
          <w:lang w:val="es-ES"/>
        </w:rPr>
        <w:tab/>
      </w:r>
      <w:r>
        <w:rPr>
          <w:rStyle w:val="FootnoteReference"/>
        </w:rPr>
        <w:footnoteRef/>
      </w:r>
      <w:r w:rsidRPr="003F3FB5">
        <w:rPr>
          <w:lang w:val="es-ES"/>
        </w:rPr>
        <w:tab/>
        <w:t>JI-066.</w:t>
      </w:r>
    </w:p>
  </w:footnote>
  <w:footnote w:id="449">
    <w:p w14:paraId="72E0CF6C" w14:textId="1C6C3800" w:rsidR="00662CCF" w:rsidRPr="00B05CAD" w:rsidRDefault="00662CCF" w:rsidP="003D5320">
      <w:pPr>
        <w:pStyle w:val="FootnoteText"/>
      </w:pPr>
      <w:r w:rsidRPr="003F3FB5">
        <w:rPr>
          <w:lang w:val="es-ES"/>
        </w:rPr>
        <w:tab/>
      </w:r>
      <w:r>
        <w:rPr>
          <w:rStyle w:val="FootnoteReference"/>
        </w:rPr>
        <w:footnoteRef/>
      </w:r>
      <w:r>
        <w:tab/>
        <w:t xml:space="preserve">The Special Rapporteur on the promotion of truth, justice, reparation, and guarantees of non-recurrence and the Special Adviser to the Secretary-General on the prevention of genocide, </w:t>
      </w:r>
      <w:r w:rsidRPr="007A40BA">
        <w:rPr>
          <w:i/>
          <w:lang w:val="en-US"/>
        </w:rPr>
        <w:t>Joint study on the contribution of transitional justice to the prevention of gross violations and abuses of human rights and serious violations of international humanitarian law, including genocide, war crimes, ethnic cleansing and crimes against humanity, and their recurrence</w:t>
      </w:r>
      <w:r>
        <w:rPr>
          <w:lang w:val="en-US"/>
        </w:rPr>
        <w:t>,</w:t>
      </w:r>
      <w:r>
        <w:t xml:space="preserve"> A/HRC/37/65, paragraphs 74 and 75.</w:t>
      </w:r>
    </w:p>
  </w:footnote>
  <w:footnote w:id="450">
    <w:p w14:paraId="35824C8F" w14:textId="77777777" w:rsidR="00662CCF" w:rsidRPr="00B05CAD" w:rsidRDefault="00662CCF" w:rsidP="003D5320">
      <w:pPr>
        <w:pStyle w:val="FootnoteText"/>
      </w:pPr>
      <w:r>
        <w:tab/>
      </w:r>
      <w:r>
        <w:rPr>
          <w:rStyle w:val="FootnoteReference"/>
        </w:rPr>
        <w:footnoteRef/>
      </w:r>
      <w:r>
        <w:tab/>
        <w:t>JI-103.</w:t>
      </w:r>
    </w:p>
  </w:footnote>
  <w:footnote w:id="451">
    <w:p w14:paraId="62BFDA32" w14:textId="1CBF1248" w:rsidR="00662CCF" w:rsidRPr="00B05CAD" w:rsidRDefault="00662CCF" w:rsidP="003D5320">
      <w:pPr>
        <w:pStyle w:val="FootnoteText"/>
      </w:pPr>
      <w:r>
        <w:tab/>
      </w:r>
      <w:r>
        <w:rPr>
          <w:rStyle w:val="FootnoteReference"/>
        </w:rPr>
        <w:footnoteRef/>
      </w:r>
      <w:r>
        <w:tab/>
        <w:t>2019 New Year Address by the President of the Republic.</w:t>
      </w:r>
    </w:p>
  </w:footnote>
  <w:footnote w:id="452">
    <w:p w14:paraId="75229E9B" w14:textId="7F374745" w:rsidR="00662CCF" w:rsidRPr="00B05CAD" w:rsidRDefault="00662CCF" w:rsidP="003D5320">
      <w:pPr>
        <w:pStyle w:val="FootnoteText"/>
      </w:pPr>
      <w:r>
        <w:tab/>
      </w:r>
      <w:r>
        <w:rPr>
          <w:rStyle w:val="FootnoteReference"/>
        </w:rPr>
        <w:footnoteRef/>
      </w:r>
      <w:r>
        <w:tab/>
        <w:t>Address to the Nation by the President of the Republic on 30 June 2019.</w:t>
      </w:r>
    </w:p>
  </w:footnote>
  <w:footnote w:id="453">
    <w:p w14:paraId="4C2B9678" w14:textId="77777777" w:rsidR="00662CCF" w:rsidRPr="00B05CAD" w:rsidRDefault="00662CCF" w:rsidP="003D5320">
      <w:pPr>
        <w:pStyle w:val="FootnoteText"/>
      </w:pPr>
      <w:r>
        <w:tab/>
      </w:r>
      <w:r>
        <w:rPr>
          <w:rStyle w:val="FootnoteReference"/>
        </w:rPr>
        <w:footnoteRef/>
      </w:r>
      <w:r>
        <w:tab/>
      </w:r>
      <w:hyperlink r:id="rId147" w:history="1">
        <w:r>
          <w:t>https://twitter.com/willynyamitwe/status/1161951483476291587</w:t>
        </w:r>
      </w:hyperlink>
      <w:r>
        <w:t>.</w:t>
      </w:r>
    </w:p>
  </w:footnote>
  <w:footnote w:id="454">
    <w:p w14:paraId="3F3864AB" w14:textId="77777777" w:rsidR="00662CCF" w:rsidRPr="00B05CAD" w:rsidRDefault="00662CCF" w:rsidP="003D5320">
      <w:pPr>
        <w:pStyle w:val="FootnoteText"/>
      </w:pPr>
      <w:r>
        <w:tab/>
      </w:r>
      <w:r>
        <w:rPr>
          <w:rStyle w:val="FootnoteReference"/>
        </w:rPr>
        <w:footnoteRef/>
      </w:r>
      <w:r>
        <w:tab/>
      </w:r>
      <w:hyperlink r:id="rId148" w:history="1">
        <w:r>
          <w:t>https://twitter.com/willynyamitwe/status/1161957726571905025</w:t>
        </w:r>
      </w:hyperlink>
      <w:r>
        <w:t>.</w:t>
      </w:r>
    </w:p>
  </w:footnote>
  <w:footnote w:id="455">
    <w:p w14:paraId="717ABD40" w14:textId="77777777" w:rsidR="00662CCF" w:rsidRPr="00B05CAD" w:rsidRDefault="00662CCF" w:rsidP="003D5320">
      <w:pPr>
        <w:pStyle w:val="FootnoteText"/>
      </w:pPr>
      <w:r>
        <w:tab/>
      </w:r>
      <w:r>
        <w:rPr>
          <w:rStyle w:val="FootnoteReference"/>
        </w:rPr>
        <w:footnoteRef/>
      </w:r>
      <w:r>
        <w:tab/>
      </w:r>
      <w:hyperlink r:id="rId149" w:history="1">
        <w:r>
          <w:t>https://twitter.com/IntumwaNews/status/1138074524178636802</w:t>
        </w:r>
      </w:hyperlink>
      <w:r>
        <w:t>.</w:t>
      </w:r>
    </w:p>
  </w:footnote>
  <w:footnote w:id="456">
    <w:p w14:paraId="0CBB24E2" w14:textId="77777777" w:rsidR="00662CCF" w:rsidRPr="00B05CAD" w:rsidRDefault="00662CCF" w:rsidP="003D5320">
      <w:pPr>
        <w:pStyle w:val="FootnoteText"/>
      </w:pPr>
      <w:r>
        <w:tab/>
      </w:r>
      <w:r>
        <w:rPr>
          <w:rStyle w:val="FootnoteReference"/>
        </w:rPr>
        <w:footnoteRef/>
      </w:r>
      <w:r>
        <w:tab/>
      </w:r>
      <w:hyperlink r:id="rId150" w:history="1">
        <w:r>
          <w:t>https://twitter.com/IntumwaNews/status/1138427976742293504</w:t>
        </w:r>
      </w:hyperlink>
      <w:r>
        <w:t xml:space="preserve">. </w:t>
      </w:r>
    </w:p>
  </w:footnote>
  <w:footnote w:id="457">
    <w:p w14:paraId="0282A37C" w14:textId="1E335F49" w:rsidR="00662CCF" w:rsidRPr="00B05CAD" w:rsidRDefault="00662CCF" w:rsidP="003D5320">
      <w:pPr>
        <w:pStyle w:val="FootnoteText"/>
      </w:pPr>
      <w:r>
        <w:tab/>
      </w:r>
      <w:r>
        <w:rPr>
          <w:rStyle w:val="FootnoteReference"/>
        </w:rPr>
        <w:footnoteRef/>
      </w:r>
      <w:r>
        <w:tab/>
        <w:t xml:space="preserve">Consultative </w:t>
      </w:r>
      <w:r w:rsidR="00C6327D">
        <w:t>b</w:t>
      </w:r>
      <w:r>
        <w:t xml:space="preserve">ody in charge of </w:t>
      </w:r>
      <w:r>
        <w:rPr>
          <w:cs/>
        </w:rPr>
        <w:t>“</w:t>
      </w:r>
      <w:r>
        <w:t>conducting research and providing recommendations on every essential issue</w:t>
      </w:r>
      <w:r>
        <w:rPr>
          <w:cs/>
        </w:rPr>
        <w:t xml:space="preserve">” </w:t>
      </w:r>
      <w:r>
        <w:t>pertaining to unity, peace, and national reconciliation - especially on those related to the priority missions of institutions. </w:t>
      </w:r>
    </w:p>
  </w:footnote>
  <w:footnote w:id="458">
    <w:p w14:paraId="68C6740E" w14:textId="77777777" w:rsidR="00662CCF" w:rsidRPr="00B05CAD" w:rsidRDefault="00662CCF" w:rsidP="003D5320">
      <w:pPr>
        <w:pStyle w:val="FootnoteText"/>
      </w:pPr>
      <w:r>
        <w:tab/>
      </w:r>
      <w:r>
        <w:rPr>
          <w:rStyle w:val="FootnoteReference"/>
        </w:rPr>
        <w:footnoteRef/>
      </w:r>
      <w:r>
        <w:tab/>
      </w:r>
      <w:hyperlink r:id="rId151" w:history="1">
        <w:r>
          <w:t>http://french.china.org.cn/foreign/txt/2019-01/30/content_74423220.htm</w:t>
        </w:r>
      </w:hyperlink>
      <w:r>
        <w:t>.</w:t>
      </w:r>
    </w:p>
  </w:footnote>
  <w:footnote w:id="459">
    <w:p w14:paraId="205F3D25" w14:textId="06B6263E" w:rsidR="00662CCF" w:rsidRPr="00B05CAD" w:rsidRDefault="00662CCF" w:rsidP="003D5320">
      <w:pPr>
        <w:pStyle w:val="FootnoteText"/>
      </w:pPr>
      <w:r>
        <w:tab/>
      </w:r>
      <w:r>
        <w:rPr>
          <w:rStyle w:val="FootnoteReference"/>
        </w:rPr>
        <w:footnoteRef/>
      </w:r>
      <w:r>
        <w:tab/>
        <w:t>Address to the Nation by the President of the Republic on 30 June 2019.</w:t>
      </w:r>
    </w:p>
  </w:footnote>
  <w:footnote w:id="460">
    <w:p w14:paraId="00B968D2" w14:textId="77777777" w:rsidR="00662CCF" w:rsidRPr="00B05CAD" w:rsidRDefault="00662CCF" w:rsidP="003D5320">
      <w:pPr>
        <w:pStyle w:val="FootnoteText"/>
      </w:pPr>
      <w:r>
        <w:tab/>
      </w:r>
      <w:r>
        <w:rPr>
          <w:rStyle w:val="FootnoteReference"/>
        </w:rPr>
        <w:footnoteRef/>
      </w:r>
      <w:r>
        <w:tab/>
        <w:t>See A/HRC/36/CRP.1/Rev.1, paragraphs 188-193.</w:t>
      </w:r>
    </w:p>
  </w:footnote>
  <w:footnote w:id="461">
    <w:p w14:paraId="63F6F27D" w14:textId="77777777" w:rsidR="00662CCF" w:rsidRPr="00B05CAD" w:rsidRDefault="00662CCF" w:rsidP="003D5320">
      <w:pPr>
        <w:pStyle w:val="FootnoteText"/>
      </w:pPr>
      <w:r>
        <w:tab/>
      </w:r>
      <w:r>
        <w:rPr>
          <w:rStyle w:val="FootnoteReference"/>
        </w:rPr>
        <w:footnoteRef/>
      </w:r>
      <w:r>
        <w:tab/>
      </w:r>
      <w:hyperlink r:id="rId152" w:history="1">
        <w:r>
          <w:t>https://www.ibtimes.co.uk/we-are-ready-war-burundis-rebel-groups-how-they-plan-topple-president-nkurunziza-1609043</w:t>
        </w:r>
      </w:hyperlink>
      <w:r>
        <w:t>.</w:t>
      </w:r>
    </w:p>
  </w:footnote>
  <w:footnote w:id="462">
    <w:p w14:paraId="13C19A14" w14:textId="77777777" w:rsidR="00662CCF" w:rsidRPr="00B05CAD" w:rsidRDefault="00662CCF" w:rsidP="003D5320">
      <w:pPr>
        <w:pStyle w:val="FootnoteText"/>
      </w:pPr>
      <w:r>
        <w:tab/>
      </w:r>
      <w:r>
        <w:rPr>
          <w:rStyle w:val="FootnoteReference"/>
        </w:rPr>
        <w:footnoteRef/>
      </w:r>
      <w:r>
        <w:tab/>
        <w:t>Group of Experts on the Democratic Republic of the Congo, Final Report, S/2016/466, paragraph 29-</w:t>
      </w:r>
      <w:proofErr w:type="gramStart"/>
      <w:r>
        <w:t>45 ;</w:t>
      </w:r>
      <w:proofErr w:type="gramEnd"/>
      <w:r>
        <w:t xml:space="preserve"> </w:t>
      </w:r>
      <w:hyperlink r:id="rId153" w:history="1">
        <w:r>
          <w:t>http://www.rfi.fr/afrique/20160124-burundi-quels-sont-mouvements-rebelles-combattent-nkurunziza</w:t>
        </w:r>
      </w:hyperlink>
      <w:r>
        <w:t>.</w:t>
      </w:r>
    </w:p>
  </w:footnote>
  <w:footnote w:id="463">
    <w:p w14:paraId="0540A917" w14:textId="77777777" w:rsidR="00662CCF" w:rsidRPr="00B05CAD" w:rsidRDefault="00662CCF" w:rsidP="003D5320">
      <w:pPr>
        <w:pStyle w:val="FootnoteText"/>
      </w:pPr>
      <w:r>
        <w:tab/>
      </w:r>
      <w:r>
        <w:rPr>
          <w:rStyle w:val="FootnoteReference"/>
        </w:rPr>
        <w:footnoteRef/>
      </w:r>
      <w:r>
        <w:tab/>
        <w:t>Group of Experts on the Democratic Republic of the Congo, Final Report, S/2019/469, paragraph 84.</w:t>
      </w:r>
    </w:p>
  </w:footnote>
  <w:footnote w:id="464">
    <w:p w14:paraId="1CA39732" w14:textId="77777777" w:rsidR="00662CCF" w:rsidRPr="00B05CAD" w:rsidRDefault="00662CCF" w:rsidP="003D5320">
      <w:pPr>
        <w:pStyle w:val="FootnoteText"/>
      </w:pPr>
      <w:r>
        <w:tab/>
      </w:r>
      <w:r>
        <w:rPr>
          <w:rStyle w:val="FootnoteReference"/>
        </w:rPr>
        <w:footnoteRef/>
      </w:r>
      <w:r>
        <w:tab/>
        <w:t>Group of Experts on the Democratic Republic of the Congo, Final Report, S/2019/469, paragraph 82.</w:t>
      </w:r>
    </w:p>
  </w:footnote>
  <w:footnote w:id="465">
    <w:p w14:paraId="4AEC29B6" w14:textId="77777777" w:rsidR="00662CCF" w:rsidRPr="00B05CAD" w:rsidRDefault="00662CCF" w:rsidP="003D5320">
      <w:pPr>
        <w:pStyle w:val="FootnoteText"/>
      </w:pPr>
      <w:r>
        <w:tab/>
      </w:r>
      <w:r>
        <w:rPr>
          <w:rStyle w:val="FootnoteReference"/>
        </w:rPr>
        <w:footnoteRef/>
      </w:r>
      <w:r>
        <w:tab/>
        <w:t>Group of Experts on the Democratic Republic of the Congo, Final Report, S/2019/469, paragraph 85-87.</w:t>
      </w:r>
    </w:p>
  </w:footnote>
  <w:footnote w:id="466">
    <w:p w14:paraId="61090F12" w14:textId="77777777" w:rsidR="00662CCF" w:rsidRPr="00B05CAD" w:rsidRDefault="00662CCF" w:rsidP="003D5320">
      <w:pPr>
        <w:pStyle w:val="FootnoteText"/>
      </w:pPr>
      <w:r>
        <w:tab/>
      </w:r>
      <w:r>
        <w:rPr>
          <w:rStyle w:val="FootnoteReference"/>
        </w:rPr>
        <w:footnoteRef/>
      </w:r>
      <w:r>
        <w:tab/>
        <w:t>Group of Experts on the Democratic Republic of the Congo, Final Report, S/2017/672/Rev.1, paragraph 46-50.</w:t>
      </w:r>
    </w:p>
  </w:footnote>
  <w:footnote w:id="467">
    <w:p w14:paraId="33940B38" w14:textId="77777777" w:rsidR="00662CCF" w:rsidRPr="00B05CAD" w:rsidRDefault="00662CCF" w:rsidP="003D5320">
      <w:pPr>
        <w:pStyle w:val="FootnoteText"/>
      </w:pPr>
      <w:r>
        <w:tab/>
      </w:r>
      <w:r>
        <w:rPr>
          <w:rStyle w:val="FootnoteReference"/>
        </w:rPr>
        <w:footnoteRef/>
      </w:r>
      <w:r>
        <w:tab/>
      </w:r>
      <w:hyperlink r:id="rId154" w:history="1">
        <w:r>
          <w:t>https://www.ibtimes.co.uk/we-are-ready-war-burundis-rebel-groups-how-they-plan-topple-president-nkurunziza-1609043</w:t>
        </w:r>
      </w:hyperlink>
      <w:r>
        <w:t xml:space="preserve">. </w:t>
      </w:r>
    </w:p>
  </w:footnote>
  <w:footnote w:id="468">
    <w:p w14:paraId="517F297A" w14:textId="77777777" w:rsidR="00662CCF" w:rsidRPr="00B05CAD" w:rsidRDefault="00662CCF" w:rsidP="003D5320">
      <w:pPr>
        <w:pStyle w:val="FootnoteText"/>
      </w:pPr>
      <w:r>
        <w:tab/>
      </w:r>
      <w:r>
        <w:rPr>
          <w:rStyle w:val="FootnoteReference"/>
        </w:rPr>
        <w:footnoteRef/>
      </w:r>
      <w:r>
        <w:tab/>
        <w:t>Group of Experts on the Democratic Republic of the Congo, Final Report, S/2019/469, paragraph 83.</w:t>
      </w:r>
    </w:p>
  </w:footnote>
  <w:footnote w:id="469">
    <w:p w14:paraId="166707C3" w14:textId="77777777" w:rsidR="00662CCF" w:rsidRPr="00B05CAD" w:rsidRDefault="00662CCF" w:rsidP="003D5320">
      <w:pPr>
        <w:pStyle w:val="FootnoteText"/>
      </w:pPr>
      <w:r>
        <w:tab/>
      </w:r>
      <w:r>
        <w:rPr>
          <w:rStyle w:val="FootnoteReference"/>
        </w:rPr>
        <w:footnoteRef/>
      </w:r>
      <w:r>
        <w:tab/>
        <w:t>Group of Experts on the Democratic Republic of the Congo, Final Report, S/2016/466, paragraph 42-45.</w:t>
      </w:r>
    </w:p>
  </w:footnote>
  <w:footnote w:id="470">
    <w:p w14:paraId="09A18089" w14:textId="77777777" w:rsidR="00662CCF" w:rsidRPr="00B05CAD" w:rsidRDefault="00662CCF" w:rsidP="003D5320">
      <w:pPr>
        <w:pStyle w:val="FootnoteText"/>
      </w:pPr>
      <w:r>
        <w:tab/>
      </w:r>
      <w:r>
        <w:rPr>
          <w:rStyle w:val="FootnoteReference"/>
        </w:rPr>
        <w:footnoteRef/>
      </w:r>
      <w:r>
        <w:tab/>
        <w:t xml:space="preserve">CM-004, </w:t>
      </w:r>
      <w:hyperlink r:id="rId155" w:history="1">
        <w:r>
          <w:t>https://www.ibtimes.co.uk/we-are-ready-war-burundis-rebel-groups-how-they-plan-topple-president-nkurunziza-1609043</w:t>
        </w:r>
      </w:hyperlink>
      <w:r>
        <w:t>.</w:t>
      </w:r>
    </w:p>
  </w:footnote>
  <w:footnote w:id="471">
    <w:p w14:paraId="13CCC032" w14:textId="77777777" w:rsidR="00662CCF" w:rsidRPr="00B05CAD" w:rsidRDefault="00662CCF" w:rsidP="003D5320">
      <w:pPr>
        <w:pStyle w:val="FootnoteText"/>
      </w:pPr>
      <w:r>
        <w:tab/>
      </w:r>
      <w:r>
        <w:rPr>
          <w:rStyle w:val="FootnoteReference"/>
        </w:rPr>
        <w:footnoteRef/>
      </w:r>
      <w:r>
        <w:tab/>
        <w:t>Group of Experts on the Democratic Republic of the Congo, Final Report, S/2019/469, paragraphs 66</w:t>
      </w:r>
      <w:r>
        <w:rPr>
          <w:cs/>
        </w:rPr>
        <w:t>–</w:t>
      </w:r>
      <w:r>
        <w:t>88.</w:t>
      </w:r>
    </w:p>
  </w:footnote>
  <w:footnote w:id="472">
    <w:p w14:paraId="30F5E906" w14:textId="77777777" w:rsidR="00662CCF" w:rsidRPr="00B05CAD" w:rsidRDefault="00662CCF" w:rsidP="003D5320">
      <w:pPr>
        <w:pStyle w:val="FootnoteText"/>
      </w:pPr>
      <w:r>
        <w:tab/>
      </w:r>
      <w:r>
        <w:rPr>
          <w:rStyle w:val="FootnoteReference"/>
        </w:rPr>
        <w:footnoteRef/>
      </w:r>
      <w:r>
        <w:tab/>
        <w:t>Group of Experts on the Democratic Republic of the Congo, Final Report, S/2019/469, paragraphs 66</w:t>
      </w:r>
      <w:r>
        <w:rPr>
          <w:cs/>
        </w:rPr>
        <w:t>–</w:t>
      </w:r>
      <w:r>
        <w:t>88.</w:t>
      </w:r>
    </w:p>
  </w:footnote>
  <w:footnote w:id="473">
    <w:p w14:paraId="64F9611F" w14:textId="77777777" w:rsidR="00662CCF" w:rsidRPr="00B05CAD" w:rsidRDefault="00662CCF" w:rsidP="003D5320">
      <w:pPr>
        <w:pStyle w:val="FootnoteText"/>
      </w:pPr>
      <w:r>
        <w:tab/>
      </w:r>
      <w:r>
        <w:rPr>
          <w:rStyle w:val="FootnoteReference"/>
        </w:rPr>
        <w:footnoteRef/>
      </w:r>
      <w:r>
        <w:tab/>
        <w:t>Group of Experts on the Democratic Republic of the Congo, Final Report, S/2019/469, paragraphs 79.</w:t>
      </w:r>
    </w:p>
  </w:footnote>
  <w:footnote w:id="474">
    <w:p w14:paraId="4E0FC936" w14:textId="51315241" w:rsidR="00662CCF" w:rsidRPr="00B05CAD" w:rsidRDefault="00662CCF" w:rsidP="003D5320">
      <w:pPr>
        <w:pStyle w:val="FootnoteText"/>
      </w:pPr>
      <w:r>
        <w:tab/>
      </w:r>
      <w:r>
        <w:rPr>
          <w:rStyle w:val="FootnoteReference"/>
        </w:rPr>
        <w:footnoteRef/>
      </w:r>
      <w:r>
        <w:tab/>
        <w:t>See the 2019 New Year Address by the President of the Republic.</w:t>
      </w:r>
    </w:p>
  </w:footnote>
  <w:footnote w:id="475">
    <w:p w14:paraId="4EA70C7C" w14:textId="77777777" w:rsidR="00662CCF" w:rsidRPr="00B05CAD" w:rsidRDefault="00662CCF" w:rsidP="003D5320">
      <w:pPr>
        <w:pStyle w:val="FootnoteText"/>
      </w:pPr>
      <w:r>
        <w:tab/>
      </w:r>
      <w:r>
        <w:rPr>
          <w:rStyle w:val="FootnoteReference"/>
        </w:rPr>
        <w:footnoteRef/>
      </w:r>
      <w:r>
        <w:tab/>
      </w:r>
      <w:hyperlink r:id="rId156" w:history="1">
        <w:r>
          <w:t>https://www.voaafrique.com/a/le-burundi-exige-un-sommet-r%c3%a9gional-sur-le-conflit-avec-son-ennemi-rwandais/4690895.html</w:t>
        </w:r>
      </w:hyperlink>
      <w:r>
        <w:t>.</w:t>
      </w:r>
    </w:p>
  </w:footnote>
  <w:footnote w:id="476">
    <w:p w14:paraId="7996D227" w14:textId="77777777" w:rsidR="00662CCF" w:rsidRPr="00B05CAD" w:rsidRDefault="00662CCF" w:rsidP="003D5320">
      <w:pPr>
        <w:pStyle w:val="FootnoteText"/>
      </w:pPr>
      <w:r>
        <w:tab/>
      </w:r>
      <w:r>
        <w:rPr>
          <w:rStyle w:val="FootnoteReference"/>
        </w:rPr>
        <w:footnoteRef/>
      </w:r>
      <w:r>
        <w:tab/>
      </w:r>
      <w:hyperlink r:id="rId157" w:history="1">
        <w:r>
          <w:t>http://www.thenewhumanitarian.org/fr/analyses/2016/10/05/repercussions-de-la-crise-burundaise-les-rwandais-connaissent-des-difficultes</w:t>
        </w:r>
      </w:hyperlink>
      <w:r>
        <w:t>.</w:t>
      </w:r>
    </w:p>
  </w:footnote>
  <w:footnote w:id="477">
    <w:p w14:paraId="2A090B98" w14:textId="77777777" w:rsidR="00662CCF" w:rsidRPr="00B05CAD" w:rsidRDefault="00662CCF" w:rsidP="003D5320">
      <w:pPr>
        <w:pStyle w:val="FootnoteText"/>
      </w:pPr>
      <w:r>
        <w:tab/>
      </w:r>
      <w:r>
        <w:rPr>
          <w:rStyle w:val="FootnoteReference"/>
        </w:rPr>
        <w:footnoteRef/>
      </w:r>
      <w:r>
        <w:tab/>
      </w:r>
      <w:hyperlink r:id="rId158" w:history="1">
        <w:r>
          <w:t>http://www.rfi.fr/afrique/20181215-president-ougandais-voit-rouge-apres-lettre-president-nkurunziza-burundi</w:t>
        </w:r>
      </w:hyperlink>
      <w:r>
        <w:t xml:space="preserve">, </w:t>
      </w:r>
      <w:hyperlink r:id="rId159" w:history="1">
        <w:r>
          <w:t>https://www.voaafrique.com/a/ouganda-troubles-diplomatie-president-yoweri-museveni-burundi-pierre-nkurunziza-respecter-communuate-d-afrique-de-l-est-mediatrice/4699298.html</w:t>
        </w:r>
      </w:hyperlink>
      <w:r>
        <w:t>.</w:t>
      </w:r>
    </w:p>
  </w:footnote>
  <w:footnote w:id="478">
    <w:p w14:paraId="380E8F93" w14:textId="77777777" w:rsidR="00662CCF" w:rsidRPr="00B05CAD" w:rsidRDefault="00662CCF" w:rsidP="003D5320">
      <w:pPr>
        <w:pStyle w:val="FootnoteText"/>
      </w:pPr>
      <w:r>
        <w:tab/>
      </w:r>
      <w:r>
        <w:rPr>
          <w:rStyle w:val="FootnoteReference"/>
        </w:rPr>
        <w:footnoteRef/>
      </w:r>
      <w:r>
        <w:tab/>
        <w:t>JI-057, JI-059, JI-060, JI-076, JI-082, JI-092, JI-094, JI-095, JI-116, JI-117, DI-001.</w:t>
      </w:r>
    </w:p>
  </w:footnote>
  <w:footnote w:id="479">
    <w:p w14:paraId="21A6CD93" w14:textId="223634ED" w:rsidR="00662CCF" w:rsidRPr="00B05CAD" w:rsidRDefault="00662CCF" w:rsidP="003D5320">
      <w:pPr>
        <w:pStyle w:val="FootnoteText"/>
      </w:pPr>
      <w:r>
        <w:tab/>
      </w:r>
      <w:r>
        <w:rPr>
          <w:rStyle w:val="FootnoteReference"/>
        </w:rPr>
        <w:footnoteRef/>
      </w:r>
      <w:r>
        <w:tab/>
        <w:t>2019 New Year Address by the President of the Republic.</w:t>
      </w:r>
    </w:p>
  </w:footnote>
  <w:footnote w:id="480">
    <w:p w14:paraId="17294BB5" w14:textId="77777777" w:rsidR="00662CCF" w:rsidRPr="006E78C4" w:rsidRDefault="00662CCF" w:rsidP="003D5320">
      <w:pPr>
        <w:pStyle w:val="FootnoteText"/>
      </w:pPr>
      <w:r>
        <w:tab/>
      </w:r>
      <w:r>
        <w:rPr>
          <w:rStyle w:val="FootnoteReference"/>
        </w:rPr>
        <w:footnoteRef/>
      </w:r>
      <w:r>
        <w:tab/>
        <w:t xml:space="preserve">Africa Center for Strategic Studies, </w:t>
      </w:r>
      <w:r w:rsidRPr="006D2965">
        <w:rPr>
          <w:i/>
        </w:rPr>
        <w:t>Dismantling the Arusha Accords as the Burundi Crisis Rages On</w:t>
      </w:r>
      <w:r>
        <w:t xml:space="preserve">, </w:t>
      </w:r>
    </w:p>
    <w:p w14:paraId="264A2749" w14:textId="77777777" w:rsidR="00662CCF" w:rsidRPr="006E78C4" w:rsidRDefault="00662CCF" w:rsidP="003D5320">
      <w:pPr>
        <w:pStyle w:val="FootnoteText"/>
        <w:spacing w:line="240" w:lineRule="auto"/>
        <w:ind w:hanging="141"/>
      </w:pPr>
      <w:r>
        <w:t xml:space="preserve">13 March 2017, </w:t>
      </w:r>
      <w:hyperlink r:id="rId160" w:history="1">
        <w:r>
          <w:t>https://africacenter.org/spotlight/dismantling-the-arusha-accords-as-the-burundi-crisis-rages-on/</w:t>
        </w:r>
      </w:hyperlink>
      <w:r>
        <w:t xml:space="preserve">. </w:t>
      </w:r>
    </w:p>
  </w:footnote>
  <w:footnote w:id="481">
    <w:p w14:paraId="05D1EEC5" w14:textId="77777777" w:rsidR="00662CCF" w:rsidRPr="006F25C7" w:rsidRDefault="00662CCF" w:rsidP="003D5320">
      <w:pPr>
        <w:pStyle w:val="FootnoteText"/>
        <w:rPr>
          <w:lang w:val="fr-FR"/>
        </w:rPr>
      </w:pPr>
      <w:r>
        <w:tab/>
      </w:r>
      <w:r>
        <w:rPr>
          <w:rStyle w:val="FootnoteReference"/>
        </w:rPr>
        <w:footnoteRef/>
      </w:r>
      <w:r w:rsidRPr="006F25C7">
        <w:rPr>
          <w:lang w:val="fr-FR"/>
        </w:rPr>
        <w:tab/>
        <w:t xml:space="preserve">International Crisis Group, </w:t>
      </w:r>
      <w:r w:rsidRPr="006D2965">
        <w:rPr>
          <w:i/>
          <w:lang w:val="fr-CH"/>
        </w:rPr>
        <w:t>Au cœur de la crise burundaise IV : la rente du maintien de la paix en question</w:t>
      </w:r>
      <w:r w:rsidRPr="006F25C7">
        <w:rPr>
          <w:lang w:val="fr-FR"/>
        </w:rPr>
        <w:t>, 11 July 2017.</w:t>
      </w:r>
    </w:p>
  </w:footnote>
  <w:footnote w:id="482">
    <w:p w14:paraId="61C1A779" w14:textId="77777777" w:rsidR="00662CCF" w:rsidRPr="00B05CAD" w:rsidRDefault="00662CCF" w:rsidP="003D5320">
      <w:pPr>
        <w:pStyle w:val="FootnoteText"/>
      </w:pPr>
      <w:r w:rsidRPr="006F25C7">
        <w:rPr>
          <w:lang w:val="fr-FR"/>
        </w:rPr>
        <w:tab/>
      </w:r>
      <w:r>
        <w:rPr>
          <w:rStyle w:val="FootnoteReference"/>
        </w:rPr>
        <w:footnoteRef/>
      </w:r>
      <w:r>
        <w:tab/>
        <w:t xml:space="preserve">The term </w:t>
      </w:r>
      <w:r>
        <w:rPr>
          <w:cs/>
        </w:rPr>
        <w:t>“</w:t>
      </w:r>
      <w:r>
        <w:t>ex-FAB</w:t>
      </w:r>
      <w:r>
        <w:rPr>
          <w:cs/>
        </w:rPr>
        <w:t xml:space="preserve">” </w:t>
      </w:r>
      <w:r>
        <w:t>describes soldiers of the former Burundian Armed Forces composed mainly of Tutsis, part of which was absorbed into the National Defence Forces in compliance with the Arusha Peace Agreement.</w:t>
      </w:r>
    </w:p>
  </w:footnote>
  <w:footnote w:id="483">
    <w:p w14:paraId="5D42B7BA" w14:textId="77777777" w:rsidR="00662CCF" w:rsidRPr="00B05CAD" w:rsidRDefault="00662CCF" w:rsidP="003D5320">
      <w:pPr>
        <w:pStyle w:val="FootnoteText"/>
      </w:pPr>
      <w:r>
        <w:tab/>
      </w:r>
      <w:r>
        <w:rPr>
          <w:rStyle w:val="FootnoteReference"/>
        </w:rPr>
        <w:footnoteRef/>
      </w:r>
      <w:r>
        <w:tab/>
        <w:t xml:space="preserve">International Crisis Group, Burundi, </w:t>
      </w:r>
      <w:r w:rsidRPr="006D2965">
        <w:rPr>
          <w:i/>
        </w:rPr>
        <w:t>The Army in Crisis</w:t>
      </w:r>
      <w:r>
        <w:t xml:space="preserve">, African Report No. 247, 5 April 2017; the Belgian Office of Commissioner General for Refugees and Stateless Persons, </w:t>
      </w:r>
      <w:r w:rsidRPr="006D2965">
        <w:rPr>
          <w:i/>
        </w:rPr>
        <w:t>Burundi, Security Situation</w:t>
      </w:r>
      <w:r>
        <w:t>, 3 July 2018, p. 16.</w:t>
      </w:r>
    </w:p>
  </w:footnote>
  <w:footnote w:id="484">
    <w:p w14:paraId="638F548D" w14:textId="77777777" w:rsidR="00662CCF" w:rsidRPr="006E78C4" w:rsidRDefault="00662CCF" w:rsidP="003D5320">
      <w:pPr>
        <w:pStyle w:val="FootnoteText"/>
      </w:pPr>
      <w:r>
        <w:tab/>
      </w:r>
      <w:r>
        <w:rPr>
          <w:rStyle w:val="FootnoteReference"/>
        </w:rPr>
        <w:footnoteRef/>
      </w:r>
      <w:r>
        <w:tab/>
        <w:t xml:space="preserve">Yolande Bouka and Stephanie Wolters, </w:t>
      </w:r>
      <w:r w:rsidRPr="00877A68">
        <w:rPr>
          <w:i/>
        </w:rPr>
        <w:t>Analyzing post-transition violence in Burundi</w:t>
      </w:r>
      <w:r>
        <w:t>, Central Africa Report, Issue 6, July 2016, p. 6.</w:t>
      </w:r>
    </w:p>
  </w:footnote>
  <w:footnote w:id="485">
    <w:p w14:paraId="0CAB9A57" w14:textId="77777777" w:rsidR="00662CCF" w:rsidRPr="00B05CAD" w:rsidRDefault="00662CCF" w:rsidP="003D5320">
      <w:pPr>
        <w:pStyle w:val="FootnoteText"/>
      </w:pPr>
      <w:r>
        <w:tab/>
      </w:r>
      <w:r>
        <w:rPr>
          <w:rStyle w:val="FootnoteReference"/>
        </w:rPr>
        <w:footnoteRef/>
      </w:r>
      <w:r>
        <w:tab/>
        <w:t xml:space="preserve">Article 263 of the 2018 Constitution. TM-028, see also: International Crisis Group, </w:t>
      </w:r>
      <w:r w:rsidRPr="00877A68">
        <w:rPr>
          <w:i/>
        </w:rPr>
        <w:t>Burundi, The Army in Crisis</w:t>
      </w:r>
      <w:r>
        <w:t xml:space="preserve">, African Report No. 247, 5 April 2017; </w:t>
      </w:r>
      <w:hyperlink r:id="rId161" w:history="1">
        <w:r>
          <w:t>https://www.dw.com/fr/au-burundi-300-militaires-mis-%C3%A0-la-retraite/a-36994892</w:t>
        </w:r>
      </w:hyperlink>
      <w:r>
        <w:t>.</w:t>
      </w:r>
    </w:p>
  </w:footnote>
  <w:footnote w:id="486">
    <w:p w14:paraId="2E4CAB69" w14:textId="77777777" w:rsidR="00662CCF" w:rsidRPr="00B05CAD" w:rsidRDefault="00662CCF" w:rsidP="003D5320">
      <w:pPr>
        <w:pStyle w:val="FootnoteText"/>
      </w:pPr>
      <w:r>
        <w:tab/>
      </w:r>
      <w:r>
        <w:rPr>
          <w:rStyle w:val="FootnoteReference"/>
        </w:rPr>
        <w:footnoteRef/>
      </w:r>
      <w:r>
        <w:tab/>
        <w:t>See paragraph. 46 of this report.</w:t>
      </w:r>
    </w:p>
  </w:footnote>
  <w:footnote w:id="487">
    <w:p w14:paraId="4E58B0A3" w14:textId="77777777" w:rsidR="00662CCF" w:rsidRPr="00B05CAD" w:rsidRDefault="00662CCF" w:rsidP="003D5320">
      <w:pPr>
        <w:pStyle w:val="FootnoteText"/>
      </w:pPr>
      <w:r>
        <w:tab/>
      </w:r>
      <w:r>
        <w:rPr>
          <w:rStyle w:val="FootnoteReference"/>
        </w:rPr>
        <w:footnoteRef/>
      </w:r>
      <w:r>
        <w:tab/>
        <w:t>CM-004, LM-003.</w:t>
      </w:r>
    </w:p>
  </w:footnote>
  <w:footnote w:id="488">
    <w:p w14:paraId="3B7D40B8" w14:textId="77777777" w:rsidR="00662CCF" w:rsidRPr="00B05CAD" w:rsidRDefault="00662CCF" w:rsidP="003D5320">
      <w:pPr>
        <w:pStyle w:val="FootnoteText"/>
      </w:pPr>
      <w:r>
        <w:tab/>
      </w:r>
      <w:r>
        <w:rPr>
          <w:rStyle w:val="FootnoteReference"/>
        </w:rPr>
        <w:footnoteRef/>
      </w:r>
      <w:r>
        <w:tab/>
        <w:t>Resolution 2472 (2019).</w:t>
      </w:r>
    </w:p>
  </w:footnote>
  <w:footnote w:id="489">
    <w:p w14:paraId="4F28B513" w14:textId="77777777" w:rsidR="00662CCF" w:rsidRPr="00B05CAD" w:rsidRDefault="00662CCF" w:rsidP="003D5320">
      <w:pPr>
        <w:pStyle w:val="FootnoteText"/>
      </w:pPr>
      <w:r>
        <w:tab/>
      </w:r>
      <w:r>
        <w:rPr>
          <w:rStyle w:val="FootnoteReference"/>
        </w:rPr>
        <w:footnoteRef/>
      </w:r>
      <w:r>
        <w:tab/>
      </w:r>
      <w:hyperlink r:id="rId162" w:history="1">
        <w:r>
          <w:t>http://libeafrica4.blogs.liberation.fr/2016/06/19/la-police-nationale-du-burundi-quelle-force-pour-quel-ordre/</w:t>
        </w:r>
      </w:hyperlink>
      <w:r>
        <w:t>.</w:t>
      </w:r>
    </w:p>
  </w:footnote>
  <w:footnote w:id="490">
    <w:p w14:paraId="67B778C2" w14:textId="1A063CDA" w:rsidR="00662CCF" w:rsidRPr="006F25C7" w:rsidRDefault="00662CCF" w:rsidP="003D5320">
      <w:pPr>
        <w:pStyle w:val="FootnoteText"/>
        <w:rPr>
          <w:lang w:val="fr-FR"/>
        </w:rPr>
      </w:pPr>
      <w:r>
        <w:tab/>
      </w:r>
      <w:r>
        <w:rPr>
          <w:rStyle w:val="FootnoteReference"/>
        </w:rPr>
        <w:footnoteRef/>
      </w:r>
      <w:r w:rsidRPr="006F25C7">
        <w:rPr>
          <w:lang w:val="fr-FR"/>
        </w:rPr>
        <w:tab/>
      </w:r>
      <w:r w:rsidRPr="00B05CAD">
        <w:rPr>
          <w:lang w:val="fr-CH"/>
        </w:rPr>
        <w:t xml:space="preserve">Nadine Nibigira, </w:t>
      </w:r>
      <w:r w:rsidRPr="00877A68">
        <w:rPr>
          <w:i/>
          <w:lang w:val="fr-CH"/>
        </w:rPr>
        <w:t>Les Comités mixtes de sécurité humaine au Burundi (CMSH) : un régime de sécurité communautaire dans un contexte de crise politique critique</w:t>
      </w:r>
      <w:r w:rsidRPr="00B05CAD">
        <w:rPr>
          <w:lang w:val="fr-CH"/>
        </w:rPr>
        <w:t xml:space="preserve">, in Afrique </w:t>
      </w:r>
      <w:r>
        <w:rPr>
          <w:lang w:val="fr-CH"/>
        </w:rPr>
        <w:t>and</w:t>
      </w:r>
      <w:r w:rsidRPr="00B05CAD">
        <w:rPr>
          <w:lang w:val="fr-CH"/>
        </w:rPr>
        <w:t xml:space="preserve"> développement, Volume XLII, No. 3, 2017, pp. 231-248</w:t>
      </w:r>
    </w:p>
  </w:footnote>
  <w:footnote w:id="491">
    <w:p w14:paraId="04A0A909" w14:textId="77777777" w:rsidR="00662CCF" w:rsidRPr="00B05CAD" w:rsidRDefault="00662CCF" w:rsidP="003D5320">
      <w:pPr>
        <w:pStyle w:val="FootnoteText"/>
      </w:pPr>
      <w:r w:rsidRPr="006F25C7">
        <w:rPr>
          <w:lang w:val="fr-FR"/>
        </w:rPr>
        <w:tab/>
      </w:r>
      <w:r>
        <w:rPr>
          <w:rStyle w:val="FootnoteReference"/>
        </w:rPr>
        <w:footnoteRef/>
      </w:r>
      <w:r>
        <w:tab/>
        <w:t>Idem.</w:t>
      </w:r>
    </w:p>
  </w:footnote>
  <w:footnote w:id="492">
    <w:p w14:paraId="228169BB" w14:textId="613C3367" w:rsidR="00662CCF" w:rsidRPr="00B05CAD" w:rsidRDefault="00662CCF" w:rsidP="003D5320">
      <w:pPr>
        <w:pStyle w:val="FootnoteText"/>
      </w:pPr>
      <w:r>
        <w:tab/>
      </w:r>
      <w:r>
        <w:rPr>
          <w:rStyle w:val="FootnoteReference"/>
        </w:rPr>
        <w:footnoteRef/>
      </w:r>
      <w:r>
        <w:tab/>
        <w:t>The SNR is mentioned specifically Part XI (Article 268) of the Constitution which states that its missions, organization, and functioning are governed by organic law. The defence and security forces are governed by Part X of the Constitution, Articles 246</w:t>
      </w:r>
      <w:r>
        <w:rPr>
          <w:cs/>
        </w:rPr>
        <w:t>–</w:t>
      </w:r>
      <w:r>
        <w:t xml:space="preserve">267, and now comprises the Burundian National Police and National Defence Forces alone. The SNR used to be included in the defence and security forces according to Article 245 of the 2005 Constitution. </w:t>
      </w:r>
    </w:p>
  </w:footnote>
  <w:footnote w:id="493">
    <w:p w14:paraId="59C1EBE5" w14:textId="076AB20F" w:rsidR="00662CCF" w:rsidRPr="00B05CAD" w:rsidRDefault="00662CCF" w:rsidP="003D5320">
      <w:pPr>
        <w:pStyle w:val="FootnoteText"/>
      </w:pPr>
      <w:r>
        <w:tab/>
      </w:r>
      <w:r>
        <w:rPr>
          <w:rStyle w:val="FootnoteReference"/>
        </w:rPr>
        <w:footnoteRef/>
      </w:r>
      <w:r>
        <w:tab/>
      </w:r>
      <w:hyperlink r:id="rId163" w:history="1">
        <w:r>
          <w:t>https://www.burundi-forum.org/la-une/actualites/adoption-de-deux-projets-de-Law-du-snr-par-le-senat/</w:t>
        </w:r>
      </w:hyperlink>
      <w:r>
        <w:t>.</w:t>
      </w:r>
    </w:p>
  </w:footnote>
  <w:footnote w:id="494">
    <w:p w14:paraId="7F839C89" w14:textId="77777777" w:rsidR="00662CCF" w:rsidRPr="00B05CAD" w:rsidRDefault="00662CCF" w:rsidP="003D5320">
      <w:pPr>
        <w:pStyle w:val="FootnoteText"/>
      </w:pPr>
      <w:r>
        <w:tab/>
      </w:r>
      <w:r>
        <w:rPr>
          <w:rStyle w:val="FootnoteReference"/>
        </w:rPr>
        <w:footnoteRef/>
      </w:r>
      <w:r>
        <w:tab/>
      </w:r>
      <w:hyperlink r:id="rId164" w:history="1">
        <w:r>
          <w:t>https://twitter.com/BurundiFds/status/1100811126344949761</w:t>
        </w:r>
      </w:hyperlink>
      <w:r>
        <w:t>.</w:t>
      </w:r>
    </w:p>
  </w:footnote>
  <w:footnote w:id="495">
    <w:p w14:paraId="0911E077" w14:textId="77777777" w:rsidR="00662CCF" w:rsidRPr="00A2160A" w:rsidRDefault="00662CCF" w:rsidP="004F3AB9">
      <w:pPr>
        <w:pStyle w:val="FootnoteText"/>
        <w:rPr>
          <w:lang w:val="es-ES"/>
        </w:rPr>
      </w:pPr>
      <w:r w:rsidRPr="00C91F9A">
        <w:tab/>
      </w:r>
      <w:r w:rsidRPr="00342F9E">
        <w:rPr>
          <w:rStyle w:val="FootnoteReference"/>
        </w:rPr>
        <w:footnoteRef/>
      </w:r>
      <w:r w:rsidRPr="00A2160A">
        <w:rPr>
          <w:lang w:val="es-ES"/>
        </w:rPr>
        <w:tab/>
        <w:t>A/HRC/39/CRP.1, paras. 462–579.</w:t>
      </w:r>
    </w:p>
  </w:footnote>
  <w:footnote w:id="496">
    <w:p w14:paraId="0DDCEE67" w14:textId="77777777" w:rsidR="00662CCF" w:rsidRPr="00A2160A" w:rsidRDefault="00662CCF" w:rsidP="004F3AB9">
      <w:pPr>
        <w:pStyle w:val="FootnoteText"/>
        <w:rPr>
          <w:lang w:val="en-US"/>
        </w:rPr>
      </w:pPr>
      <w:r w:rsidRPr="00A2160A">
        <w:rPr>
          <w:lang w:val="es-ES"/>
        </w:rPr>
        <w:tab/>
      </w:r>
      <w:r w:rsidRPr="00342F9E">
        <w:rPr>
          <w:rStyle w:val="FootnoteReference"/>
        </w:rPr>
        <w:footnoteRef/>
      </w:r>
      <w:r w:rsidRPr="00A2160A">
        <w:rPr>
          <w:lang w:val="es-ES"/>
        </w:rPr>
        <w:tab/>
        <w:t xml:space="preserve">Ibid., paras. </w:t>
      </w:r>
      <w:r>
        <w:t>179–215.</w:t>
      </w:r>
    </w:p>
  </w:footnote>
  <w:footnote w:id="497">
    <w:p w14:paraId="6AD16FC8" w14:textId="77777777" w:rsidR="00662CCF" w:rsidRPr="00B05CAD" w:rsidRDefault="00662CCF" w:rsidP="003D5320">
      <w:pPr>
        <w:pStyle w:val="FootnoteText"/>
      </w:pPr>
      <w:r>
        <w:tab/>
      </w:r>
      <w:r>
        <w:rPr>
          <w:rStyle w:val="FootnoteReference"/>
        </w:rPr>
        <w:footnoteRef/>
      </w:r>
      <w:r>
        <w:tab/>
        <w:t>See paragraphs. 386-388 of this report.</w:t>
      </w:r>
    </w:p>
  </w:footnote>
  <w:footnote w:id="498">
    <w:p w14:paraId="7FBA4D21" w14:textId="77777777" w:rsidR="00662CCF" w:rsidRPr="007622C6" w:rsidRDefault="00662CCF" w:rsidP="003D5320">
      <w:pPr>
        <w:pStyle w:val="FootnoteText"/>
        <w:rPr>
          <w:lang w:val="fr-FR"/>
        </w:rPr>
      </w:pPr>
      <w:r>
        <w:tab/>
      </w:r>
      <w:r>
        <w:rPr>
          <w:rStyle w:val="FootnoteReference"/>
        </w:rPr>
        <w:footnoteRef/>
      </w:r>
      <w:r w:rsidRPr="007622C6">
        <w:rPr>
          <w:lang w:val="fr-FR"/>
        </w:rPr>
        <w:tab/>
        <w:t xml:space="preserve">Definition by </w:t>
      </w:r>
      <w:r w:rsidRPr="007622C6">
        <w:rPr>
          <w:i/>
          <w:lang w:val="fr-FR"/>
        </w:rPr>
        <w:t>Dictionnaire Larousse</w:t>
      </w:r>
      <w:r w:rsidRPr="007622C6">
        <w:rPr>
          <w:lang w:val="fr-FR"/>
        </w:rPr>
        <w:t>.</w:t>
      </w:r>
    </w:p>
  </w:footnote>
  <w:footnote w:id="499">
    <w:p w14:paraId="292DE666" w14:textId="77777777" w:rsidR="00662CCF" w:rsidRPr="007622C6" w:rsidRDefault="00662CCF" w:rsidP="003D5320">
      <w:pPr>
        <w:pStyle w:val="FootnoteText"/>
        <w:rPr>
          <w:lang w:val="fr-FR"/>
        </w:rPr>
      </w:pPr>
      <w:r w:rsidRPr="007622C6">
        <w:rPr>
          <w:lang w:val="fr-FR"/>
        </w:rPr>
        <w:tab/>
      </w:r>
      <w:r>
        <w:rPr>
          <w:rStyle w:val="FootnoteReference"/>
        </w:rPr>
        <w:footnoteRef/>
      </w:r>
      <w:r w:rsidRPr="007622C6">
        <w:rPr>
          <w:lang w:val="fr-FR"/>
        </w:rPr>
        <w:tab/>
        <w:t xml:space="preserve">Samuel Tanner, </w:t>
      </w:r>
      <w:r w:rsidRPr="007622C6">
        <w:rPr>
          <w:i/>
          <w:lang w:val="fr-FR"/>
        </w:rPr>
        <w:t>« Milices », Lexique du Réseau de recherche sur les opérations de paix de l</w:t>
      </w:r>
      <w:r>
        <w:rPr>
          <w:i/>
          <w:cs/>
        </w:rPr>
        <w:t>’</w:t>
      </w:r>
      <w:r w:rsidRPr="007622C6">
        <w:rPr>
          <w:i/>
          <w:lang w:val="fr-FR"/>
        </w:rPr>
        <w:t>Université de Montréal</w:t>
      </w:r>
      <w:r w:rsidRPr="007622C6">
        <w:rPr>
          <w:lang w:val="fr-FR"/>
        </w:rPr>
        <w:t xml:space="preserve">: </w:t>
      </w:r>
      <w:hyperlink r:id="rId165" w:history="1">
        <w:r w:rsidRPr="007622C6">
          <w:rPr>
            <w:lang w:val="fr-FR"/>
          </w:rPr>
          <w:t>http://www.operationspaix.net/75-resources/details-lexique/milices.html</w:t>
        </w:r>
      </w:hyperlink>
      <w:r w:rsidRPr="007622C6">
        <w:rPr>
          <w:lang w:val="fr-FR"/>
        </w:rPr>
        <w:t>.</w:t>
      </w:r>
    </w:p>
  </w:footnote>
  <w:footnote w:id="500">
    <w:p w14:paraId="60EC90D3" w14:textId="77777777" w:rsidR="00662CCF" w:rsidRPr="00B05CAD" w:rsidRDefault="00662CCF" w:rsidP="003D5320">
      <w:pPr>
        <w:pStyle w:val="FootnoteText"/>
      </w:pPr>
      <w:r w:rsidRPr="007622C6">
        <w:rPr>
          <w:lang w:val="fr-FR"/>
        </w:rPr>
        <w:tab/>
      </w:r>
      <w:r>
        <w:rPr>
          <w:rStyle w:val="FootnoteReference"/>
        </w:rPr>
        <w:footnoteRef/>
      </w:r>
      <w:r>
        <w:tab/>
        <w:t>As identified by IDEA International.</w:t>
      </w:r>
    </w:p>
  </w:footnote>
  <w:footnote w:id="501">
    <w:p w14:paraId="6E7CCA36" w14:textId="77777777" w:rsidR="00662CCF" w:rsidRPr="006E78C4" w:rsidRDefault="00662CCF" w:rsidP="003D5320">
      <w:pPr>
        <w:pStyle w:val="FootnoteText"/>
      </w:pPr>
      <w:r>
        <w:tab/>
      </w:r>
      <w:r>
        <w:rPr>
          <w:rStyle w:val="FootnoteReference"/>
        </w:rPr>
        <w:footnoteRef/>
      </w:r>
      <w:r>
        <w:tab/>
        <w:t xml:space="preserve">Matrix: early-warning indicators of conflict-related sexual violence, </w:t>
      </w:r>
      <w:hyperlink r:id="rId166" w:history="1">
        <w:r>
          <w:t>https://peacemaker.un.org/sites/peacemaker.un.org/files/MatrixEarlyWarningIndicatorsCSV_UNAction2011.pdf</w:t>
        </w:r>
      </w:hyperlink>
    </w:p>
  </w:footnote>
  <w:footnote w:id="502">
    <w:p w14:paraId="44667879" w14:textId="77777777" w:rsidR="00662CCF" w:rsidRPr="006E78C4" w:rsidRDefault="00662CCF" w:rsidP="003D5320">
      <w:pPr>
        <w:pStyle w:val="FootnoteText"/>
      </w:pPr>
      <w:r>
        <w:tab/>
      </w:r>
      <w:r>
        <w:rPr>
          <w:rStyle w:val="FootnoteReference"/>
        </w:rPr>
        <w:footnoteRef/>
      </w:r>
      <w:r>
        <w:tab/>
        <w:t xml:space="preserve">Analytical and conceptual framing of conflict-related sexual violence, </w:t>
      </w:r>
      <w:hyperlink r:id="rId167" w:history="1">
        <w:r>
          <w:t>http://www.stoprapenow.org/uploads/advocacyresources/1321456915.pdf</w:t>
        </w:r>
      </w:hyperlink>
    </w:p>
  </w:footnote>
  <w:footnote w:id="503">
    <w:p w14:paraId="2A28815E" w14:textId="77777777" w:rsidR="00662CCF" w:rsidRPr="009D37FA" w:rsidRDefault="00662CCF" w:rsidP="003D5320">
      <w:pPr>
        <w:pStyle w:val="FootnoteText"/>
      </w:pPr>
      <w:r>
        <w:tab/>
      </w:r>
      <w:r>
        <w:rPr>
          <w:rStyle w:val="FootnoteReference"/>
        </w:rPr>
        <w:footnoteRef/>
      </w:r>
      <w:r>
        <w:tab/>
        <w:t>See matrix, pp. 9</w:t>
      </w:r>
      <w:r>
        <w:rPr>
          <w:cs/>
        </w:rPr>
        <w:t>–</w:t>
      </w:r>
      <w:r>
        <w:t>12.</w:t>
      </w:r>
    </w:p>
  </w:footnote>
  <w:footnote w:id="504">
    <w:p w14:paraId="6EF7AA98" w14:textId="77777777" w:rsidR="00662CCF" w:rsidRPr="009D37FA" w:rsidRDefault="00662CCF" w:rsidP="003D5320">
      <w:pPr>
        <w:pStyle w:val="FootnoteText"/>
      </w:pPr>
      <w:r>
        <w:tab/>
      </w:r>
      <w:r>
        <w:rPr>
          <w:rStyle w:val="FootnoteReference"/>
        </w:rPr>
        <w:footnoteRef/>
      </w:r>
      <w:r>
        <w:tab/>
        <w:t>See matrix, pp. 11</w:t>
      </w:r>
      <w:r>
        <w:rPr>
          <w:cs/>
        </w:rPr>
        <w:t>–</w:t>
      </w:r>
      <w:r>
        <w:t>12.</w:t>
      </w:r>
    </w:p>
  </w:footnote>
  <w:footnote w:id="505">
    <w:p w14:paraId="42A98211" w14:textId="77777777" w:rsidR="00662CCF" w:rsidRPr="00C63467" w:rsidRDefault="00662CCF" w:rsidP="00D8696D">
      <w:pPr>
        <w:pStyle w:val="FootnoteText"/>
      </w:pPr>
      <w:r w:rsidRPr="00C91F9A">
        <w:tab/>
      </w:r>
      <w:r w:rsidRPr="00342F9E">
        <w:rPr>
          <w:rStyle w:val="FootnoteReference"/>
        </w:rPr>
        <w:footnoteRef/>
      </w:r>
      <w:r>
        <w:tab/>
        <w:t>See annex III (A/HRC/36/54 and Corr.1, paras. 85–94, and A/HRC/39/63, paras. 85–86).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7D360" w14:textId="3B5F6114" w:rsidR="00662CCF" w:rsidRPr="00246FCA" w:rsidRDefault="00662CCF" w:rsidP="00246FCA">
    <w:pPr>
      <w:pStyle w:val="Header"/>
    </w:pPr>
    <w:r>
      <w:t>A/HRC/42/CRP.2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933A7" w14:textId="2AB6FC35" w:rsidR="00662CCF" w:rsidRPr="003977EC" w:rsidRDefault="00662CCF" w:rsidP="003977EC">
    <w:pPr>
      <w:pStyle w:val="Header"/>
      <w:jc w:val="right"/>
    </w:pPr>
    <w:r>
      <w:t>A/HRC/42/CRP.2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E8CA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3699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64D4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B486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4C88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901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81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CF9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7894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CCE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231607"/>
    <w:multiLevelType w:val="hybridMultilevel"/>
    <w:tmpl w:val="265E2942"/>
    <w:lvl w:ilvl="0" w:tplc="F294B78C">
      <w:numFmt w:val="bullet"/>
      <w:lvlText w:val="-"/>
      <w:lvlJc w:val="left"/>
      <w:pPr>
        <w:ind w:left="927" w:hanging="360"/>
      </w:pPr>
      <w:rPr>
        <w:rFonts w:ascii="Times New Roman" w:eastAsia="Times New Roman" w:hAnsi="Times New Roman" w:cs="Times New Roman"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2" w15:restartNumberingAfterBreak="0">
    <w:nsid w:val="0C427F27"/>
    <w:multiLevelType w:val="hybridMultilevel"/>
    <w:tmpl w:val="3462EAAE"/>
    <w:lvl w:ilvl="0" w:tplc="937455CE">
      <w:start w:val="1"/>
      <w:numFmt w:val="upperRoman"/>
      <w:lvlText w:val="%1."/>
      <w:lvlJc w:val="left"/>
      <w:pPr>
        <w:ind w:left="1455" w:hanging="720"/>
      </w:pPr>
      <w:rPr>
        <w:rFonts w:hint="default"/>
      </w:rPr>
    </w:lvl>
    <w:lvl w:ilvl="1" w:tplc="08090019">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0DD01C2E"/>
    <w:multiLevelType w:val="hybridMultilevel"/>
    <w:tmpl w:val="56FEDBAA"/>
    <w:lvl w:ilvl="0" w:tplc="BED47008">
      <w:start w:val="2015"/>
      <w:numFmt w:val="bullet"/>
      <w:lvlText w:val="-"/>
      <w:lvlJc w:val="left"/>
      <w:pPr>
        <w:ind w:left="927" w:hanging="360"/>
      </w:pPr>
      <w:rPr>
        <w:rFonts w:ascii="Times New Roman" w:eastAsia="Times New Roman" w:hAnsi="Times New Roman" w:cs="Times New Roman"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5" w15:restartNumberingAfterBreak="0">
    <w:nsid w:val="285F0F8B"/>
    <w:multiLevelType w:val="hybridMultilevel"/>
    <w:tmpl w:val="24FC2072"/>
    <w:lvl w:ilvl="0" w:tplc="E9ECB660">
      <w:start w:val="1"/>
      <w:numFmt w:val="decimal"/>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6"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17" w15:restartNumberingAfterBreak="0">
    <w:nsid w:val="2EA77B5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313B5522"/>
    <w:multiLevelType w:val="hybridMultilevel"/>
    <w:tmpl w:val="AB4292AC"/>
    <w:lvl w:ilvl="0" w:tplc="A5FAF1B8">
      <w:start w:val="1"/>
      <w:numFmt w:val="decimal"/>
      <w:lvlText w:val="%1."/>
      <w:lvlJc w:val="left"/>
      <w:pPr>
        <w:ind w:left="1495"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9" w15:restartNumberingAfterBreak="0">
    <w:nsid w:val="368B2690"/>
    <w:multiLevelType w:val="hybridMultilevel"/>
    <w:tmpl w:val="867CE600"/>
    <w:lvl w:ilvl="0" w:tplc="1D6622EE">
      <w:start w:val="4"/>
      <w:numFmt w:val="lowerLetter"/>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20" w15:restartNumberingAfterBreak="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1" w15:restartNumberingAfterBreak="0">
    <w:nsid w:val="41B85FD6"/>
    <w:multiLevelType w:val="hybridMultilevel"/>
    <w:tmpl w:val="884665AC"/>
    <w:lvl w:ilvl="0" w:tplc="15B2A18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875AC2"/>
    <w:multiLevelType w:val="hybridMultilevel"/>
    <w:tmpl w:val="BB04FDA4"/>
    <w:lvl w:ilvl="0" w:tplc="64441F80">
      <w:start w:val="1"/>
      <w:numFmt w:val="upperLetter"/>
      <w:lvlText w:val="%1."/>
      <w:lvlJc w:val="left"/>
      <w:pPr>
        <w:ind w:left="1376" w:hanging="525"/>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23" w15:restartNumberingAfterBreak="0">
    <w:nsid w:val="4E5902D4"/>
    <w:multiLevelType w:val="hybridMultilevel"/>
    <w:tmpl w:val="DDAE1B5C"/>
    <w:lvl w:ilvl="0" w:tplc="5B3EB5F4">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4" w15:restartNumberingAfterBreak="0">
    <w:nsid w:val="505638E0"/>
    <w:multiLevelType w:val="hybridMultilevel"/>
    <w:tmpl w:val="F5CC47EA"/>
    <w:lvl w:ilvl="0" w:tplc="D9B8F3FE">
      <w:start w:val="1"/>
      <w:numFmt w:val="lowerLetter"/>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25" w15:restartNumberingAfterBreak="0">
    <w:nsid w:val="587C6605"/>
    <w:multiLevelType w:val="hybridMultilevel"/>
    <w:tmpl w:val="26086FA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8" w15:restartNumberingAfterBreak="0">
    <w:nsid w:val="695106F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7B9009A4"/>
    <w:multiLevelType w:val="hybridMultilevel"/>
    <w:tmpl w:val="FB627A82"/>
    <w:lvl w:ilvl="0" w:tplc="92A07A0E">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0" w15:restartNumberingAfterBreak="0">
    <w:nsid w:val="7BD73A9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num w:numId="1">
    <w:abstractNumId w:val="31"/>
  </w:num>
  <w:num w:numId="2">
    <w:abstractNumId w:val="16"/>
  </w:num>
  <w:num w:numId="3">
    <w:abstractNumId w:val="1"/>
  </w:num>
  <w:num w:numId="4">
    <w:abstractNumId w:val="0"/>
  </w:num>
  <w:num w:numId="5">
    <w:abstractNumId w:val="2"/>
  </w:num>
  <w:num w:numId="6">
    <w:abstractNumId w:val="3"/>
  </w:num>
  <w:num w:numId="7">
    <w:abstractNumId w:val="8"/>
  </w:num>
  <w:num w:numId="8">
    <w:abstractNumId w:val="9"/>
  </w:num>
  <w:num w:numId="9">
    <w:abstractNumId w:val="7"/>
  </w:num>
  <w:num w:numId="10">
    <w:abstractNumId w:val="6"/>
  </w:num>
  <w:num w:numId="11">
    <w:abstractNumId w:val="5"/>
  </w:num>
  <w:num w:numId="12">
    <w:abstractNumId w:val="4"/>
  </w:num>
  <w:num w:numId="13">
    <w:abstractNumId w:val="17"/>
  </w:num>
  <w:num w:numId="14">
    <w:abstractNumId w:val="30"/>
  </w:num>
  <w:num w:numId="15">
    <w:abstractNumId w:val="28"/>
  </w:num>
  <w:num w:numId="16">
    <w:abstractNumId w:val="27"/>
  </w:num>
  <w:num w:numId="17">
    <w:abstractNumId w:val="20"/>
  </w:num>
  <w:num w:numId="18">
    <w:abstractNumId w:val="27"/>
  </w:num>
  <w:num w:numId="19">
    <w:abstractNumId w:val="20"/>
  </w:num>
  <w:num w:numId="20">
    <w:abstractNumId w:val="27"/>
  </w:num>
  <w:num w:numId="21">
    <w:abstractNumId w:val="20"/>
  </w:num>
  <w:num w:numId="22">
    <w:abstractNumId w:val="10"/>
  </w:num>
  <w:num w:numId="23">
    <w:abstractNumId w:val="26"/>
  </w:num>
  <w:num w:numId="24">
    <w:abstractNumId w:val="13"/>
  </w:num>
  <w:num w:numId="25">
    <w:abstractNumId w:val="21"/>
  </w:num>
  <w:num w:numId="26">
    <w:abstractNumId w:val="12"/>
  </w:num>
  <w:num w:numId="27">
    <w:abstractNumId w:val="23"/>
  </w:num>
  <w:num w:numId="28">
    <w:abstractNumId w:val="29"/>
  </w:num>
  <w:num w:numId="29">
    <w:abstractNumId w:val="18"/>
  </w:num>
  <w:num w:numId="30">
    <w:abstractNumId w:val="15"/>
  </w:num>
  <w:num w:numId="31">
    <w:abstractNumId w:val="19"/>
  </w:num>
  <w:num w:numId="32">
    <w:abstractNumId w:val="24"/>
  </w:num>
  <w:num w:numId="33">
    <w:abstractNumId w:val="14"/>
  </w:num>
  <w:num w:numId="34">
    <w:abstractNumId w:val="11"/>
  </w:num>
  <w:num w:numId="35">
    <w:abstractNumId w:val="25"/>
  </w:num>
  <w:num w:numId="36">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hideGrammaticalErrors/>
  <w:activeWritingStyle w:appName="MSWord" w:lang="en-GB" w:vendorID="64" w:dllVersion="5"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fr-BE" w:vendorID="64" w:dllVersion="6" w:nlCheck="1" w:checkStyle="0"/>
  <w:activeWritingStyle w:appName="MSWord" w:lang="es-ES" w:vendorID="64" w:dllVersion="6" w:nlCheck="1" w:checkStyle="0"/>
  <w:activeWritingStyle w:appName="MSWord" w:lang="fr-CH"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fr-CH" w:vendorID="64" w:dllVersion="0" w:nlCheck="1" w:checkStyle="0"/>
  <w:activeWritingStyle w:appName="MSWord" w:lang="fr-FR" w:vendorID="64" w:dllVersion="0" w:nlCheck="1" w:checkStyle="0"/>
  <w:activeWritingStyle w:appName="MSWord" w:lang="fr-BE"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numStart w:val="87"/>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7EC"/>
    <w:rsid w:val="00000217"/>
    <w:rsid w:val="00000F9D"/>
    <w:rsid w:val="00001975"/>
    <w:rsid w:val="00001DAA"/>
    <w:rsid w:val="00004E87"/>
    <w:rsid w:val="00006FFF"/>
    <w:rsid w:val="000103FB"/>
    <w:rsid w:val="00012D84"/>
    <w:rsid w:val="000130BA"/>
    <w:rsid w:val="000137E9"/>
    <w:rsid w:val="00014743"/>
    <w:rsid w:val="00015D5D"/>
    <w:rsid w:val="00016AC5"/>
    <w:rsid w:val="00016C9D"/>
    <w:rsid w:val="000170AE"/>
    <w:rsid w:val="000202CA"/>
    <w:rsid w:val="00020A64"/>
    <w:rsid w:val="00020C56"/>
    <w:rsid w:val="000218D3"/>
    <w:rsid w:val="000223C0"/>
    <w:rsid w:val="00024E25"/>
    <w:rsid w:val="00025771"/>
    <w:rsid w:val="0002642A"/>
    <w:rsid w:val="00027069"/>
    <w:rsid w:val="000300FF"/>
    <w:rsid w:val="0003055E"/>
    <w:rsid w:val="00030714"/>
    <w:rsid w:val="00030D97"/>
    <w:rsid w:val="000312E0"/>
    <w:rsid w:val="00031880"/>
    <w:rsid w:val="00032F02"/>
    <w:rsid w:val="0003522D"/>
    <w:rsid w:val="000364E8"/>
    <w:rsid w:val="00036865"/>
    <w:rsid w:val="00036C02"/>
    <w:rsid w:val="00037E65"/>
    <w:rsid w:val="000404BB"/>
    <w:rsid w:val="00040C65"/>
    <w:rsid w:val="000410DE"/>
    <w:rsid w:val="000427CC"/>
    <w:rsid w:val="000450BF"/>
    <w:rsid w:val="000461F3"/>
    <w:rsid w:val="00047611"/>
    <w:rsid w:val="00047BB3"/>
    <w:rsid w:val="00047C15"/>
    <w:rsid w:val="00047ECF"/>
    <w:rsid w:val="00050472"/>
    <w:rsid w:val="00050DD4"/>
    <w:rsid w:val="000513BB"/>
    <w:rsid w:val="0005142B"/>
    <w:rsid w:val="000514F4"/>
    <w:rsid w:val="00052AC5"/>
    <w:rsid w:val="00052F65"/>
    <w:rsid w:val="000533BD"/>
    <w:rsid w:val="000546B5"/>
    <w:rsid w:val="0005472D"/>
    <w:rsid w:val="00055C0C"/>
    <w:rsid w:val="00056336"/>
    <w:rsid w:val="000568F7"/>
    <w:rsid w:val="00057577"/>
    <w:rsid w:val="00057B51"/>
    <w:rsid w:val="00057BC0"/>
    <w:rsid w:val="00057C2E"/>
    <w:rsid w:val="00057D38"/>
    <w:rsid w:val="00061C39"/>
    <w:rsid w:val="00062368"/>
    <w:rsid w:val="00062E5D"/>
    <w:rsid w:val="00063343"/>
    <w:rsid w:val="00063C11"/>
    <w:rsid w:val="00063D36"/>
    <w:rsid w:val="000658D7"/>
    <w:rsid w:val="00067EC2"/>
    <w:rsid w:val="00070B4F"/>
    <w:rsid w:val="00070F42"/>
    <w:rsid w:val="00071E3D"/>
    <w:rsid w:val="0007305A"/>
    <w:rsid w:val="000737B7"/>
    <w:rsid w:val="00073E7F"/>
    <w:rsid w:val="00075B9A"/>
    <w:rsid w:val="00076B75"/>
    <w:rsid w:val="00077098"/>
    <w:rsid w:val="00077CCA"/>
    <w:rsid w:val="00077D82"/>
    <w:rsid w:val="0008047D"/>
    <w:rsid w:val="00080B70"/>
    <w:rsid w:val="0008167F"/>
    <w:rsid w:val="00081A0D"/>
    <w:rsid w:val="00081BF1"/>
    <w:rsid w:val="00082FDC"/>
    <w:rsid w:val="00085862"/>
    <w:rsid w:val="00086994"/>
    <w:rsid w:val="00087E0A"/>
    <w:rsid w:val="00087E3F"/>
    <w:rsid w:val="00090A61"/>
    <w:rsid w:val="000911A6"/>
    <w:rsid w:val="00094017"/>
    <w:rsid w:val="000962FD"/>
    <w:rsid w:val="00097040"/>
    <w:rsid w:val="00097C6C"/>
    <w:rsid w:val="000A24A5"/>
    <w:rsid w:val="000A2F46"/>
    <w:rsid w:val="000A357F"/>
    <w:rsid w:val="000A3CF3"/>
    <w:rsid w:val="000A5616"/>
    <w:rsid w:val="000A606E"/>
    <w:rsid w:val="000B0E4C"/>
    <w:rsid w:val="000B13A5"/>
    <w:rsid w:val="000B2B0A"/>
    <w:rsid w:val="000B2F82"/>
    <w:rsid w:val="000B45A8"/>
    <w:rsid w:val="000B4C3D"/>
    <w:rsid w:val="000B612E"/>
    <w:rsid w:val="000B6F37"/>
    <w:rsid w:val="000B73CF"/>
    <w:rsid w:val="000B7EC6"/>
    <w:rsid w:val="000B7FFD"/>
    <w:rsid w:val="000C0EED"/>
    <w:rsid w:val="000C13F8"/>
    <w:rsid w:val="000C1957"/>
    <w:rsid w:val="000C2445"/>
    <w:rsid w:val="000C2EBE"/>
    <w:rsid w:val="000C42C0"/>
    <w:rsid w:val="000C545C"/>
    <w:rsid w:val="000C5E6A"/>
    <w:rsid w:val="000C6402"/>
    <w:rsid w:val="000C730D"/>
    <w:rsid w:val="000D015C"/>
    <w:rsid w:val="000D01D7"/>
    <w:rsid w:val="000D0226"/>
    <w:rsid w:val="000D0917"/>
    <w:rsid w:val="000D0C21"/>
    <w:rsid w:val="000D0FC9"/>
    <w:rsid w:val="000D1AF8"/>
    <w:rsid w:val="000D1B07"/>
    <w:rsid w:val="000D23E8"/>
    <w:rsid w:val="000D284A"/>
    <w:rsid w:val="000D31D4"/>
    <w:rsid w:val="000D360A"/>
    <w:rsid w:val="000D41DC"/>
    <w:rsid w:val="000D43C6"/>
    <w:rsid w:val="000D4598"/>
    <w:rsid w:val="000D6640"/>
    <w:rsid w:val="000D6BAC"/>
    <w:rsid w:val="000D7231"/>
    <w:rsid w:val="000D7D67"/>
    <w:rsid w:val="000E03D2"/>
    <w:rsid w:val="000E0A6B"/>
    <w:rsid w:val="000E0F7D"/>
    <w:rsid w:val="000E39A2"/>
    <w:rsid w:val="000E4703"/>
    <w:rsid w:val="000E50EE"/>
    <w:rsid w:val="000E5BD7"/>
    <w:rsid w:val="000E5CD0"/>
    <w:rsid w:val="000E5EFE"/>
    <w:rsid w:val="000E77CC"/>
    <w:rsid w:val="000E789B"/>
    <w:rsid w:val="000F02A5"/>
    <w:rsid w:val="000F07D3"/>
    <w:rsid w:val="000F0A26"/>
    <w:rsid w:val="000F382F"/>
    <w:rsid w:val="000F41F2"/>
    <w:rsid w:val="000F4380"/>
    <w:rsid w:val="000F5E5F"/>
    <w:rsid w:val="000F60F0"/>
    <w:rsid w:val="000F695A"/>
    <w:rsid w:val="000F7966"/>
    <w:rsid w:val="000F7EA8"/>
    <w:rsid w:val="00100184"/>
    <w:rsid w:val="00100190"/>
    <w:rsid w:val="0010184D"/>
    <w:rsid w:val="001027EF"/>
    <w:rsid w:val="001045E8"/>
    <w:rsid w:val="00104BF8"/>
    <w:rsid w:val="00106B73"/>
    <w:rsid w:val="00107149"/>
    <w:rsid w:val="00107656"/>
    <w:rsid w:val="00110D4B"/>
    <w:rsid w:val="0011219D"/>
    <w:rsid w:val="001129CB"/>
    <w:rsid w:val="0011648B"/>
    <w:rsid w:val="001171B0"/>
    <w:rsid w:val="00117B60"/>
    <w:rsid w:val="00117ED7"/>
    <w:rsid w:val="00117EF3"/>
    <w:rsid w:val="00117F8F"/>
    <w:rsid w:val="00120DB8"/>
    <w:rsid w:val="00120E43"/>
    <w:rsid w:val="0012293B"/>
    <w:rsid w:val="001230EB"/>
    <w:rsid w:val="001232F7"/>
    <w:rsid w:val="00124BE7"/>
    <w:rsid w:val="001250F4"/>
    <w:rsid w:val="00126152"/>
    <w:rsid w:val="001277DA"/>
    <w:rsid w:val="00131547"/>
    <w:rsid w:val="00131E76"/>
    <w:rsid w:val="00131F8A"/>
    <w:rsid w:val="001324F7"/>
    <w:rsid w:val="00133B7A"/>
    <w:rsid w:val="00134B13"/>
    <w:rsid w:val="0013568F"/>
    <w:rsid w:val="00135731"/>
    <w:rsid w:val="00136382"/>
    <w:rsid w:val="00136573"/>
    <w:rsid w:val="001370FA"/>
    <w:rsid w:val="001374C5"/>
    <w:rsid w:val="00137C7E"/>
    <w:rsid w:val="00140FFB"/>
    <w:rsid w:val="001422E6"/>
    <w:rsid w:val="001428C7"/>
    <w:rsid w:val="00143EEF"/>
    <w:rsid w:val="00144335"/>
    <w:rsid w:val="00144534"/>
    <w:rsid w:val="001448B1"/>
    <w:rsid w:val="00145CE0"/>
    <w:rsid w:val="00145D73"/>
    <w:rsid w:val="001510B8"/>
    <w:rsid w:val="001517DE"/>
    <w:rsid w:val="00152A53"/>
    <w:rsid w:val="00153672"/>
    <w:rsid w:val="00153B01"/>
    <w:rsid w:val="00153B2E"/>
    <w:rsid w:val="00153B50"/>
    <w:rsid w:val="0015425B"/>
    <w:rsid w:val="00154474"/>
    <w:rsid w:val="0015607B"/>
    <w:rsid w:val="00157167"/>
    <w:rsid w:val="001574AA"/>
    <w:rsid w:val="00157631"/>
    <w:rsid w:val="00160540"/>
    <w:rsid w:val="00160FE1"/>
    <w:rsid w:val="00161B98"/>
    <w:rsid w:val="001623E7"/>
    <w:rsid w:val="0016393B"/>
    <w:rsid w:val="00164B1E"/>
    <w:rsid w:val="00164D23"/>
    <w:rsid w:val="00165273"/>
    <w:rsid w:val="00166294"/>
    <w:rsid w:val="001665CD"/>
    <w:rsid w:val="001667D6"/>
    <w:rsid w:val="00167216"/>
    <w:rsid w:val="0016774D"/>
    <w:rsid w:val="00167C28"/>
    <w:rsid w:val="001702F0"/>
    <w:rsid w:val="0017080C"/>
    <w:rsid w:val="00170A16"/>
    <w:rsid w:val="00170B85"/>
    <w:rsid w:val="00170BBF"/>
    <w:rsid w:val="00170CAA"/>
    <w:rsid w:val="00171B19"/>
    <w:rsid w:val="00172908"/>
    <w:rsid w:val="00172B99"/>
    <w:rsid w:val="001730CD"/>
    <w:rsid w:val="0017467B"/>
    <w:rsid w:val="00175C72"/>
    <w:rsid w:val="00175F1A"/>
    <w:rsid w:val="0017677A"/>
    <w:rsid w:val="00177B19"/>
    <w:rsid w:val="00180C63"/>
    <w:rsid w:val="001813FC"/>
    <w:rsid w:val="00181501"/>
    <w:rsid w:val="00181BA9"/>
    <w:rsid w:val="00181DCC"/>
    <w:rsid w:val="001833CD"/>
    <w:rsid w:val="00184BD3"/>
    <w:rsid w:val="00184E60"/>
    <w:rsid w:val="001858A7"/>
    <w:rsid w:val="00186254"/>
    <w:rsid w:val="00187421"/>
    <w:rsid w:val="00187DC8"/>
    <w:rsid w:val="00190B9D"/>
    <w:rsid w:val="00190E4B"/>
    <w:rsid w:val="00191F4F"/>
    <w:rsid w:val="00192EEB"/>
    <w:rsid w:val="00193F55"/>
    <w:rsid w:val="001941F7"/>
    <w:rsid w:val="001948CB"/>
    <w:rsid w:val="0019643E"/>
    <w:rsid w:val="0019663B"/>
    <w:rsid w:val="00197DC9"/>
    <w:rsid w:val="001A0304"/>
    <w:rsid w:val="001A0A5B"/>
    <w:rsid w:val="001A1222"/>
    <w:rsid w:val="001A13E3"/>
    <w:rsid w:val="001A1D29"/>
    <w:rsid w:val="001A20FB"/>
    <w:rsid w:val="001A4004"/>
    <w:rsid w:val="001A5EDD"/>
    <w:rsid w:val="001A74B0"/>
    <w:rsid w:val="001A7FE5"/>
    <w:rsid w:val="001B1699"/>
    <w:rsid w:val="001B1A5D"/>
    <w:rsid w:val="001B2724"/>
    <w:rsid w:val="001B28C9"/>
    <w:rsid w:val="001B2920"/>
    <w:rsid w:val="001B441B"/>
    <w:rsid w:val="001B48B9"/>
    <w:rsid w:val="001B59A2"/>
    <w:rsid w:val="001B5B13"/>
    <w:rsid w:val="001B5BC2"/>
    <w:rsid w:val="001B69FE"/>
    <w:rsid w:val="001B6B96"/>
    <w:rsid w:val="001B6DFE"/>
    <w:rsid w:val="001B6E9C"/>
    <w:rsid w:val="001B7097"/>
    <w:rsid w:val="001B71AD"/>
    <w:rsid w:val="001B73FF"/>
    <w:rsid w:val="001B76BF"/>
    <w:rsid w:val="001B78BD"/>
    <w:rsid w:val="001C1BE3"/>
    <w:rsid w:val="001C245C"/>
    <w:rsid w:val="001C2D13"/>
    <w:rsid w:val="001C3922"/>
    <w:rsid w:val="001C6320"/>
    <w:rsid w:val="001C6647"/>
    <w:rsid w:val="001D1757"/>
    <w:rsid w:val="001D1E36"/>
    <w:rsid w:val="001D240E"/>
    <w:rsid w:val="001D2491"/>
    <w:rsid w:val="001D294A"/>
    <w:rsid w:val="001D54A6"/>
    <w:rsid w:val="001E273E"/>
    <w:rsid w:val="001E32A9"/>
    <w:rsid w:val="001E3694"/>
    <w:rsid w:val="001E37A4"/>
    <w:rsid w:val="001E3FEB"/>
    <w:rsid w:val="001E4A02"/>
    <w:rsid w:val="001E5D5C"/>
    <w:rsid w:val="001E6379"/>
    <w:rsid w:val="001E7D74"/>
    <w:rsid w:val="001F0BD5"/>
    <w:rsid w:val="001F111A"/>
    <w:rsid w:val="001F14E2"/>
    <w:rsid w:val="001F2273"/>
    <w:rsid w:val="001F3985"/>
    <w:rsid w:val="001F4E03"/>
    <w:rsid w:val="001F5A17"/>
    <w:rsid w:val="001F6B8B"/>
    <w:rsid w:val="00203AA2"/>
    <w:rsid w:val="00204A65"/>
    <w:rsid w:val="0020621B"/>
    <w:rsid w:val="00206364"/>
    <w:rsid w:val="00207E0E"/>
    <w:rsid w:val="00211C86"/>
    <w:rsid w:val="002134E4"/>
    <w:rsid w:val="0021475A"/>
    <w:rsid w:val="002149AC"/>
    <w:rsid w:val="00214F2B"/>
    <w:rsid w:val="0021543F"/>
    <w:rsid w:val="00215B33"/>
    <w:rsid w:val="00220629"/>
    <w:rsid w:val="00220B54"/>
    <w:rsid w:val="00222991"/>
    <w:rsid w:val="00225332"/>
    <w:rsid w:val="002265BB"/>
    <w:rsid w:val="00226F28"/>
    <w:rsid w:val="002303F4"/>
    <w:rsid w:val="00230E58"/>
    <w:rsid w:val="0023151D"/>
    <w:rsid w:val="00232140"/>
    <w:rsid w:val="00232448"/>
    <w:rsid w:val="00233387"/>
    <w:rsid w:val="002335B7"/>
    <w:rsid w:val="00233870"/>
    <w:rsid w:val="00234254"/>
    <w:rsid w:val="00234E68"/>
    <w:rsid w:val="002352B3"/>
    <w:rsid w:val="002353C7"/>
    <w:rsid w:val="00235C93"/>
    <w:rsid w:val="0023729F"/>
    <w:rsid w:val="002373D8"/>
    <w:rsid w:val="002402A0"/>
    <w:rsid w:val="0024091C"/>
    <w:rsid w:val="00241146"/>
    <w:rsid w:val="0024255A"/>
    <w:rsid w:val="00242620"/>
    <w:rsid w:val="00242628"/>
    <w:rsid w:val="002429EE"/>
    <w:rsid w:val="00242DD3"/>
    <w:rsid w:val="00243CBE"/>
    <w:rsid w:val="00244C9C"/>
    <w:rsid w:val="00245D5D"/>
    <w:rsid w:val="00245E3A"/>
    <w:rsid w:val="00245E5D"/>
    <w:rsid w:val="0024604C"/>
    <w:rsid w:val="00246A4A"/>
    <w:rsid w:val="00246A76"/>
    <w:rsid w:val="00246FCA"/>
    <w:rsid w:val="00247C05"/>
    <w:rsid w:val="00247F85"/>
    <w:rsid w:val="002516A2"/>
    <w:rsid w:val="00253B36"/>
    <w:rsid w:val="002549E0"/>
    <w:rsid w:val="002549E1"/>
    <w:rsid w:val="002552E7"/>
    <w:rsid w:val="00255872"/>
    <w:rsid w:val="00256E19"/>
    <w:rsid w:val="00257301"/>
    <w:rsid w:val="00260839"/>
    <w:rsid w:val="002609C8"/>
    <w:rsid w:val="00260D0C"/>
    <w:rsid w:val="0026206C"/>
    <w:rsid w:val="0026250D"/>
    <w:rsid w:val="002659F1"/>
    <w:rsid w:val="00266799"/>
    <w:rsid w:val="00266DA9"/>
    <w:rsid w:val="00270340"/>
    <w:rsid w:val="00270613"/>
    <w:rsid w:val="00270CE7"/>
    <w:rsid w:val="0027258D"/>
    <w:rsid w:val="00272ADC"/>
    <w:rsid w:val="00274B03"/>
    <w:rsid w:val="002758CC"/>
    <w:rsid w:val="00275C9B"/>
    <w:rsid w:val="0027688B"/>
    <w:rsid w:val="00277811"/>
    <w:rsid w:val="00280E6F"/>
    <w:rsid w:val="0028183D"/>
    <w:rsid w:val="00281A5C"/>
    <w:rsid w:val="0028291B"/>
    <w:rsid w:val="002843A7"/>
    <w:rsid w:val="0028464B"/>
    <w:rsid w:val="00284AA5"/>
    <w:rsid w:val="00284C1C"/>
    <w:rsid w:val="00284E98"/>
    <w:rsid w:val="00285201"/>
    <w:rsid w:val="00285A88"/>
    <w:rsid w:val="002861C0"/>
    <w:rsid w:val="002862E8"/>
    <w:rsid w:val="002863E2"/>
    <w:rsid w:val="00286B5B"/>
    <w:rsid w:val="00287E79"/>
    <w:rsid w:val="002909ED"/>
    <w:rsid w:val="00290EC8"/>
    <w:rsid w:val="00291E21"/>
    <w:rsid w:val="002928F9"/>
    <w:rsid w:val="00292943"/>
    <w:rsid w:val="00292A1B"/>
    <w:rsid w:val="00292EAD"/>
    <w:rsid w:val="00293534"/>
    <w:rsid w:val="00296554"/>
    <w:rsid w:val="002969FA"/>
    <w:rsid w:val="00297C88"/>
    <w:rsid w:val="002A03BB"/>
    <w:rsid w:val="002A0754"/>
    <w:rsid w:val="002A099C"/>
    <w:rsid w:val="002A0AF2"/>
    <w:rsid w:val="002A101F"/>
    <w:rsid w:val="002A1C6E"/>
    <w:rsid w:val="002A2E8F"/>
    <w:rsid w:val="002A386F"/>
    <w:rsid w:val="002A46C8"/>
    <w:rsid w:val="002A4DF5"/>
    <w:rsid w:val="002A5133"/>
    <w:rsid w:val="002A56F4"/>
    <w:rsid w:val="002A5D07"/>
    <w:rsid w:val="002A6E99"/>
    <w:rsid w:val="002A79BA"/>
    <w:rsid w:val="002A7A28"/>
    <w:rsid w:val="002A7A29"/>
    <w:rsid w:val="002B2B24"/>
    <w:rsid w:val="002B2FA7"/>
    <w:rsid w:val="002B3A7E"/>
    <w:rsid w:val="002B4322"/>
    <w:rsid w:val="002B51C1"/>
    <w:rsid w:val="002B608F"/>
    <w:rsid w:val="002B6129"/>
    <w:rsid w:val="002B669C"/>
    <w:rsid w:val="002C0165"/>
    <w:rsid w:val="002C08E4"/>
    <w:rsid w:val="002C0AFE"/>
    <w:rsid w:val="002C1190"/>
    <w:rsid w:val="002C3AFA"/>
    <w:rsid w:val="002C4705"/>
    <w:rsid w:val="002C49DC"/>
    <w:rsid w:val="002C5C79"/>
    <w:rsid w:val="002C5C91"/>
    <w:rsid w:val="002C62C1"/>
    <w:rsid w:val="002C6DCC"/>
    <w:rsid w:val="002C7C97"/>
    <w:rsid w:val="002D0450"/>
    <w:rsid w:val="002D0FD6"/>
    <w:rsid w:val="002D1216"/>
    <w:rsid w:val="002D15A6"/>
    <w:rsid w:val="002D15DE"/>
    <w:rsid w:val="002D1ECF"/>
    <w:rsid w:val="002D2650"/>
    <w:rsid w:val="002D27AB"/>
    <w:rsid w:val="002D2F99"/>
    <w:rsid w:val="002D3ABC"/>
    <w:rsid w:val="002D3D5E"/>
    <w:rsid w:val="002D3E67"/>
    <w:rsid w:val="002D3E8D"/>
    <w:rsid w:val="002D3FF2"/>
    <w:rsid w:val="002D419E"/>
    <w:rsid w:val="002D48C4"/>
    <w:rsid w:val="002D4FBB"/>
    <w:rsid w:val="002D5823"/>
    <w:rsid w:val="002D6125"/>
    <w:rsid w:val="002D6ADB"/>
    <w:rsid w:val="002D6E76"/>
    <w:rsid w:val="002E0409"/>
    <w:rsid w:val="002E05DD"/>
    <w:rsid w:val="002E1435"/>
    <w:rsid w:val="002E1C50"/>
    <w:rsid w:val="002E24B7"/>
    <w:rsid w:val="002E2F1C"/>
    <w:rsid w:val="002E4F7D"/>
    <w:rsid w:val="002E5D48"/>
    <w:rsid w:val="002E6630"/>
    <w:rsid w:val="002E700D"/>
    <w:rsid w:val="002E793B"/>
    <w:rsid w:val="002F0DAB"/>
    <w:rsid w:val="002F1036"/>
    <w:rsid w:val="002F105B"/>
    <w:rsid w:val="002F1B8B"/>
    <w:rsid w:val="002F21CE"/>
    <w:rsid w:val="002F2669"/>
    <w:rsid w:val="002F39D0"/>
    <w:rsid w:val="002F4A3D"/>
    <w:rsid w:val="002F78A3"/>
    <w:rsid w:val="003004F5"/>
    <w:rsid w:val="0030106A"/>
    <w:rsid w:val="003010C2"/>
    <w:rsid w:val="00301324"/>
    <w:rsid w:val="003016B7"/>
    <w:rsid w:val="00302CDB"/>
    <w:rsid w:val="00303068"/>
    <w:rsid w:val="00303F2B"/>
    <w:rsid w:val="00303FB3"/>
    <w:rsid w:val="0030414F"/>
    <w:rsid w:val="00304ACD"/>
    <w:rsid w:val="00304B92"/>
    <w:rsid w:val="003057DD"/>
    <w:rsid w:val="003063E4"/>
    <w:rsid w:val="003107BF"/>
    <w:rsid w:val="00310D70"/>
    <w:rsid w:val="0031131E"/>
    <w:rsid w:val="00311937"/>
    <w:rsid w:val="00312970"/>
    <w:rsid w:val="00312F88"/>
    <w:rsid w:val="00312FBF"/>
    <w:rsid w:val="0031373E"/>
    <w:rsid w:val="00314234"/>
    <w:rsid w:val="00314330"/>
    <w:rsid w:val="0031488E"/>
    <w:rsid w:val="00314A15"/>
    <w:rsid w:val="00314B14"/>
    <w:rsid w:val="00315BD7"/>
    <w:rsid w:val="00316103"/>
    <w:rsid w:val="003162F7"/>
    <w:rsid w:val="003167EA"/>
    <w:rsid w:val="00316CD3"/>
    <w:rsid w:val="003208B2"/>
    <w:rsid w:val="00320F99"/>
    <w:rsid w:val="003212B2"/>
    <w:rsid w:val="00322452"/>
    <w:rsid w:val="003224D5"/>
    <w:rsid w:val="00322D19"/>
    <w:rsid w:val="003246CA"/>
    <w:rsid w:val="003269A9"/>
    <w:rsid w:val="00327208"/>
    <w:rsid w:val="0033063B"/>
    <w:rsid w:val="00330CED"/>
    <w:rsid w:val="003314A2"/>
    <w:rsid w:val="003322F5"/>
    <w:rsid w:val="00332AEF"/>
    <w:rsid w:val="00332DAB"/>
    <w:rsid w:val="0033310C"/>
    <w:rsid w:val="0033311B"/>
    <w:rsid w:val="00333139"/>
    <w:rsid w:val="00334944"/>
    <w:rsid w:val="00334CC1"/>
    <w:rsid w:val="00334D7C"/>
    <w:rsid w:val="003358D5"/>
    <w:rsid w:val="0033593A"/>
    <w:rsid w:val="00335CF7"/>
    <w:rsid w:val="0033612A"/>
    <w:rsid w:val="00336D8A"/>
    <w:rsid w:val="00336E5C"/>
    <w:rsid w:val="0033799C"/>
    <w:rsid w:val="00340388"/>
    <w:rsid w:val="003407FA"/>
    <w:rsid w:val="0034105E"/>
    <w:rsid w:val="00342FE9"/>
    <w:rsid w:val="0034367B"/>
    <w:rsid w:val="00343926"/>
    <w:rsid w:val="00343FB3"/>
    <w:rsid w:val="00344B3A"/>
    <w:rsid w:val="003450BB"/>
    <w:rsid w:val="00345231"/>
    <w:rsid w:val="003452C3"/>
    <w:rsid w:val="00345761"/>
    <w:rsid w:val="0034580D"/>
    <w:rsid w:val="0034584D"/>
    <w:rsid w:val="00346227"/>
    <w:rsid w:val="003475DB"/>
    <w:rsid w:val="00351240"/>
    <w:rsid w:val="003515AA"/>
    <w:rsid w:val="0035205C"/>
    <w:rsid w:val="0035474C"/>
    <w:rsid w:val="00354F66"/>
    <w:rsid w:val="00355538"/>
    <w:rsid w:val="00355549"/>
    <w:rsid w:val="003556E8"/>
    <w:rsid w:val="00355777"/>
    <w:rsid w:val="00356C6A"/>
    <w:rsid w:val="00357117"/>
    <w:rsid w:val="00357341"/>
    <w:rsid w:val="00360085"/>
    <w:rsid w:val="00360ECE"/>
    <w:rsid w:val="00361736"/>
    <w:rsid w:val="003620E3"/>
    <w:rsid w:val="0036359B"/>
    <w:rsid w:val="00364055"/>
    <w:rsid w:val="00364EF0"/>
    <w:rsid w:val="003658CD"/>
    <w:rsid w:val="00365C02"/>
    <w:rsid w:val="00370498"/>
    <w:rsid w:val="00370F73"/>
    <w:rsid w:val="00370FBF"/>
    <w:rsid w:val="003712E3"/>
    <w:rsid w:val="00371D2C"/>
    <w:rsid w:val="00372688"/>
    <w:rsid w:val="0037270A"/>
    <w:rsid w:val="00372A6C"/>
    <w:rsid w:val="00373856"/>
    <w:rsid w:val="00374106"/>
    <w:rsid w:val="00375A56"/>
    <w:rsid w:val="00375B55"/>
    <w:rsid w:val="00376AD5"/>
    <w:rsid w:val="00376EC9"/>
    <w:rsid w:val="003771BD"/>
    <w:rsid w:val="0037787B"/>
    <w:rsid w:val="00377EC6"/>
    <w:rsid w:val="003800E1"/>
    <w:rsid w:val="003805EB"/>
    <w:rsid w:val="00380745"/>
    <w:rsid w:val="0038081B"/>
    <w:rsid w:val="0038116A"/>
    <w:rsid w:val="00381B23"/>
    <w:rsid w:val="00383C69"/>
    <w:rsid w:val="00384047"/>
    <w:rsid w:val="003847E4"/>
    <w:rsid w:val="00384BB4"/>
    <w:rsid w:val="00386495"/>
    <w:rsid w:val="00387C7E"/>
    <w:rsid w:val="0039134B"/>
    <w:rsid w:val="003939F3"/>
    <w:rsid w:val="00394626"/>
    <w:rsid w:val="0039483D"/>
    <w:rsid w:val="00394EFD"/>
    <w:rsid w:val="0039540C"/>
    <w:rsid w:val="00396299"/>
    <w:rsid w:val="003964B7"/>
    <w:rsid w:val="003976D5"/>
    <w:rsid w:val="003977EC"/>
    <w:rsid w:val="00397A6A"/>
    <w:rsid w:val="003A01B9"/>
    <w:rsid w:val="003A0307"/>
    <w:rsid w:val="003A0FFC"/>
    <w:rsid w:val="003A10C2"/>
    <w:rsid w:val="003A1987"/>
    <w:rsid w:val="003A213D"/>
    <w:rsid w:val="003A2757"/>
    <w:rsid w:val="003A2974"/>
    <w:rsid w:val="003A2CA5"/>
    <w:rsid w:val="003A3C2B"/>
    <w:rsid w:val="003A3C78"/>
    <w:rsid w:val="003A3CFD"/>
    <w:rsid w:val="003A45BD"/>
    <w:rsid w:val="003A4FA0"/>
    <w:rsid w:val="003A6F25"/>
    <w:rsid w:val="003A71D4"/>
    <w:rsid w:val="003A76B5"/>
    <w:rsid w:val="003A7E98"/>
    <w:rsid w:val="003B1989"/>
    <w:rsid w:val="003B2363"/>
    <w:rsid w:val="003B3353"/>
    <w:rsid w:val="003B353B"/>
    <w:rsid w:val="003B5C1A"/>
    <w:rsid w:val="003B6DFE"/>
    <w:rsid w:val="003B75A2"/>
    <w:rsid w:val="003B79E7"/>
    <w:rsid w:val="003C0332"/>
    <w:rsid w:val="003C100B"/>
    <w:rsid w:val="003C10D3"/>
    <w:rsid w:val="003C11C3"/>
    <w:rsid w:val="003C12D8"/>
    <w:rsid w:val="003C1801"/>
    <w:rsid w:val="003C1C9F"/>
    <w:rsid w:val="003C1D8E"/>
    <w:rsid w:val="003C245C"/>
    <w:rsid w:val="003C49DE"/>
    <w:rsid w:val="003C4CE9"/>
    <w:rsid w:val="003C5599"/>
    <w:rsid w:val="003C5867"/>
    <w:rsid w:val="003C664D"/>
    <w:rsid w:val="003C685B"/>
    <w:rsid w:val="003D029C"/>
    <w:rsid w:val="003D10F4"/>
    <w:rsid w:val="003D193B"/>
    <w:rsid w:val="003D1A21"/>
    <w:rsid w:val="003D1EBA"/>
    <w:rsid w:val="003D24DE"/>
    <w:rsid w:val="003D2648"/>
    <w:rsid w:val="003D2E25"/>
    <w:rsid w:val="003D3133"/>
    <w:rsid w:val="003D3C27"/>
    <w:rsid w:val="003D40E8"/>
    <w:rsid w:val="003D42CA"/>
    <w:rsid w:val="003D5320"/>
    <w:rsid w:val="003D5D72"/>
    <w:rsid w:val="003D648C"/>
    <w:rsid w:val="003D6C68"/>
    <w:rsid w:val="003D75B6"/>
    <w:rsid w:val="003E0163"/>
    <w:rsid w:val="003E09CE"/>
    <w:rsid w:val="003E161C"/>
    <w:rsid w:val="003E2E48"/>
    <w:rsid w:val="003E4933"/>
    <w:rsid w:val="003E49F9"/>
    <w:rsid w:val="003E4E88"/>
    <w:rsid w:val="003E4FD2"/>
    <w:rsid w:val="003E5E09"/>
    <w:rsid w:val="003E6ACD"/>
    <w:rsid w:val="003F0F1F"/>
    <w:rsid w:val="003F0F51"/>
    <w:rsid w:val="003F102B"/>
    <w:rsid w:val="003F2462"/>
    <w:rsid w:val="003F2473"/>
    <w:rsid w:val="003F3180"/>
    <w:rsid w:val="003F32B4"/>
    <w:rsid w:val="003F3FB5"/>
    <w:rsid w:val="003F49BA"/>
    <w:rsid w:val="003F539C"/>
    <w:rsid w:val="003F54D0"/>
    <w:rsid w:val="003F7346"/>
    <w:rsid w:val="003F7C5E"/>
    <w:rsid w:val="004026EF"/>
    <w:rsid w:val="0040337C"/>
    <w:rsid w:val="00403F30"/>
    <w:rsid w:val="00406C91"/>
    <w:rsid w:val="00406CC9"/>
    <w:rsid w:val="00407702"/>
    <w:rsid w:val="00407BA5"/>
    <w:rsid w:val="00410F39"/>
    <w:rsid w:val="00411B0E"/>
    <w:rsid w:val="00411CF4"/>
    <w:rsid w:val="00411E6D"/>
    <w:rsid w:val="00411FF6"/>
    <w:rsid w:val="00412378"/>
    <w:rsid w:val="00413CCD"/>
    <w:rsid w:val="004157C0"/>
    <w:rsid w:val="004159D0"/>
    <w:rsid w:val="0041706C"/>
    <w:rsid w:val="00417435"/>
    <w:rsid w:val="00417775"/>
    <w:rsid w:val="004200DD"/>
    <w:rsid w:val="004205FF"/>
    <w:rsid w:val="00420F1A"/>
    <w:rsid w:val="00421D89"/>
    <w:rsid w:val="00422CA2"/>
    <w:rsid w:val="00422F63"/>
    <w:rsid w:val="004233D9"/>
    <w:rsid w:val="004236B5"/>
    <w:rsid w:val="00423B92"/>
    <w:rsid w:val="00424D95"/>
    <w:rsid w:val="00425A36"/>
    <w:rsid w:val="00427A53"/>
    <w:rsid w:val="00427B9B"/>
    <w:rsid w:val="00432921"/>
    <w:rsid w:val="00432A6E"/>
    <w:rsid w:val="00437264"/>
    <w:rsid w:val="00437A28"/>
    <w:rsid w:val="004400CA"/>
    <w:rsid w:val="00440877"/>
    <w:rsid w:val="00440CCF"/>
    <w:rsid w:val="0044422C"/>
    <w:rsid w:val="004461A6"/>
    <w:rsid w:val="0044648E"/>
    <w:rsid w:val="00447AA2"/>
    <w:rsid w:val="00450C15"/>
    <w:rsid w:val="00451B04"/>
    <w:rsid w:val="00451FE0"/>
    <w:rsid w:val="004537A3"/>
    <w:rsid w:val="00453816"/>
    <w:rsid w:val="0045390F"/>
    <w:rsid w:val="00454230"/>
    <w:rsid w:val="00455A21"/>
    <w:rsid w:val="00456535"/>
    <w:rsid w:val="004569B9"/>
    <w:rsid w:val="00456B99"/>
    <w:rsid w:val="004576CF"/>
    <w:rsid w:val="004608D0"/>
    <w:rsid w:val="00460985"/>
    <w:rsid w:val="004616B3"/>
    <w:rsid w:val="00461A3E"/>
    <w:rsid w:val="00463FCD"/>
    <w:rsid w:val="0046430F"/>
    <w:rsid w:val="00464E70"/>
    <w:rsid w:val="00466A7A"/>
    <w:rsid w:val="00466CEB"/>
    <w:rsid w:val="00466F25"/>
    <w:rsid w:val="00470061"/>
    <w:rsid w:val="00470123"/>
    <w:rsid w:val="00470B9F"/>
    <w:rsid w:val="00471B56"/>
    <w:rsid w:val="00471DE4"/>
    <w:rsid w:val="00472058"/>
    <w:rsid w:val="00474165"/>
    <w:rsid w:val="0047420C"/>
    <w:rsid w:val="0047508D"/>
    <w:rsid w:val="00475352"/>
    <w:rsid w:val="0047595D"/>
    <w:rsid w:val="00475A07"/>
    <w:rsid w:val="00476E2E"/>
    <w:rsid w:val="00477126"/>
    <w:rsid w:val="00480C37"/>
    <w:rsid w:val="00480D3A"/>
    <w:rsid w:val="00480E68"/>
    <w:rsid w:val="00481744"/>
    <w:rsid w:val="00481873"/>
    <w:rsid w:val="00481C58"/>
    <w:rsid w:val="004823F5"/>
    <w:rsid w:val="00482630"/>
    <w:rsid w:val="0048265D"/>
    <w:rsid w:val="004829C7"/>
    <w:rsid w:val="00482F74"/>
    <w:rsid w:val="004833FF"/>
    <w:rsid w:val="004834C9"/>
    <w:rsid w:val="0048380D"/>
    <w:rsid w:val="00484DAC"/>
    <w:rsid w:val="004855FC"/>
    <w:rsid w:val="00485AE0"/>
    <w:rsid w:val="00486EA4"/>
    <w:rsid w:val="004872E4"/>
    <w:rsid w:val="00487EB6"/>
    <w:rsid w:val="0049003F"/>
    <w:rsid w:val="00491AB6"/>
    <w:rsid w:val="00492C15"/>
    <w:rsid w:val="00492C69"/>
    <w:rsid w:val="004930CF"/>
    <w:rsid w:val="00493684"/>
    <w:rsid w:val="004940E7"/>
    <w:rsid w:val="00494334"/>
    <w:rsid w:val="00494A8E"/>
    <w:rsid w:val="00494D92"/>
    <w:rsid w:val="0049561D"/>
    <w:rsid w:val="004958C5"/>
    <w:rsid w:val="00495FA8"/>
    <w:rsid w:val="00496106"/>
    <w:rsid w:val="00497DF1"/>
    <w:rsid w:val="004A08E1"/>
    <w:rsid w:val="004A0922"/>
    <w:rsid w:val="004A0D8C"/>
    <w:rsid w:val="004A1D2F"/>
    <w:rsid w:val="004A1F67"/>
    <w:rsid w:val="004A28F8"/>
    <w:rsid w:val="004A2A14"/>
    <w:rsid w:val="004A2B13"/>
    <w:rsid w:val="004A2BA7"/>
    <w:rsid w:val="004A2C7B"/>
    <w:rsid w:val="004A4328"/>
    <w:rsid w:val="004A48B5"/>
    <w:rsid w:val="004A55EC"/>
    <w:rsid w:val="004A7896"/>
    <w:rsid w:val="004B14F2"/>
    <w:rsid w:val="004B2F4D"/>
    <w:rsid w:val="004B36A6"/>
    <w:rsid w:val="004B4046"/>
    <w:rsid w:val="004B53D8"/>
    <w:rsid w:val="004B69D2"/>
    <w:rsid w:val="004B7CB3"/>
    <w:rsid w:val="004C0BA6"/>
    <w:rsid w:val="004C1940"/>
    <w:rsid w:val="004C1E38"/>
    <w:rsid w:val="004C209C"/>
    <w:rsid w:val="004C2D2D"/>
    <w:rsid w:val="004C4263"/>
    <w:rsid w:val="004C4601"/>
    <w:rsid w:val="004C50B3"/>
    <w:rsid w:val="004C5A2D"/>
    <w:rsid w:val="004C6EBE"/>
    <w:rsid w:val="004C7775"/>
    <w:rsid w:val="004C7AFE"/>
    <w:rsid w:val="004D0AB1"/>
    <w:rsid w:val="004D1FA8"/>
    <w:rsid w:val="004D21A6"/>
    <w:rsid w:val="004D3456"/>
    <w:rsid w:val="004D3673"/>
    <w:rsid w:val="004D44D6"/>
    <w:rsid w:val="004D4858"/>
    <w:rsid w:val="004D563A"/>
    <w:rsid w:val="004D5B30"/>
    <w:rsid w:val="004D60D0"/>
    <w:rsid w:val="004D64D7"/>
    <w:rsid w:val="004E0EB0"/>
    <w:rsid w:val="004E0ED4"/>
    <w:rsid w:val="004E11C2"/>
    <w:rsid w:val="004E1E2C"/>
    <w:rsid w:val="004E30E9"/>
    <w:rsid w:val="004E3358"/>
    <w:rsid w:val="004E5325"/>
    <w:rsid w:val="004E5A26"/>
    <w:rsid w:val="004E74AA"/>
    <w:rsid w:val="004E7952"/>
    <w:rsid w:val="004F01C3"/>
    <w:rsid w:val="004F0B5C"/>
    <w:rsid w:val="004F1146"/>
    <w:rsid w:val="004F358B"/>
    <w:rsid w:val="004F3799"/>
    <w:rsid w:val="004F38FF"/>
    <w:rsid w:val="004F3AB9"/>
    <w:rsid w:val="004F3D98"/>
    <w:rsid w:val="004F42A0"/>
    <w:rsid w:val="004F4AE3"/>
    <w:rsid w:val="004F5B96"/>
    <w:rsid w:val="004F661A"/>
    <w:rsid w:val="004F76DF"/>
    <w:rsid w:val="00500DFC"/>
    <w:rsid w:val="00501763"/>
    <w:rsid w:val="005018A3"/>
    <w:rsid w:val="00502DE2"/>
    <w:rsid w:val="00503857"/>
    <w:rsid w:val="00503A23"/>
    <w:rsid w:val="00504C52"/>
    <w:rsid w:val="0050547A"/>
    <w:rsid w:val="00505627"/>
    <w:rsid w:val="005065A5"/>
    <w:rsid w:val="00506892"/>
    <w:rsid w:val="00507236"/>
    <w:rsid w:val="005077A4"/>
    <w:rsid w:val="005077C8"/>
    <w:rsid w:val="00510537"/>
    <w:rsid w:val="00512965"/>
    <w:rsid w:val="00513164"/>
    <w:rsid w:val="0051332E"/>
    <w:rsid w:val="00513889"/>
    <w:rsid w:val="005140EA"/>
    <w:rsid w:val="00514B6B"/>
    <w:rsid w:val="00514BAF"/>
    <w:rsid w:val="00514FD2"/>
    <w:rsid w:val="00515B2A"/>
    <w:rsid w:val="00515C4C"/>
    <w:rsid w:val="00515E4C"/>
    <w:rsid w:val="00516909"/>
    <w:rsid w:val="00517085"/>
    <w:rsid w:val="00517EC1"/>
    <w:rsid w:val="00522DD7"/>
    <w:rsid w:val="00522E4B"/>
    <w:rsid w:val="005232D1"/>
    <w:rsid w:val="00524C00"/>
    <w:rsid w:val="005251D3"/>
    <w:rsid w:val="00525BC2"/>
    <w:rsid w:val="00526767"/>
    <w:rsid w:val="00526ED8"/>
    <w:rsid w:val="00526F22"/>
    <w:rsid w:val="00527420"/>
    <w:rsid w:val="00530AB6"/>
    <w:rsid w:val="00530BCD"/>
    <w:rsid w:val="00532B1E"/>
    <w:rsid w:val="00532B21"/>
    <w:rsid w:val="005337F7"/>
    <w:rsid w:val="00533BB6"/>
    <w:rsid w:val="00534703"/>
    <w:rsid w:val="0053554C"/>
    <w:rsid w:val="00536CAA"/>
    <w:rsid w:val="0053780D"/>
    <w:rsid w:val="005379F4"/>
    <w:rsid w:val="0054022D"/>
    <w:rsid w:val="005415A6"/>
    <w:rsid w:val="005417CB"/>
    <w:rsid w:val="005427FC"/>
    <w:rsid w:val="00542F07"/>
    <w:rsid w:val="00543331"/>
    <w:rsid w:val="005435B5"/>
    <w:rsid w:val="00543C4E"/>
    <w:rsid w:val="00544F18"/>
    <w:rsid w:val="00544FEC"/>
    <w:rsid w:val="00546285"/>
    <w:rsid w:val="00546B9B"/>
    <w:rsid w:val="005472D3"/>
    <w:rsid w:val="0054735A"/>
    <w:rsid w:val="00547DC3"/>
    <w:rsid w:val="005518BC"/>
    <w:rsid w:val="00551A85"/>
    <w:rsid w:val="005522ED"/>
    <w:rsid w:val="00552F36"/>
    <w:rsid w:val="00553844"/>
    <w:rsid w:val="005544BF"/>
    <w:rsid w:val="005545E3"/>
    <w:rsid w:val="0055481D"/>
    <w:rsid w:val="0055664B"/>
    <w:rsid w:val="00556F1E"/>
    <w:rsid w:val="00557008"/>
    <w:rsid w:val="005579C7"/>
    <w:rsid w:val="00562E4F"/>
    <w:rsid w:val="0056321D"/>
    <w:rsid w:val="0056371C"/>
    <w:rsid w:val="005639FB"/>
    <w:rsid w:val="00565F2E"/>
    <w:rsid w:val="00567CAB"/>
    <w:rsid w:val="00567FFD"/>
    <w:rsid w:val="005705FD"/>
    <w:rsid w:val="00571EB7"/>
    <w:rsid w:val="00571F41"/>
    <w:rsid w:val="00572070"/>
    <w:rsid w:val="005730F0"/>
    <w:rsid w:val="00573C4F"/>
    <w:rsid w:val="00573E61"/>
    <w:rsid w:val="0057489F"/>
    <w:rsid w:val="005748F1"/>
    <w:rsid w:val="0057692C"/>
    <w:rsid w:val="005800EF"/>
    <w:rsid w:val="00581DAE"/>
    <w:rsid w:val="00582475"/>
    <w:rsid w:val="00583B8C"/>
    <w:rsid w:val="0058455B"/>
    <w:rsid w:val="00585995"/>
    <w:rsid w:val="005866B9"/>
    <w:rsid w:val="00586E89"/>
    <w:rsid w:val="005875B6"/>
    <w:rsid w:val="00587F17"/>
    <w:rsid w:val="00590CC0"/>
    <w:rsid w:val="00590E28"/>
    <w:rsid w:val="0059101F"/>
    <w:rsid w:val="00591A2B"/>
    <w:rsid w:val="0059261B"/>
    <w:rsid w:val="00592EB2"/>
    <w:rsid w:val="00593540"/>
    <w:rsid w:val="00594033"/>
    <w:rsid w:val="005940FE"/>
    <w:rsid w:val="00594513"/>
    <w:rsid w:val="00595674"/>
    <w:rsid w:val="00595A81"/>
    <w:rsid w:val="00596B4C"/>
    <w:rsid w:val="0059780A"/>
    <w:rsid w:val="005A02C1"/>
    <w:rsid w:val="005A06BB"/>
    <w:rsid w:val="005A239E"/>
    <w:rsid w:val="005A2410"/>
    <w:rsid w:val="005A2D35"/>
    <w:rsid w:val="005A30D8"/>
    <w:rsid w:val="005A3699"/>
    <w:rsid w:val="005A3CC5"/>
    <w:rsid w:val="005A3EE5"/>
    <w:rsid w:val="005A4B04"/>
    <w:rsid w:val="005A52E6"/>
    <w:rsid w:val="005A5EFE"/>
    <w:rsid w:val="005A6C96"/>
    <w:rsid w:val="005A6CFE"/>
    <w:rsid w:val="005A77A1"/>
    <w:rsid w:val="005B0C8B"/>
    <w:rsid w:val="005B129A"/>
    <w:rsid w:val="005B1A35"/>
    <w:rsid w:val="005B2F74"/>
    <w:rsid w:val="005B3248"/>
    <w:rsid w:val="005B36D9"/>
    <w:rsid w:val="005B4201"/>
    <w:rsid w:val="005B4C50"/>
    <w:rsid w:val="005B5F55"/>
    <w:rsid w:val="005B665F"/>
    <w:rsid w:val="005B6F1C"/>
    <w:rsid w:val="005C0325"/>
    <w:rsid w:val="005C174E"/>
    <w:rsid w:val="005C2284"/>
    <w:rsid w:val="005C23E4"/>
    <w:rsid w:val="005C3535"/>
    <w:rsid w:val="005C39F4"/>
    <w:rsid w:val="005C5A8F"/>
    <w:rsid w:val="005C6F98"/>
    <w:rsid w:val="005C782C"/>
    <w:rsid w:val="005C7887"/>
    <w:rsid w:val="005D03C5"/>
    <w:rsid w:val="005D084D"/>
    <w:rsid w:val="005D154E"/>
    <w:rsid w:val="005D161E"/>
    <w:rsid w:val="005D1729"/>
    <w:rsid w:val="005D3EEC"/>
    <w:rsid w:val="005D6F67"/>
    <w:rsid w:val="005D76CB"/>
    <w:rsid w:val="005D781F"/>
    <w:rsid w:val="005E244C"/>
    <w:rsid w:val="005E2985"/>
    <w:rsid w:val="005E39EC"/>
    <w:rsid w:val="005E3FCC"/>
    <w:rsid w:val="005E4A72"/>
    <w:rsid w:val="005E4F6F"/>
    <w:rsid w:val="005E5365"/>
    <w:rsid w:val="005E5D1F"/>
    <w:rsid w:val="005E671D"/>
    <w:rsid w:val="005E6796"/>
    <w:rsid w:val="005E69D0"/>
    <w:rsid w:val="005E75AD"/>
    <w:rsid w:val="005F0694"/>
    <w:rsid w:val="005F0AD7"/>
    <w:rsid w:val="005F1975"/>
    <w:rsid w:val="005F1A83"/>
    <w:rsid w:val="005F2FF1"/>
    <w:rsid w:val="005F3C2D"/>
    <w:rsid w:val="005F4462"/>
    <w:rsid w:val="005F67CA"/>
    <w:rsid w:val="005F68FA"/>
    <w:rsid w:val="005F6BB6"/>
    <w:rsid w:val="005F6E3E"/>
    <w:rsid w:val="005F6F83"/>
    <w:rsid w:val="005F700F"/>
    <w:rsid w:val="005F7505"/>
    <w:rsid w:val="005F768F"/>
    <w:rsid w:val="006010B1"/>
    <w:rsid w:val="00601633"/>
    <w:rsid w:val="00601E0D"/>
    <w:rsid w:val="00606673"/>
    <w:rsid w:val="00607316"/>
    <w:rsid w:val="00607C2A"/>
    <w:rsid w:val="00610205"/>
    <w:rsid w:val="00612768"/>
    <w:rsid w:val="00612C17"/>
    <w:rsid w:val="00612D48"/>
    <w:rsid w:val="00613100"/>
    <w:rsid w:val="00613DAA"/>
    <w:rsid w:val="00614329"/>
    <w:rsid w:val="006153DC"/>
    <w:rsid w:val="00616B45"/>
    <w:rsid w:val="00620C97"/>
    <w:rsid w:val="00621323"/>
    <w:rsid w:val="00621952"/>
    <w:rsid w:val="00621A9A"/>
    <w:rsid w:val="00622257"/>
    <w:rsid w:val="006228F4"/>
    <w:rsid w:val="00625EC1"/>
    <w:rsid w:val="00626606"/>
    <w:rsid w:val="006274F1"/>
    <w:rsid w:val="00627A37"/>
    <w:rsid w:val="00627C5B"/>
    <w:rsid w:val="00630A24"/>
    <w:rsid w:val="006339A2"/>
    <w:rsid w:val="00633D71"/>
    <w:rsid w:val="0063620B"/>
    <w:rsid w:val="00636526"/>
    <w:rsid w:val="006402CD"/>
    <w:rsid w:val="006405C6"/>
    <w:rsid w:val="00640E98"/>
    <w:rsid w:val="00642B9C"/>
    <w:rsid w:val="006430F1"/>
    <w:rsid w:val="0064344D"/>
    <w:rsid w:val="006436E2"/>
    <w:rsid w:val="006439EC"/>
    <w:rsid w:val="00644549"/>
    <w:rsid w:val="00645A96"/>
    <w:rsid w:val="0064608A"/>
    <w:rsid w:val="006461A6"/>
    <w:rsid w:val="00646E45"/>
    <w:rsid w:val="00647433"/>
    <w:rsid w:val="006501D5"/>
    <w:rsid w:val="00651040"/>
    <w:rsid w:val="006510D2"/>
    <w:rsid w:val="00651519"/>
    <w:rsid w:val="00654124"/>
    <w:rsid w:val="0065493A"/>
    <w:rsid w:val="00655044"/>
    <w:rsid w:val="006552EA"/>
    <w:rsid w:val="00656291"/>
    <w:rsid w:val="00656B07"/>
    <w:rsid w:val="00656BAA"/>
    <w:rsid w:val="00660B6B"/>
    <w:rsid w:val="0066166E"/>
    <w:rsid w:val="00661D19"/>
    <w:rsid w:val="00662979"/>
    <w:rsid w:val="00662CCF"/>
    <w:rsid w:val="00664164"/>
    <w:rsid w:val="00664DC9"/>
    <w:rsid w:val="00665F67"/>
    <w:rsid w:val="0066657C"/>
    <w:rsid w:val="00666993"/>
    <w:rsid w:val="00666BB8"/>
    <w:rsid w:val="00667219"/>
    <w:rsid w:val="00667F4F"/>
    <w:rsid w:val="006717FE"/>
    <w:rsid w:val="00671C82"/>
    <w:rsid w:val="00672472"/>
    <w:rsid w:val="0067281D"/>
    <w:rsid w:val="00673316"/>
    <w:rsid w:val="006739B9"/>
    <w:rsid w:val="006746A3"/>
    <w:rsid w:val="00674D0D"/>
    <w:rsid w:val="00675430"/>
    <w:rsid w:val="00675B75"/>
    <w:rsid w:val="0067628B"/>
    <w:rsid w:val="0067728B"/>
    <w:rsid w:val="006801CF"/>
    <w:rsid w:val="006817AB"/>
    <w:rsid w:val="00681DB0"/>
    <w:rsid w:val="00684394"/>
    <w:rsid w:val="0068461C"/>
    <w:rsid w:val="00684A87"/>
    <w:rsid w:val="006850F9"/>
    <w:rsid w:val="00685AB9"/>
    <w:rsid w:val="00686E4C"/>
    <w:rsid w:val="00686FB6"/>
    <w:rsid w:val="00687DAE"/>
    <w:rsid w:val="006902A6"/>
    <w:rsid w:val="006902EB"/>
    <w:rsid w:val="00691594"/>
    <w:rsid w:val="00691C3D"/>
    <w:rsid w:val="00692CF0"/>
    <w:rsid w:val="0069328A"/>
    <w:rsid w:val="00693DAB"/>
    <w:rsid w:val="00695794"/>
    <w:rsid w:val="006A06B9"/>
    <w:rsid w:val="006A0BF8"/>
    <w:rsid w:val="006A11C7"/>
    <w:rsid w:val="006A16A0"/>
    <w:rsid w:val="006A1853"/>
    <w:rsid w:val="006A2986"/>
    <w:rsid w:val="006A39EE"/>
    <w:rsid w:val="006A44FF"/>
    <w:rsid w:val="006A4BB1"/>
    <w:rsid w:val="006A4E29"/>
    <w:rsid w:val="006A55E4"/>
    <w:rsid w:val="006A5DD7"/>
    <w:rsid w:val="006A69E6"/>
    <w:rsid w:val="006A789A"/>
    <w:rsid w:val="006A7E64"/>
    <w:rsid w:val="006B3004"/>
    <w:rsid w:val="006B3A51"/>
    <w:rsid w:val="006B4209"/>
    <w:rsid w:val="006B4590"/>
    <w:rsid w:val="006B51F3"/>
    <w:rsid w:val="006C020C"/>
    <w:rsid w:val="006C03EE"/>
    <w:rsid w:val="006C0B16"/>
    <w:rsid w:val="006C0B88"/>
    <w:rsid w:val="006C1029"/>
    <w:rsid w:val="006C29E0"/>
    <w:rsid w:val="006C32D5"/>
    <w:rsid w:val="006C340C"/>
    <w:rsid w:val="006C4986"/>
    <w:rsid w:val="006C51AC"/>
    <w:rsid w:val="006C565B"/>
    <w:rsid w:val="006C5DC7"/>
    <w:rsid w:val="006C5F88"/>
    <w:rsid w:val="006C6EAA"/>
    <w:rsid w:val="006D0BBB"/>
    <w:rsid w:val="006D1D0B"/>
    <w:rsid w:val="006D2965"/>
    <w:rsid w:val="006D2B9C"/>
    <w:rsid w:val="006D34BB"/>
    <w:rsid w:val="006D3636"/>
    <w:rsid w:val="006D3FC8"/>
    <w:rsid w:val="006D508B"/>
    <w:rsid w:val="006D5B95"/>
    <w:rsid w:val="006D6C18"/>
    <w:rsid w:val="006D6CA8"/>
    <w:rsid w:val="006D704D"/>
    <w:rsid w:val="006D7185"/>
    <w:rsid w:val="006D77AC"/>
    <w:rsid w:val="006D7F1F"/>
    <w:rsid w:val="006D7F87"/>
    <w:rsid w:val="006E01A8"/>
    <w:rsid w:val="006E0C3D"/>
    <w:rsid w:val="006E0F4B"/>
    <w:rsid w:val="006E14CD"/>
    <w:rsid w:val="006E16F6"/>
    <w:rsid w:val="006E17A1"/>
    <w:rsid w:val="006E1984"/>
    <w:rsid w:val="006E1C35"/>
    <w:rsid w:val="006E21DD"/>
    <w:rsid w:val="006E2F62"/>
    <w:rsid w:val="006E3520"/>
    <w:rsid w:val="006E3CDE"/>
    <w:rsid w:val="006E48D1"/>
    <w:rsid w:val="006E4D23"/>
    <w:rsid w:val="006E5D14"/>
    <w:rsid w:val="006E78C4"/>
    <w:rsid w:val="006F0259"/>
    <w:rsid w:val="006F1222"/>
    <w:rsid w:val="006F1D09"/>
    <w:rsid w:val="006F1E24"/>
    <w:rsid w:val="006F261F"/>
    <w:rsid w:val="006F4729"/>
    <w:rsid w:val="006F4A18"/>
    <w:rsid w:val="006F4D64"/>
    <w:rsid w:val="006F5662"/>
    <w:rsid w:val="006F5A15"/>
    <w:rsid w:val="006F6FAA"/>
    <w:rsid w:val="006F76BE"/>
    <w:rsid w:val="0070096B"/>
    <w:rsid w:val="0070195F"/>
    <w:rsid w:val="00701F3D"/>
    <w:rsid w:val="007029F8"/>
    <w:rsid w:val="007029FD"/>
    <w:rsid w:val="00702FC4"/>
    <w:rsid w:val="0070347C"/>
    <w:rsid w:val="00703904"/>
    <w:rsid w:val="00703A17"/>
    <w:rsid w:val="007043AE"/>
    <w:rsid w:val="00707D54"/>
    <w:rsid w:val="007101CE"/>
    <w:rsid w:val="00710514"/>
    <w:rsid w:val="00710EB9"/>
    <w:rsid w:val="007114A1"/>
    <w:rsid w:val="00711675"/>
    <w:rsid w:val="0071187C"/>
    <w:rsid w:val="00712E18"/>
    <w:rsid w:val="0071305E"/>
    <w:rsid w:val="00715178"/>
    <w:rsid w:val="007153BA"/>
    <w:rsid w:val="00715F0C"/>
    <w:rsid w:val="007162C5"/>
    <w:rsid w:val="00717C44"/>
    <w:rsid w:val="00721453"/>
    <w:rsid w:val="007214F9"/>
    <w:rsid w:val="00721F96"/>
    <w:rsid w:val="00722216"/>
    <w:rsid w:val="007228D0"/>
    <w:rsid w:val="00722F5F"/>
    <w:rsid w:val="007237FC"/>
    <w:rsid w:val="00723CE8"/>
    <w:rsid w:val="007245EE"/>
    <w:rsid w:val="0072499D"/>
    <w:rsid w:val="00724AB2"/>
    <w:rsid w:val="00725F01"/>
    <w:rsid w:val="0072650C"/>
    <w:rsid w:val="007279C0"/>
    <w:rsid w:val="00732DDB"/>
    <w:rsid w:val="00733AAB"/>
    <w:rsid w:val="007341D5"/>
    <w:rsid w:val="00734286"/>
    <w:rsid w:val="0073478A"/>
    <w:rsid w:val="00734A26"/>
    <w:rsid w:val="00734C34"/>
    <w:rsid w:val="00734E86"/>
    <w:rsid w:val="00734F67"/>
    <w:rsid w:val="007354D5"/>
    <w:rsid w:val="0073679E"/>
    <w:rsid w:val="00736BAD"/>
    <w:rsid w:val="007376B5"/>
    <w:rsid w:val="00740C36"/>
    <w:rsid w:val="00743339"/>
    <w:rsid w:val="00746564"/>
    <w:rsid w:val="00747FA1"/>
    <w:rsid w:val="0075048E"/>
    <w:rsid w:val="007506CD"/>
    <w:rsid w:val="007509D7"/>
    <w:rsid w:val="00750C2C"/>
    <w:rsid w:val="00750FD5"/>
    <w:rsid w:val="00752F52"/>
    <w:rsid w:val="00753354"/>
    <w:rsid w:val="00754196"/>
    <w:rsid w:val="007553EF"/>
    <w:rsid w:val="0075637D"/>
    <w:rsid w:val="00756951"/>
    <w:rsid w:val="00757464"/>
    <w:rsid w:val="00757729"/>
    <w:rsid w:val="00757B26"/>
    <w:rsid w:val="007602DF"/>
    <w:rsid w:val="00760B0F"/>
    <w:rsid w:val="00761863"/>
    <w:rsid w:val="0076209D"/>
    <w:rsid w:val="0076267C"/>
    <w:rsid w:val="00762BB0"/>
    <w:rsid w:val="00763AAE"/>
    <w:rsid w:val="007640B2"/>
    <w:rsid w:val="007642D5"/>
    <w:rsid w:val="00765687"/>
    <w:rsid w:val="00765FB0"/>
    <w:rsid w:val="0076630B"/>
    <w:rsid w:val="007670FB"/>
    <w:rsid w:val="00767152"/>
    <w:rsid w:val="00767E99"/>
    <w:rsid w:val="00770BE4"/>
    <w:rsid w:val="00770C92"/>
    <w:rsid w:val="00771394"/>
    <w:rsid w:val="00772770"/>
    <w:rsid w:val="00775E6D"/>
    <w:rsid w:val="00775F86"/>
    <w:rsid w:val="007762F7"/>
    <w:rsid w:val="0078011D"/>
    <w:rsid w:val="007805FC"/>
    <w:rsid w:val="007808E0"/>
    <w:rsid w:val="00780C0F"/>
    <w:rsid w:val="007819A1"/>
    <w:rsid w:val="00781B16"/>
    <w:rsid w:val="0078427E"/>
    <w:rsid w:val="00785875"/>
    <w:rsid w:val="00785876"/>
    <w:rsid w:val="00786070"/>
    <w:rsid w:val="007863AD"/>
    <w:rsid w:val="00786CD4"/>
    <w:rsid w:val="00787830"/>
    <w:rsid w:val="007900D5"/>
    <w:rsid w:val="00790D47"/>
    <w:rsid w:val="007929E8"/>
    <w:rsid w:val="00793066"/>
    <w:rsid w:val="00793BCF"/>
    <w:rsid w:val="00793C8E"/>
    <w:rsid w:val="00794671"/>
    <w:rsid w:val="0079482E"/>
    <w:rsid w:val="00794FE7"/>
    <w:rsid w:val="00795299"/>
    <w:rsid w:val="00796F7C"/>
    <w:rsid w:val="00797478"/>
    <w:rsid w:val="0079755F"/>
    <w:rsid w:val="007977FD"/>
    <w:rsid w:val="007A1465"/>
    <w:rsid w:val="007A272A"/>
    <w:rsid w:val="007A330C"/>
    <w:rsid w:val="007A338D"/>
    <w:rsid w:val="007A40BA"/>
    <w:rsid w:val="007A4200"/>
    <w:rsid w:val="007A4919"/>
    <w:rsid w:val="007A4FBC"/>
    <w:rsid w:val="007A5D8B"/>
    <w:rsid w:val="007A605C"/>
    <w:rsid w:val="007A6292"/>
    <w:rsid w:val="007A7376"/>
    <w:rsid w:val="007B028F"/>
    <w:rsid w:val="007B14A3"/>
    <w:rsid w:val="007B322D"/>
    <w:rsid w:val="007B48F0"/>
    <w:rsid w:val="007B4AD1"/>
    <w:rsid w:val="007B56F3"/>
    <w:rsid w:val="007B5784"/>
    <w:rsid w:val="007B63A2"/>
    <w:rsid w:val="007B6CCA"/>
    <w:rsid w:val="007B7AFD"/>
    <w:rsid w:val="007B7C49"/>
    <w:rsid w:val="007C01D0"/>
    <w:rsid w:val="007C2995"/>
    <w:rsid w:val="007C35E1"/>
    <w:rsid w:val="007C4041"/>
    <w:rsid w:val="007C44EC"/>
    <w:rsid w:val="007C4999"/>
    <w:rsid w:val="007C5AE6"/>
    <w:rsid w:val="007C5B1F"/>
    <w:rsid w:val="007C6E23"/>
    <w:rsid w:val="007C7769"/>
    <w:rsid w:val="007D2022"/>
    <w:rsid w:val="007D2F82"/>
    <w:rsid w:val="007D30F7"/>
    <w:rsid w:val="007D35D9"/>
    <w:rsid w:val="007D36A2"/>
    <w:rsid w:val="007D410D"/>
    <w:rsid w:val="007D4787"/>
    <w:rsid w:val="007D4A5F"/>
    <w:rsid w:val="007D5503"/>
    <w:rsid w:val="007D5794"/>
    <w:rsid w:val="007D5A0A"/>
    <w:rsid w:val="007D6BD7"/>
    <w:rsid w:val="007D6C5C"/>
    <w:rsid w:val="007D7497"/>
    <w:rsid w:val="007E0DC9"/>
    <w:rsid w:val="007E1F0A"/>
    <w:rsid w:val="007E48AB"/>
    <w:rsid w:val="007E4BF0"/>
    <w:rsid w:val="007E6626"/>
    <w:rsid w:val="007F1A45"/>
    <w:rsid w:val="007F20AD"/>
    <w:rsid w:val="007F29DC"/>
    <w:rsid w:val="007F2ACC"/>
    <w:rsid w:val="007F2AF3"/>
    <w:rsid w:val="007F5066"/>
    <w:rsid w:val="007F5814"/>
    <w:rsid w:val="007F5B89"/>
    <w:rsid w:val="007F6271"/>
    <w:rsid w:val="007F638E"/>
    <w:rsid w:val="007F68B4"/>
    <w:rsid w:val="007F7BA7"/>
    <w:rsid w:val="00800BDA"/>
    <w:rsid w:val="00801145"/>
    <w:rsid w:val="0080169C"/>
    <w:rsid w:val="00801C41"/>
    <w:rsid w:val="00802D22"/>
    <w:rsid w:val="00802E6A"/>
    <w:rsid w:val="00803871"/>
    <w:rsid w:val="00803F96"/>
    <w:rsid w:val="008044A4"/>
    <w:rsid w:val="0080535F"/>
    <w:rsid w:val="00805BA4"/>
    <w:rsid w:val="00805DD3"/>
    <w:rsid w:val="00806E34"/>
    <w:rsid w:val="00806EB6"/>
    <w:rsid w:val="00807251"/>
    <w:rsid w:val="00807492"/>
    <w:rsid w:val="00807DD0"/>
    <w:rsid w:val="00810793"/>
    <w:rsid w:val="008109EC"/>
    <w:rsid w:val="0081197C"/>
    <w:rsid w:val="008124AC"/>
    <w:rsid w:val="00812924"/>
    <w:rsid w:val="00812B44"/>
    <w:rsid w:val="00813FBB"/>
    <w:rsid w:val="00814E06"/>
    <w:rsid w:val="00814F06"/>
    <w:rsid w:val="0081558D"/>
    <w:rsid w:val="008178E1"/>
    <w:rsid w:val="00817C19"/>
    <w:rsid w:val="00817E2B"/>
    <w:rsid w:val="008201E3"/>
    <w:rsid w:val="0082067B"/>
    <w:rsid w:val="00820D03"/>
    <w:rsid w:val="0082281B"/>
    <w:rsid w:val="00824768"/>
    <w:rsid w:val="008255BA"/>
    <w:rsid w:val="0082684D"/>
    <w:rsid w:val="00826CC9"/>
    <w:rsid w:val="00826D99"/>
    <w:rsid w:val="00826FA3"/>
    <w:rsid w:val="0082710C"/>
    <w:rsid w:val="00827326"/>
    <w:rsid w:val="00827B2A"/>
    <w:rsid w:val="00830B7E"/>
    <w:rsid w:val="00831144"/>
    <w:rsid w:val="00831FC0"/>
    <w:rsid w:val="008321C4"/>
    <w:rsid w:val="008330E7"/>
    <w:rsid w:val="00833EEB"/>
    <w:rsid w:val="00834336"/>
    <w:rsid w:val="00834B60"/>
    <w:rsid w:val="008363F9"/>
    <w:rsid w:val="008372EF"/>
    <w:rsid w:val="0083732A"/>
    <w:rsid w:val="008401F4"/>
    <w:rsid w:val="0084064B"/>
    <w:rsid w:val="00841230"/>
    <w:rsid w:val="00841804"/>
    <w:rsid w:val="008425FC"/>
    <w:rsid w:val="008430ED"/>
    <w:rsid w:val="0084319D"/>
    <w:rsid w:val="0084332D"/>
    <w:rsid w:val="00843887"/>
    <w:rsid w:val="00844062"/>
    <w:rsid w:val="00844750"/>
    <w:rsid w:val="008458F3"/>
    <w:rsid w:val="0084596F"/>
    <w:rsid w:val="00846368"/>
    <w:rsid w:val="00846562"/>
    <w:rsid w:val="0084735F"/>
    <w:rsid w:val="00847BF9"/>
    <w:rsid w:val="00850128"/>
    <w:rsid w:val="0085036F"/>
    <w:rsid w:val="00850FC9"/>
    <w:rsid w:val="00853AC1"/>
    <w:rsid w:val="00854216"/>
    <w:rsid w:val="00855F4E"/>
    <w:rsid w:val="008564F5"/>
    <w:rsid w:val="00856F0A"/>
    <w:rsid w:val="00857CC2"/>
    <w:rsid w:val="00857E17"/>
    <w:rsid w:val="00860DF6"/>
    <w:rsid w:val="00860E31"/>
    <w:rsid w:val="00861167"/>
    <w:rsid w:val="00861B31"/>
    <w:rsid w:val="0086240F"/>
    <w:rsid w:val="00862E15"/>
    <w:rsid w:val="00863148"/>
    <w:rsid w:val="008632FB"/>
    <w:rsid w:val="0086376D"/>
    <w:rsid w:val="0086427D"/>
    <w:rsid w:val="008647DB"/>
    <w:rsid w:val="00864D25"/>
    <w:rsid w:val="0086541D"/>
    <w:rsid w:val="0086579E"/>
    <w:rsid w:val="00866C2F"/>
    <w:rsid w:val="00867510"/>
    <w:rsid w:val="00870134"/>
    <w:rsid w:val="008712E0"/>
    <w:rsid w:val="008720C5"/>
    <w:rsid w:val="00872913"/>
    <w:rsid w:val="00872D66"/>
    <w:rsid w:val="00873024"/>
    <w:rsid w:val="0087385D"/>
    <w:rsid w:val="00874947"/>
    <w:rsid w:val="00874DBD"/>
    <w:rsid w:val="00875092"/>
    <w:rsid w:val="008769E6"/>
    <w:rsid w:val="00876F71"/>
    <w:rsid w:val="0087755A"/>
    <w:rsid w:val="008776AB"/>
    <w:rsid w:val="00877974"/>
    <w:rsid w:val="00877A68"/>
    <w:rsid w:val="0088045B"/>
    <w:rsid w:val="00880EEF"/>
    <w:rsid w:val="00881193"/>
    <w:rsid w:val="0088165E"/>
    <w:rsid w:val="00882E19"/>
    <w:rsid w:val="00883101"/>
    <w:rsid w:val="0088312E"/>
    <w:rsid w:val="0088410E"/>
    <w:rsid w:val="00885488"/>
    <w:rsid w:val="00890E1E"/>
    <w:rsid w:val="00890F67"/>
    <w:rsid w:val="00891169"/>
    <w:rsid w:val="00891182"/>
    <w:rsid w:val="008921DD"/>
    <w:rsid w:val="00892C27"/>
    <w:rsid w:val="00893473"/>
    <w:rsid w:val="00894A77"/>
    <w:rsid w:val="00894E62"/>
    <w:rsid w:val="0089595B"/>
    <w:rsid w:val="008959B3"/>
    <w:rsid w:val="008972A0"/>
    <w:rsid w:val="00897DBB"/>
    <w:rsid w:val="008A28C5"/>
    <w:rsid w:val="008A2E7F"/>
    <w:rsid w:val="008A47F2"/>
    <w:rsid w:val="008A5CCE"/>
    <w:rsid w:val="008A74DB"/>
    <w:rsid w:val="008A79EA"/>
    <w:rsid w:val="008A7B52"/>
    <w:rsid w:val="008B0501"/>
    <w:rsid w:val="008B060E"/>
    <w:rsid w:val="008B1075"/>
    <w:rsid w:val="008B17F6"/>
    <w:rsid w:val="008B20A2"/>
    <w:rsid w:val="008B227B"/>
    <w:rsid w:val="008B265B"/>
    <w:rsid w:val="008B339F"/>
    <w:rsid w:val="008B4356"/>
    <w:rsid w:val="008B44E0"/>
    <w:rsid w:val="008B45F3"/>
    <w:rsid w:val="008B637B"/>
    <w:rsid w:val="008C2CBC"/>
    <w:rsid w:val="008C34EE"/>
    <w:rsid w:val="008C4A6E"/>
    <w:rsid w:val="008C4C10"/>
    <w:rsid w:val="008C51AC"/>
    <w:rsid w:val="008C5E14"/>
    <w:rsid w:val="008C64C0"/>
    <w:rsid w:val="008C72AB"/>
    <w:rsid w:val="008C7AD1"/>
    <w:rsid w:val="008D1D2B"/>
    <w:rsid w:val="008D281D"/>
    <w:rsid w:val="008D323E"/>
    <w:rsid w:val="008D3A21"/>
    <w:rsid w:val="008D4470"/>
    <w:rsid w:val="008D52F9"/>
    <w:rsid w:val="008D545C"/>
    <w:rsid w:val="008D57EE"/>
    <w:rsid w:val="008D635F"/>
    <w:rsid w:val="008D77AB"/>
    <w:rsid w:val="008E0537"/>
    <w:rsid w:val="008E0973"/>
    <w:rsid w:val="008E1743"/>
    <w:rsid w:val="008E1BE7"/>
    <w:rsid w:val="008E1E24"/>
    <w:rsid w:val="008E2DBA"/>
    <w:rsid w:val="008E3CE8"/>
    <w:rsid w:val="008E4309"/>
    <w:rsid w:val="008E4E71"/>
    <w:rsid w:val="008E54F3"/>
    <w:rsid w:val="008E73A0"/>
    <w:rsid w:val="008E7E28"/>
    <w:rsid w:val="008E7FAE"/>
    <w:rsid w:val="008F04E1"/>
    <w:rsid w:val="008F0D3E"/>
    <w:rsid w:val="008F116B"/>
    <w:rsid w:val="008F1397"/>
    <w:rsid w:val="008F14DD"/>
    <w:rsid w:val="008F1981"/>
    <w:rsid w:val="008F37F0"/>
    <w:rsid w:val="008F3878"/>
    <w:rsid w:val="008F43F9"/>
    <w:rsid w:val="008F4CAA"/>
    <w:rsid w:val="008F546E"/>
    <w:rsid w:val="008F64B8"/>
    <w:rsid w:val="008F73F8"/>
    <w:rsid w:val="008F771C"/>
    <w:rsid w:val="008F7E6B"/>
    <w:rsid w:val="00900A8D"/>
    <w:rsid w:val="00901736"/>
    <w:rsid w:val="009019C8"/>
    <w:rsid w:val="00902BB2"/>
    <w:rsid w:val="00902D36"/>
    <w:rsid w:val="00905501"/>
    <w:rsid w:val="00905505"/>
    <w:rsid w:val="00905FBE"/>
    <w:rsid w:val="0090736D"/>
    <w:rsid w:val="00907E34"/>
    <w:rsid w:val="00907EE3"/>
    <w:rsid w:val="00911BF7"/>
    <w:rsid w:val="00912CFF"/>
    <w:rsid w:val="00914281"/>
    <w:rsid w:val="009155FB"/>
    <w:rsid w:val="00916EC8"/>
    <w:rsid w:val="00917E29"/>
    <w:rsid w:val="009230D2"/>
    <w:rsid w:val="009238AB"/>
    <w:rsid w:val="00924C4D"/>
    <w:rsid w:val="00924E0B"/>
    <w:rsid w:val="009251F3"/>
    <w:rsid w:val="00925564"/>
    <w:rsid w:val="00925854"/>
    <w:rsid w:val="00927F87"/>
    <w:rsid w:val="00930032"/>
    <w:rsid w:val="009304F7"/>
    <w:rsid w:val="00930E43"/>
    <w:rsid w:val="00931786"/>
    <w:rsid w:val="00931DEA"/>
    <w:rsid w:val="00932F8B"/>
    <w:rsid w:val="009337E9"/>
    <w:rsid w:val="0093456B"/>
    <w:rsid w:val="009345E9"/>
    <w:rsid w:val="009353E0"/>
    <w:rsid w:val="00935AB6"/>
    <w:rsid w:val="009360E7"/>
    <w:rsid w:val="00936254"/>
    <w:rsid w:val="00936F9D"/>
    <w:rsid w:val="0093750C"/>
    <w:rsid w:val="009409AF"/>
    <w:rsid w:val="00941150"/>
    <w:rsid w:val="00942106"/>
    <w:rsid w:val="00942523"/>
    <w:rsid w:val="00942745"/>
    <w:rsid w:val="009428CB"/>
    <w:rsid w:val="009428CF"/>
    <w:rsid w:val="00943866"/>
    <w:rsid w:val="00943AAA"/>
    <w:rsid w:val="00943CBF"/>
    <w:rsid w:val="00943FC6"/>
    <w:rsid w:val="0094443C"/>
    <w:rsid w:val="009445B6"/>
    <w:rsid w:val="00944A75"/>
    <w:rsid w:val="00945069"/>
    <w:rsid w:val="00945183"/>
    <w:rsid w:val="00946D74"/>
    <w:rsid w:val="009471B1"/>
    <w:rsid w:val="00950640"/>
    <w:rsid w:val="00951B26"/>
    <w:rsid w:val="00952B65"/>
    <w:rsid w:val="00953419"/>
    <w:rsid w:val="0095394B"/>
    <w:rsid w:val="00955941"/>
    <w:rsid w:val="009569E9"/>
    <w:rsid w:val="009576B6"/>
    <w:rsid w:val="0095775D"/>
    <w:rsid w:val="00960218"/>
    <w:rsid w:val="009610D2"/>
    <w:rsid w:val="009611E7"/>
    <w:rsid w:val="00961335"/>
    <w:rsid w:val="009641AB"/>
    <w:rsid w:val="0096433E"/>
    <w:rsid w:val="009654B1"/>
    <w:rsid w:val="009656BB"/>
    <w:rsid w:val="00966B98"/>
    <w:rsid w:val="0096714A"/>
    <w:rsid w:val="00967340"/>
    <w:rsid w:val="009675D8"/>
    <w:rsid w:val="00971AA2"/>
    <w:rsid w:val="009721AF"/>
    <w:rsid w:val="00972CDB"/>
    <w:rsid w:val="00973832"/>
    <w:rsid w:val="009743BC"/>
    <w:rsid w:val="00974843"/>
    <w:rsid w:val="00974F4C"/>
    <w:rsid w:val="00975DB0"/>
    <w:rsid w:val="009765D7"/>
    <w:rsid w:val="0097707A"/>
    <w:rsid w:val="00977BE7"/>
    <w:rsid w:val="00977D66"/>
    <w:rsid w:val="00977EC8"/>
    <w:rsid w:val="00977F03"/>
    <w:rsid w:val="009803A0"/>
    <w:rsid w:val="009810FF"/>
    <w:rsid w:val="0098123F"/>
    <w:rsid w:val="00981FDF"/>
    <w:rsid w:val="00982A74"/>
    <w:rsid w:val="0098443E"/>
    <w:rsid w:val="00984DEF"/>
    <w:rsid w:val="00986AFB"/>
    <w:rsid w:val="0098736F"/>
    <w:rsid w:val="00990BCF"/>
    <w:rsid w:val="00991132"/>
    <w:rsid w:val="009923BE"/>
    <w:rsid w:val="00993653"/>
    <w:rsid w:val="00993920"/>
    <w:rsid w:val="0099412D"/>
    <w:rsid w:val="00994FD7"/>
    <w:rsid w:val="009957E5"/>
    <w:rsid w:val="00996260"/>
    <w:rsid w:val="00996551"/>
    <w:rsid w:val="0099737A"/>
    <w:rsid w:val="00997482"/>
    <w:rsid w:val="009976DF"/>
    <w:rsid w:val="0099778A"/>
    <w:rsid w:val="009A1801"/>
    <w:rsid w:val="009A1CB7"/>
    <w:rsid w:val="009A1CF7"/>
    <w:rsid w:val="009A1ED9"/>
    <w:rsid w:val="009A45D5"/>
    <w:rsid w:val="009A464A"/>
    <w:rsid w:val="009A4AAE"/>
    <w:rsid w:val="009A5C49"/>
    <w:rsid w:val="009A69ED"/>
    <w:rsid w:val="009A6F2A"/>
    <w:rsid w:val="009A744B"/>
    <w:rsid w:val="009B1205"/>
    <w:rsid w:val="009B1789"/>
    <w:rsid w:val="009B1B7F"/>
    <w:rsid w:val="009B2810"/>
    <w:rsid w:val="009B2E60"/>
    <w:rsid w:val="009B3DB4"/>
    <w:rsid w:val="009B3E2D"/>
    <w:rsid w:val="009B4223"/>
    <w:rsid w:val="009B6E52"/>
    <w:rsid w:val="009B7481"/>
    <w:rsid w:val="009B76CB"/>
    <w:rsid w:val="009C0092"/>
    <w:rsid w:val="009C2064"/>
    <w:rsid w:val="009C36C0"/>
    <w:rsid w:val="009C4CD2"/>
    <w:rsid w:val="009C4D86"/>
    <w:rsid w:val="009C55D0"/>
    <w:rsid w:val="009C5E63"/>
    <w:rsid w:val="009C6067"/>
    <w:rsid w:val="009C62ED"/>
    <w:rsid w:val="009C6A84"/>
    <w:rsid w:val="009C7801"/>
    <w:rsid w:val="009C7EE0"/>
    <w:rsid w:val="009D1E86"/>
    <w:rsid w:val="009D220C"/>
    <w:rsid w:val="009D288D"/>
    <w:rsid w:val="009D2911"/>
    <w:rsid w:val="009D3A8C"/>
    <w:rsid w:val="009D40CF"/>
    <w:rsid w:val="009D441F"/>
    <w:rsid w:val="009D4F52"/>
    <w:rsid w:val="009D5D15"/>
    <w:rsid w:val="009D65B0"/>
    <w:rsid w:val="009D7BCE"/>
    <w:rsid w:val="009D7C7F"/>
    <w:rsid w:val="009E0493"/>
    <w:rsid w:val="009E27BA"/>
    <w:rsid w:val="009E31DB"/>
    <w:rsid w:val="009E32C5"/>
    <w:rsid w:val="009E33FB"/>
    <w:rsid w:val="009E3470"/>
    <w:rsid w:val="009E3BEE"/>
    <w:rsid w:val="009E44AB"/>
    <w:rsid w:val="009E4EA9"/>
    <w:rsid w:val="009E63EE"/>
    <w:rsid w:val="009E7956"/>
    <w:rsid w:val="009F11D5"/>
    <w:rsid w:val="009F158B"/>
    <w:rsid w:val="009F1CFA"/>
    <w:rsid w:val="009F1DBF"/>
    <w:rsid w:val="009F2020"/>
    <w:rsid w:val="009F497E"/>
    <w:rsid w:val="009F4C0C"/>
    <w:rsid w:val="009F5048"/>
    <w:rsid w:val="009F60B6"/>
    <w:rsid w:val="009F7883"/>
    <w:rsid w:val="00A00DF2"/>
    <w:rsid w:val="00A00EFF"/>
    <w:rsid w:val="00A010F6"/>
    <w:rsid w:val="00A01324"/>
    <w:rsid w:val="00A020D4"/>
    <w:rsid w:val="00A0261F"/>
    <w:rsid w:val="00A04EB5"/>
    <w:rsid w:val="00A05AD6"/>
    <w:rsid w:val="00A06013"/>
    <w:rsid w:val="00A0750E"/>
    <w:rsid w:val="00A07D7A"/>
    <w:rsid w:val="00A10721"/>
    <w:rsid w:val="00A10893"/>
    <w:rsid w:val="00A119B8"/>
    <w:rsid w:val="00A11B44"/>
    <w:rsid w:val="00A11BDA"/>
    <w:rsid w:val="00A11E6F"/>
    <w:rsid w:val="00A12F68"/>
    <w:rsid w:val="00A12F90"/>
    <w:rsid w:val="00A1495E"/>
    <w:rsid w:val="00A1528B"/>
    <w:rsid w:val="00A16C77"/>
    <w:rsid w:val="00A17DF7"/>
    <w:rsid w:val="00A17FF9"/>
    <w:rsid w:val="00A2025F"/>
    <w:rsid w:val="00A24269"/>
    <w:rsid w:val="00A2492E"/>
    <w:rsid w:val="00A24F26"/>
    <w:rsid w:val="00A255EF"/>
    <w:rsid w:val="00A25B62"/>
    <w:rsid w:val="00A2627F"/>
    <w:rsid w:val="00A26766"/>
    <w:rsid w:val="00A2732D"/>
    <w:rsid w:val="00A27D48"/>
    <w:rsid w:val="00A27EE5"/>
    <w:rsid w:val="00A302EF"/>
    <w:rsid w:val="00A321DC"/>
    <w:rsid w:val="00A3232A"/>
    <w:rsid w:val="00A32D82"/>
    <w:rsid w:val="00A33DF5"/>
    <w:rsid w:val="00A34516"/>
    <w:rsid w:val="00A34F2F"/>
    <w:rsid w:val="00A35C63"/>
    <w:rsid w:val="00A35FE2"/>
    <w:rsid w:val="00A36CF8"/>
    <w:rsid w:val="00A36FB6"/>
    <w:rsid w:val="00A373BE"/>
    <w:rsid w:val="00A40027"/>
    <w:rsid w:val="00A4130F"/>
    <w:rsid w:val="00A417FB"/>
    <w:rsid w:val="00A418AF"/>
    <w:rsid w:val="00A41FCA"/>
    <w:rsid w:val="00A4261D"/>
    <w:rsid w:val="00A42850"/>
    <w:rsid w:val="00A45032"/>
    <w:rsid w:val="00A4591E"/>
    <w:rsid w:val="00A464EA"/>
    <w:rsid w:val="00A467DF"/>
    <w:rsid w:val="00A47C19"/>
    <w:rsid w:val="00A52886"/>
    <w:rsid w:val="00A52911"/>
    <w:rsid w:val="00A53C01"/>
    <w:rsid w:val="00A55114"/>
    <w:rsid w:val="00A56E17"/>
    <w:rsid w:val="00A57B9F"/>
    <w:rsid w:val="00A6157B"/>
    <w:rsid w:val="00A615BC"/>
    <w:rsid w:val="00A62719"/>
    <w:rsid w:val="00A62ACD"/>
    <w:rsid w:val="00A62CD0"/>
    <w:rsid w:val="00A63BBD"/>
    <w:rsid w:val="00A65057"/>
    <w:rsid w:val="00A65DE6"/>
    <w:rsid w:val="00A66058"/>
    <w:rsid w:val="00A66BBA"/>
    <w:rsid w:val="00A6767A"/>
    <w:rsid w:val="00A7084F"/>
    <w:rsid w:val="00A70A51"/>
    <w:rsid w:val="00A70E69"/>
    <w:rsid w:val="00A72337"/>
    <w:rsid w:val="00A73C08"/>
    <w:rsid w:val="00A74767"/>
    <w:rsid w:val="00A75819"/>
    <w:rsid w:val="00A762AF"/>
    <w:rsid w:val="00A7664C"/>
    <w:rsid w:val="00A76E26"/>
    <w:rsid w:val="00A77ABD"/>
    <w:rsid w:val="00A77CAB"/>
    <w:rsid w:val="00A77CBC"/>
    <w:rsid w:val="00A807B6"/>
    <w:rsid w:val="00A80E4A"/>
    <w:rsid w:val="00A81ADB"/>
    <w:rsid w:val="00A8225D"/>
    <w:rsid w:val="00A82A5E"/>
    <w:rsid w:val="00A83112"/>
    <w:rsid w:val="00A8374C"/>
    <w:rsid w:val="00A837B3"/>
    <w:rsid w:val="00A854AA"/>
    <w:rsid w:val="00A858C5"/>
    <w:rsid w:val="00A86199"/>
    <w:rsid w:val="00A8729F"/>
    <w:rsid w:val="00A876D1"/>
    <w:rsid w:val="00A902D1"/>
    <w:rsid w:val="00A908A3"/>
    <w:rsid w:val="00A919DE"/>
    <w:rsid w:val="00A920BA"/>
    <w:rsid w:val="00A9298C"/>
    <w:rsid w:val="00A930E0"/>
    <w:rsid w:val="00A93A7F"/>
    <w:rsid w:val="00A9417C"/>
    <w:rsid w:val="00A954DF"/>
    <w:rsid w:val="00A95A12"/>
    <w:rsid w:val="00A95EE8"/>
    <w:rsid w:val="00A96239"/>
    <w:rsid w:val="00A96A6A"/>
    <w:rsid w:val="00A97E7B"/>
    <w:rsid w:val="00A97F03"/>
    <w:rsid w:val="00AA01B3"/>
    <w:rsid w:val="00AA0CCB"/>
    <w:rsid w:val="00AA159E"/>
    <w:rsid w:val="00AA1B79"/>
    <w:rsid w:val="00AA273A"/>
    <w:rsid w:val="00AA2A3A"/>
    <w:rsid w:val="00AA2EB2"/>
    <w:rsid w:val="00AA3AE5"/>
    <w:rsid w:val="00AA45E9"/>
    <w:rsid w:val="00AA47B5"/>
    <w:rsid w:val="00AA4ABA"/>
    <w:rsid w:val="00AA5742"/>
    <w:rsid w:val="00AA5811"/>
    <w:rsid w:val="00AA5B37"/>
    <w:rsid w:val="00AA63F9"/>
    <w:rsid w:val="00AB08AF"/>
    <w:rsid w:val="00AB1905"/>
    <w:rsid w:val="00AB2F96"/>
    <w:rsid w:val="00AB5576"/>
    <w:rsid w:val="00AB5F0E"/>
    <w:rsid w:val="00AB6A17"/>
    <w:rsid w:val="00AB7F3C"/>
    <w:rsid w:val="00AC073D"/>
    <w:rsid w:val="00AC1297"/>
    <w:rsid w:val="00AC13E5"/>
    <w:rsid w:val="00AC2A58"/>
    <w:rsid w:val="00AC32E9"/>
    <w:rsid w:val="00AC3776"/>
    <w:rsid w:val="00AC47AD"/>
    <w:rsid w:val="00AC5AB7"/>
    <w:rsid w:val="00AC61C4"/>
    <w:rsid w:val="00AC6507"/>
    <w:rsid w:val="00AC6606"/>
    <w:rsid w:val="00AC6869"/>
    <w:rsid w:val="00AC727B"/>
    <w:rsid w:val="00AC793B"/>
    <w:rsid w:val="00AC7977"/>
    <w:rsid w:val="00AD0035"/>
    <w:rsid w:val="00AD00D8"/>
    <w:rsid w:val="00AD025A"/>
    <w:rsid w:val="00AD14BE"/>
    <w:rsid w:val="00AD36F9"/>
    <w:rsid w:val="00AD3B72"/>
    <w:rsid w:val="00AD446E"/>
    <w:rsid w:val="00AD4947"/>
    <w:rsid w:val="00AD4FCD"/>
    <w:rsid w:val="00AD4FD5"/>
    <w:rsid w:val="00AD4FFF"/>
    <w:rsid w:val="00AD54E9"/>
    <w:rsid w:val="00AD557D"/>
    <w:rsid w:val="00AD57DA"/>
    <w:rsid w:val="00AD60B2"/>
    <w:rsid w:val="00AD693B"/>
    <w:rsid w:val="00AD7F5E"/>
    <w:rsid w:val="00AE107B"/>
    <w:rsid w:val="00AE206E"/>
    <w:rsid w:val="00AE23C8"/>
    <w:rsid w:val="00AE2F72"/>
    <w:rsid w:val="00AE3259"/>
    <w:rsid w:val="00AE352C"/>
    <w:rsid w:val="00AE425A"/>
    <w:rsid w:val="00AE42D3"/>
    <w:rsid w:val="00AE46D9"/>
    <w:rsid w:val="00AE50D3"/>
    <w:rsid w:val="00AE5689"/>
    <w:rsid w:val="00AE5C9A"/>
    <w:rsid w:val="00AE6EED"/>
    <w:rsid w:val="00AF09B0"/>
    <w:rsid w:val="00AF45EF"/>
    <w:rsid w:val="00AF4C65"/>
    <w:rsid w:val="00AF521D"/>
    <w:rsid w:val="00AF6532"/>
    <w:rsid w:val="00AF6AC7"/>
    <w:rsid w:val="00AF7079"/>
    <w:rsid w:val="00B00C1A"/>
    <w:rsid w:val="00B00E28"/>
    <w:rsid w:val="00B0341B"/>
    <w:rsid w:val="00B03EC1"/>
    <w:rsid w:val="00B043A5"/>
    <w:rsid w:val="00B048A0"/>
    <w:rsid w:val="00B04CAC"/>
    <w:rsid w:val="00B05877"/>
    <w:rsid w:val="00B05CAD"/>
    <w:rsid w:val="00B06945"/>
    <w:rsid w:val="00B13345"/>
    <w:rsid w:val="00B137F0"/>
    <w:rsid w:val="00B146F5"/>
    <w:rsid w:val="00B150AB"/>
    <w:rsid w:val="00B154D7"/>
    <w:rsid w:val="00B15CB9"/>
    <w:rsid w:val="00B1763B"/>
    <w:rsid w:val="00B17DB1"/>
    <w:rsid w:val="00B2289D"/>
    <w:rsid w:val="00B245FF"/>
    <w:rsid w:val="00B24AF5"/>
    <w:rsid w:val="00B24FC6"/>
    <w:rsid w:val="00B25146"/>
    <w:rsid w:val="00B2581B"/>
    <w:rsid w:val="00B26699"/>
    <w:rsid w:val="00B271D6"/>
    <w:rsid w:val="00B2723A"/>
    <w:rsid w:val="00B277B6"/>
    <w:rsid w:val="00B2780B"/>
    <w:rsid w:val="00B27F7F"/>
    <w:rsid w:val="00B303AD"/>
    <w:rsid w:val="00B310B9"/>
    <w:rsid w:val="00B31240"/>
    <w:rsid w:val="00B31A6F"/>
    <w:rsid w:val="00B3238D"/>
    <w:rsid w:val="00B3285A"/>
    <w:rsid w:val="00B32AA5"/>
    <w:rsid w:val="00B32D3B"/>
    <w:rsid w:val="00B32E2D"/>
    <w:rsid w:val="00B332B4"/>
    <w:rsid w:val="00B34FC9"/>
    <w:rsid w:val="00B35573"/>
    <w:rsid w:val="00B36858"/>
    <w:rsid w:val="00B373F1"/>
    <w:rsid w:val="00B42D07"/>
    <w:rsid w:val="00B4379C"/>
    <w:rsid w:val="00B43EDE"/>
    <w:rsid w:val="00B442D1"/>
    <w:rsid w:val="00B45A6B"/>
    <w:rsid w:val="00B4679B"/>
    <w:rsid w:val="00B502DF"/>
    <w:rsid w:val="00B5222B"/>
    <w:rsid w:val="00B5259F"/>
    <w:rsid w:val="00B528B5"/>
    <w:rsid w:val="00B535A1"/>
    <w:rsid w:val="00B53A7F"/>
    <w:rsid w:val="00B543C5"/>
    <w:rsid w:val="00B5482F"/>
    <w:rsid w:val="00B54F62"/>
    <w:rsid w:val="00B55163"/>
    <w:rsid w:val="00B557F3"/>
    <w:rsid w:val="00B55AA0"/>
    <w:rsid w:val="00B56430"/>
    <w:rsid w:val="00B577F6"/>
    <w:rsid w:val="00B57861"/>
    <w:rsid w:val="00B60590"/>
    <w:rsid w:val="00B60EB9"/>
    <w:rsid w:val="00B61990"/>
    <w:rsid w:val="00B61A9C"/>
    <w:rsid w:val="00B62848"/>
    <w:rsid w:val="00B63247"/>
    <w:rsid w:val="00B65682"/>
    <w:rsid w:val="00B663D6"/>
    <w:rsid w:val="00B66E7B"/>
    <w:rsid w:val="00B67465"/>
    <w:rsid w:val="00B677F1"/>
    <w:rsid w:val="00B67EBE"/>
    <w:rsid w:val="00B707B0"/>
    <w:rsid w:val="00B71E3B"/>
    <w:rsid w:val="00B7343E"/>
    <w:rsid w:val="00B7591A"/>
    <w:rsid w:val="00B76641"/>
    <w:rsid w:val="00B76FD8"/>
    <w:rsid w:val="00B800EA"/>
    <w:rsid w:val="00B80559"/>
    <w:rsid w:val="00B806D8"/>
    <w:rsid w:val="00B8111B"/>
    <w:rsid w:val="00B814D0"/>
    <w:rsid w:val="00B8269D"/>
    <w:rsid w:val="00B85F04"/>
    <w:rsid w:val="00B86F05"/>
    <w:rsid w:val="00B86FC1"/>
    <w:rsid w:val="00B878E2"/>
    <w:rsid w:val="00B90522"/>
    <w:rsid w:val="00B91326"/>
    <w:rsid w:val="00B91721"/>
    <w:rsid w:val="00B91A3E"/>
    <w:rsid w:val="00B9224E"/>
    <w:rsid w:val="00B92D96"/>
    <w:rsid w:val="00B93191"/>
    <w:rsid w:val="00B9487F"/>
    <w:rsid w:val="00B95EF0"/>
    <w:rsid w:val="00B9642C"/>
    <w:rsid w:val="00B96608"/>
    <w:rsid w:val="00B9741D"/>
    <w:rsid w:val="00B97DF8"/>
    <w:rsid w:val="00BA2EEB"/>
    <w:rsid w:val="00BA30E2"/>
    <w:rsid w:val="00BA3E8F"/>
    <w:rsid w:val="00BA43E7"/>
    <w:rsid w:val="00BA4689"/>
    <w:rsid w:val="00BA4C62"/>
    <w:rsid w:val="00BA5DF7"/>
    <w:rsid w:val="00BA6307"/>
    <w:rsid w:val="00BA64C8"/>
    <w:rsid w:val="00BA6614"/>
    <w:rsid w:val="00BA6843"/>
    <w:rsid w:val="00BA6FF6"/>
    <w:rsid w:val="00BA7A25"/>
    <w:rsid w:val="00BB153E"/>
    <w:rsid w:val="00BB26E8"/>
    <w:rsid w:val="00BB3413"/>
    <w:rsid w:val="00BB34D2"/>
    <w:rsid w:val="00BB3F0E"/>
    <w:rsid w:val="00BB4590"/>
    <w:rsid w:val="00BB4BF0"/>
    <w:rsid w:val="00BB621A"/>
    <w:rsid w:val="00BB7B12"/>
    <w:rsid w:val="00BC0769"/>
    <w:rsid w:val="00BC0E40"/>
    <w:rsid w:val="00BC14C1"/>
    <w:rsid w:val="00BC19FD"/>
    <w:rsid w:val="00BC2304"/>
    <w:rsid w:val="00BC236D"/>
    <w:rsid w:val="00BC2781"/>
    <w:rsid w:val="00BC323C"/>
    <w:rsid w:val="00BC4BBD"/>
    <w:rsid w:val="00BC5B3D"/>
    <w:rsid w:val="00BC69B6"/>
    <w:rsid w:val="00BC6CAB"/>
    <w:rsid w:val="00BC7634"/>
    <w:rsid w:val="00BD02C0"/>
    <w:rsid w:val="00BD09F2"/>
    <w:rsid w:val="00BD2E7A"/>
    <w:rsid w:val="00BD428A"/>
    <w:rsid w:val="00BD4385"/>
    <w:rsid w:val="00BD4751"/>
    <w:rsid w:val="00BD5453"/>
    <w:rsid w:val="00BD6965"/>
    <w:rsid w:val="00BD697D"/>
    <w:rsid w:val="00BD7100"/>
    <w:rsid w:val="00BD7399"/>
    <w:rsid w:val="00BD777C"/>
    <w:rsid w:val="00BE094B"/>
    <w:rsid w:val="00BE0A0A"/>
    <w:rsid w:val="00BE1FCA"/>
    <w:rsid w:val="00BE28D3"/>
    <w:rsid w:val="00BE3FFB"/>
    <w:rsid w:val="00BE47E9"/>
    <w:rsid w:val="00BE4825"/>
    <w:rsid w:val="00BE5C77"/>
    <w:rsid w:val="00BE619E"/>
    <w:rsid w:val="00BE6326"/>
    <w:rsid w:val="00BE70BB"/>
    <w:rsid w:val="00BF0556"/>
    <w:rsid w:val="00BF0628"/>
    <w:rsid w:val="00BF16EB"/>
    <w:rsid w:val="00BF192A"/>
    <w:rsid w:val="00BF226D"/>
    <w:rsid w:val="00BF2828"/>
    <w:rsid w:val="00BF37EA"/>
    <w:rsid w:val="00BF4567"/>
    <w:rsid w:val="00BF50B3"/>
    <w:rsid w:val="00BF515F"/>
    <w:rsid w:val="00BF5441"/>
    <w:rsid w:val="00BF557F"/>
    <w:rsid w:val="00BF56A0"/>
    <w:rsid w:val="00BF5799"/>
    <w:rsid w:val="00BF687C"/>
    <w:rsid w:val="00BF6F35"/>
    <w:rsid w:val="00BF7E3E"/>
    <w:rsid w:val="00C00963"/>
    <w:rsid w:val="00C00F27"/>
    <w:rsid w:val="00C01D56"/>
    <w:rsid w:val="00C0254B"/>
    <w:rsid w:val="00C02E9E"/>
    <w:rsid w:val="00C05014"/>
    <w:rsid w:val="00C06509"/>
    <w:rsid w:val="00C10AA3"/>
    <w:rsid w:val="00C11A78"/>
    <w:rsid w:val="00C129B2"/>
    <w:rsid w:val="00C1550A"/>
    <w:rsid w:val="00C1779E"/>
    <w:rsid w:val="00C205A4"/>
    <w:rsid w:val="00C20927"/>
    <w:rsid w:val="00C21C46"/>
    <w:rsid w:val="00C22210"/>
    <w:rsid w:val="00C259CF"/>
    <w:rsid w:val="00C261F8"/>
    <w:rsid w:val="00C27172"/>
    <w:rsid w:val="00C27C54"/>
    <w:rsid w:val="00C27D59"/>
    <w:rsid w:val="00C30779"/>
    <w:rsid w:val="00C31701"/>
    <w:rsid w:val="00C32C33"/>
    <w:rsid w:val="00C33910"/>
    <w:rsid w:val="00C33F9F"/>
    <w:rsid w:val="00C35E24"/>
    <w:rsid w:val="00C362F1"/>
    <w:rsid w:val="00C36486"/>
    <w:rsid w:val="00C371F0"/>
    <w:rsid w:val="00C37640"/>
    <w:rsid w:val="00C40B6C"/>
    <w:rsid w:val="00C40F10"/>
    <w:rsid w:val="00C41BE1"/>
    <w:rsid w:val="00C41F97"/>
    <w:rsid w:val="00C42D6D"/>
    <w:rsid w:val="00C433EC"/>
    <w:rsid w:val="00C437E2"/>
    <w:rsid w:val="00C43C8E"/>
    <w:rsid w:val="00C443C4"/>
    <w:rsid w:val="00C453EB"/>
    <w:rsid w:val="00C45813"/>
    <w:rsid w:val="00C4649B"/>
    <w:rsid w:val="00C50653"/>
    <w:rsid w:val="00C50A87"/>
    <w:rsid w:val="00C51180"/>
    <w:rsid w:val="00C5184C"/>
    <w:rsid w:val="00C51AC2"/>
    <w:rsid w:val="00C51B21"/>
    <w:rsid w:val="00C5232B"/>
    <w:rsid w:val="00C52BB7"/>
    <w:rsid w:val="00C5454F"/>
    <w:rsid w:val="00C54A17"/>
    <w:rsid w:val="00C564DA"/>
    <w:rsid w:val="00C603CE"/>
    <w:rsid w:val="00C609DD"/>
    <w:rsid w:val="00C60E39"/>
    <w:rsid w:val="00C614B1"/>
    <w:rsid w:val="00C615D3"/>
    <w:rsid w:val="00C61A9B"/>
    <w:rsid w:val="00C625E9"/>
    <w:rsid w:val="00C6327D"/>
    <w:rsid w:val="00C64FF1"/>
    <w:rsid w:val="00C65AD7"/>
    <w:rsid w:val="00C66D6C"/>
    <w:rsid w:val="00C7081D"/>
    <w:rsid w:val="00C717E0"/>
    <w:rsid w:val="00C71894"/>
    <w:rsid w:val="00C71C43"/>
    <w:rsid w:val="00C71DCC"/>
    <w:rsid w:val="00C7220E"/>
    <w:rsid w:val="00C726B0"/>
    <w:rsid w:val="00C72738"/>
    <w:rsid w:val="00C72A16"/>
    <w:rsid w:val="00C72B5D"/>
    <w:rsid w:val="00C738FE"/>
    <w:rsid w:val="00C73A01"/>
    <w:rsid w:val="00C73BEC"/>
    <w:rsid w:val="00C73D96"/>
    <w:rsid w:val="00C755A9"/>
    <w:rsid w:val="00C75CF4"/>
    <w:rsid w:val="00C76FE6"/>
    <w:rsid w:val="00C81F81"/>
    <w:rsid w:val="00C82526"/>
    <w:rsid w:val="00C82A11"/>
    <w:rsid w:val="00C82D2E"/>
    <w:rsid w:val="00C82D36"/>
    <w:rsid w:val="00C83E3F"/>
    <w:rsid w:val="00C859D3"/>
    <w:rsid w:val="00C868BA"/>
    <w:rsid w:val="00C91635"/>
    <w:rsid w:val="00C92436"/>
    <w:rsid w:val="00C92B3A"/>
    <w:rsid w:val="00C92C53"/>
    <w:rsid w:val="00C934F3"/>
    <w:rsid w:val="00C937B6"/>
    <w:rsid w:val="00C93BBE"/>
    <w:rsid w:val="00C94F60"/>
    <w:rsid w:val="00C955F1"/>
    <w:rsid w:val="00C95BE2"/>
    <w:rsid w:val="00C95F3D"/>
    <w:rsid w:val="00C9625D"/>
    <w:rsid w:val="00C96723"/>
    <w:rsid w:val="00C975C9"/>
    <w:rsid w:val="00C978A2"/>
    <w:rsid w:val="00CA1319"/>
    <w:rsid w:val="00CA13E9"/>
    <w:rsid w:val="00CA23EE"/>
    <w:rsid w:val="00CA56F1"/>
    <w:rsid w:val="00CA67AF"/>
    <w:rsid w:val="00CA7937"/>
    <w:rsid w:val="00CB0339"/>
    <w:rsid w:val="00CB0A82"/>
    <w:rsid w:val="00CB25E4"/>
    <w:rsid w:val="00CB297D"/>
    <w:rsid w:val="00CB5032"/>
    <w:rsid w:val="00CB5EBF"/>
    <w:rsid w:val="00CB6162"/>
    <w:rsid w:val="00CB6953"/>
    <w:rsid w:val="00CB6991"/>
    <w:rsid w:val="00CB6FBB"/>
    <w:rsid w:val="00CB7338"/>
    <w:rsid w:val="00CB7827"/>
    <w:rsid w:val="00CB7B38"/>
    <w:rsid w:val="00CC0021"/>
    <w:rsid w:val="00CC0241"/>
    <w:rsid w:val="00CC0D33"/>
    <w:rsid w:val="00CC1122"/>
    <w:rsid w:val="00CC1305"/>
    <w:rsid w:val="00CC19C9"/>
    <w:rsid w:val="00CC19EF"/>
    <w:rsid w:val="00CC1AA9"/>
    <w:rsid w:val="00CC1CC8"/>
    <w:rsid w:val="00CC2205"/>
    <w:rsid w:val="00CC25CA"/>
    <w:rsid w:val="00CC4A19"/>
    <w:rsid w:val="00CC7494"/>
    <w:rsid w:val="00CC76A7"/>
    <w:rsid w:val="00CC7ADE"/>
    <w:rsid w:val="00CD1479"/>
    <w:rsid w:val="00CD1A71"/>
    <w:rsid w:val="00CD1FBB"/>
    <w:rsid w:val="00CD22B1"/>
    <w:rsid w:val="00CD22BB"/>
    <w:rsid w:val="00CD24F8"/>
    <w:rsid w:val="00CD3958"/>
    <w:rsid w:val="00CD4A03"/>
    <w:rsid w:val="00CD50EA"/>
    <w:rsid w:val="00CD6A2A"/>
    <w:rsid w:val="00CD73A8"/>
    <w:rsid w:val="00CD7483"/>
    <w:rsid w:val="00CD7AAC"/>
    <w:rsid w:val="00CD7BFD"/>
    <w:rsid w:val="00CE0CCF"/>
    <w:rsid w:val="00CE0D43"/>
    <w:rsid w:val="00CE11C6"/>
    <w:rsid w:val="00CE2314"/>
    <w:rsid w:val="00CE2729"/>
    <w:rsid w:val="00CE2992"/>
    <w:rsid w:val="00CE2A9C"/>
    <w:rsid w:val="00CE2ADC"/>
    <w:rsid w:val="00CE3592"/>
    <w:rsid w:val="00CE4AD5"/>
    <w:rsid w:val="00CE4FEA"/>
    <w:rsid w:val="00CE5267"/>
    <w:rsid w:val="00CE596D"/>
    <w:rsid w:val="00CE5AFE"/>
    <w:rsid w:val="00CE5E01"/>
    <w:rsid w:val="00CE6304"/>
    <w:rsid w:val="00CE6720"/>
    <w:rsid w:val="00CE72C9"/>
    <w:rsid w:val="00CE7888"/>
    <w:rsid w:val="00CF0215"/>
    <w:rsid w:val="00CF1AC4"/>
    <w:rsid w:val="00CF3442"/>
    <w:rsid w:val="00CF41E3"/>
    <w:rsid w:val="00CF4D31"/>
    <w:rsid w:val="00CF533B"/>
    <w:rsid w:val="00CF5F39"/>
    <w:rsid w:val="00CF6E23"/>
    <w:rsid w:val="00CF73CB"/>
    <w:rsid w:val="00D01583"/>
    <w:rsid w:val="00D016B5"/>
    <w:rsid w:val="00D01938"/>
    <w:rsid w:val="00D01D8C"/>
    <w:rsid w:val="00D02996"/>
    <w:rsid w:val="00D034F1"/>
    <w:rsid w:val="00D0407A"/>
    <w:rsid w:val="00D04F54"/>
    <w:rsid w:val="00D052FC"/>
    <w:rsid w:val="00D058FA"/>
    <w:rsid w:val="00D05FA1"/>
    <w:rsid w:val="00D1090E"/>
    <w:rsid w:val="00D11F5F"/>
    <w:rsid w:val="00D12F7D"/>
    <w:rsid w:val="00D13357"/>
    <w:rsid w:val="00D137C3"/>
    <w:rsid w:val="00D142D7"/>
    <w:rsid w:val="00D1497B"/>
    <w:rsid w:val="00D14FF2"/>
    <w:rsid w:val="00D15123"/>
    <w:rsid w:val="00D1550C"/>
    <w:rsid w:val="00D16155"/>
    <w:rsid w:val="00D1627C"/>
    <w:rsid w:val="00D168E4"/>
    <w:rsid w:val="00D16D19"/>
    <w:rsid w:val="00D17B52"/>
    <w:rsid w:val="00D21B7B"/>
    <w:rsid w:val="00D21C77"/>
    <w:rsid w:val="00D21CAC"/>
    <w:rsid w:val="00D21DE8"/>
    <w:rsid w:val="00D22639"/>
    <w:rsid w:val="00D23035"/>
    <w:rsid w:val="00D242CB"/>
    <w:rsid w:val="00D243A5"/>
    <w:rsid w:val="00D2442D"/>
    <w:rsid w:val="00D246A5"/>
    <w:rsid w:val="00D2593F"/>
    <w:rsid w:val="00D25A3A"/>
    <w:rsid w:val="00D26F4E"/>
    <w:rsid w:val="00D2745D"/>
    <w:rsid w:val="00D27D5E"/>
    <w:rsid w:val="00D30084"/>
    <w:rsid w:val="00D30130"/>
    <w:rsid w:val="00D31481"/>
    <w:rsid w:val="00D3171D"/>
    <w:rsid w:val="00D318C9"/>
    <w:rsid w:val="00D3234F"/>
    <w:rsid w:val="00D33B25"/>
    <w:rsid w:val="00D34B79"/>
    <w:rsid w:val="00D3501D"/>
    <w:rsid w:val="00D353A6"/>
    <w:rsid w:val="00D36C56"/>
    <w:rsid w:val="00D370A8"/>
    <w:rsid w:val="00D37276"/>
    <w:rsid w:val="00D37B2A"/>
    <w:rsid w:val="00D405F2"/>
    <w:rsid w:val="00D415BD"/>
    <w:rsid w:val="00D42E42"/>
    <w:rsid w:val="00D43A7F"/>
    <w:rsid w:val="00D44F4B"/>
    <w:rsid w:val="00D4626F"/>
    <w:rsid w:val="00D50017"/>
    <w:rsid w:val="00D51483"/>
    <w:rsid w:val="00D51901"/>
    <w:rsid w:val="00D51939"/>
    <w:rsid w:val="00D51E2D"/>
    <w:rsid w:val="00D5205F"/>
    <w:rsid w:val="00D5217A"/>
    <w:rsid w:val="00D52403"/>
    <w:rsid w:val="00D53197"/>
    <w:rsid w:val="00D53B5E"/>
    <w:rsid w:val="00D54100"/>
    <w:rsid w:val="00D54AAA"/>
    <w:rsid w:val="00D54AD1"/>
    <w:rsid w:val="00D556DF"/>
    <w:rsid w:val="00D55C4B"/>
    <w:rsid w:val="00D56E77"/>
    <w:rsid w:val="00D5771B"/>
    <w:rsid w:val="00D6114E"/>
    <w:rsid w:val="00D61514"/>
    <w:rsid w:val="00D61587"/>
    <w:rsid w:val="00D6268A"/>
    <w:rsid w:val="00D62B13"/>
    <w:rsid w:val="00D64165"/>
    <w:rsid w:val="00D6433C"/>
    <w:rsid w:val="00D647EF"/>
    <w:rsid w:val="00D64CBA"/>
    <w:rsid w:val="00D660BF"/>
    <w:rsid w:val="00D67218"/>
    <w:rsid w:val="00D675A0"/>
    <w:rsid w:val="00D678AB"/>
    <w:rsid w:val="00D70549"/>
    <w:rsid w:val="00D707A9"/>
    <w:rsid w:val="00D70B3D"/>
    <w:rsid w:val="00D71130"/>
    <w:rsid w:val="00D71BE2"/>
    <w:rsid w:val="00D72732"/>
    <w:rsid w:val="00D72E7E"/>
    <w:rsid w:val="00D72EB9"/>
    <w:rsid w:val="00D73320"/>
    <w:rsid w:val="00D73567"/>
    <w:rsid w:val="00D739B7"/>
    <w:rsid w:val="00D74ED4"/>
    <w:rsid w:val="00D754B2"/>
    <w:rsid w:val="00D76842"/>
    <w:rsid w:val="00D77153"/>
    <w:rsid w:val="00D80329"/>
    <w:rsid w:val="00D80E1A"/>
    <w:rsid w:val="00D81959"/>
    <w:rsid w:val="00D82211"/>
    <w:rsid w:val="00D8313A"/>
    <w:rsid w:val="00D832CD"/>
    <w:rsid w:val="00D83806"/>
    <w:rsid w:val="00D839AE"/>
    <w:rsid w:val="00D84253"/>
    <w:rsid w:val="00D84311"/>
    <w:rsid w:val="00D848FA"/>
    <w:rsid w:val="00D8543E"/>
    <w:rsid w:val="00D86073"/>
    <w:rsid w:val="00D8696D"/>
    <w:rsid w:val="00D86EC9"/>
    <w:rsid w:val="00D876DC"/>
    <w:rsid w:val="00D87A53"/>
    <w:rsid w:val="00D913D7"/>
    <w:rsid w:val="00D92ACA"/>
    <w:rsid w:val="00D93AB3"/>
    <w:rsid w:val="00D93C81"/>
    <w:rsid w:val="00D93DBC"/>
    <w:rsid w:val="00D941E2"/>
    <w:rsid w:val="00D95269"/>
    <w:rsid w:val="00D95CFC"/>
    <w:rsid w:val="00D95E1E"/>
    <w:rsid w:val="00D95EB6"/>
    <w:rsid w:val="00D97A09"/>
    <w:rsid w:val="00DA0D56"/>
    <w:rsid w:val="00DA0D5D"/>
    <w:rsid w:val="00DA1E8F"/>
    <w:rsid w:val="00DA2261"/>
    <w:rsid w:val="00DA4BF3"/>
    <w:rsid w:val="00DA4FB8"/>
    <w:rsid w:val="00DA5BF2"/>
    <w:rsid w:val="00DA63CD"/>
    <w:rsid w:val="00DB12B2"/>
    <w:rsid w:val="00DB19CA"/>
    <w:rsid w:val="00DB1D7E"/>
    <w:rsid w:val="00DB1F3A"/>
    <w:rsid w:val="00DB2C29"/>
    <w:rsid w:val="00DB2F3A"/>
    <w:rsid w:val="00DB451C"/>
    <w:rsid w:val="00DB5698"/>
    <w:rsid w:val="00DB60D6"/>
    <w:rsid w:val="00DB62AD"/>
    <w:rsid w:val="00DB6AEE"/>
    <w:rsid w:val="00DB70C7"/>
    <w:rsid w:val="00DC0794"/>
    <w:rsid w:val="00DC19F7"/>
    <w:rsid w:val="00DC1F92"/>
    <w:rsid w:val="00DC215A"/>
    <w:rsid w:val="00DC279F"/>
    <w:rsid w:val="00DC2D4C"/>
    <w:rsid w:val="00DC3376"/>
    <w:rsid w:val="00DC3BF2"/>
    <w:rsid w:val="00DC3E2A"/>
    <w:rsid w:val="00DC423A"/>
    <w:rsid w:val="00DC4839"/>
    <w:rsid w:val="00DC5BEF"/>
    <w:rsid w:val="00DC6316"/>
    <w:rsid w:val="00DC7088"/>
    <w:rsid w:val="00DD0182"/>
    <w:rsid w:val="00DD20A1"/>
    <w:rsid w:val="00DD2DFE"/>
    <w:rsid w:val="00DD36A7"/>
    <w:rsid w:val="00DD3C65"/>
    <w:rsid w:val="00DD4BA6"/>
    <w:rsid w:val="00DD5237"/>
    <w:rsid w:val="00DD581C"/>
    <w:rsid w:val="00DD6EBF"/>
    <w:rsid w:val="00DD6EFF"/>
    <w:rsid w:val="00DD7BDB"/>
    <w:rsid w:val="00DE0025"/>
    <w:rsid w:val="00DE040C"/>
    <w:rsid w:val="00DE078D"/>
    <w:rsid w:val="00DE2200"/>
    <w:rsid w:val="00DE2AF1"/>
    <w:rsid w:val="00DE362F"/>
    <w:rsid w:val="00DE45AC"/>
    <w:rsid w:val="00DE4AC2"/>
    <w:rsid w:val="00DE4E11"/>
    <w:rsid w:val="00DE52C1"/>
    <w:rsid w:val="00DE58A6"/>
    <w:rsid w:val="00DE6D90"/>
    <w:rsid w:val="00DF002F"/>
    <w:rsid w:val="00DF12AE"/>
    <w:rsid w:val="00DF3330"/>
    <w:rsid w:val="00DF3971"/>
    <w:rsid w:val="00DF4661"/>
    <w:rsid w:val="00DF46E6"/>
    <w:rsid w:val="00DF57C5"/>
    <w:rsid w:val="00DF77AF"/>
    <w:rsid w:val="00E00D78"/>
    <w:rsid w:val="00E01169"/>
    <w:rsid w:val="00E02411"/>
    <w:rsid w:val="00E0244D"/>
    <w:rsid w:val="00E02D40"/>
    <w:rsid w:val="00E04CD7"/>
    <w:rsid w:val="00E066F2"/>
    <w:rsid w:val="00E0796C"/>
    <w:rsid w:val="00E11828"/>
    <w:rsid w:val="00E11C35"/>
    <w:rsid w:val="00E11F7B"/>
    <w:rsid w:val="00E1284F"/>
    <w:rsid w:val="00E12D69"/>
    <w:rsid w:val="00E13BD8"/>
    <w:rsid w:val="00E1506B"/>
    <w:rsid w:val="00E16F58"/>
    <w:rsid w:val="00E21123"/>
    <w:rsid w:val="00E2275F"/>
    <w:rsid w:val="00E23CC6"/>
    <w:rsid w:val="00E26EE6"/>
    <w:rsid w:val="00E304D5"/>
    <w:rsid w:val="00E308E4"/>
    <w:rsid w:val="00E31929"/>
    <w:rsid w:val="00E31B0D"/>
    <w:rsid w:val="00E31F92"/>
    <w:rsid w:val="00E3280A"/>
    <w:rsid w:val="00E32C83"/>
    <w:rsid w:val="00E33688"/>
    <w:rsid w:val="00E338E7"/>
    <w:rsid w:val="00E33AF6"/>
    <w:rsid w:val="00E33B20"/>
    <w:rsid w:val="00E3407D"/>
    <w:rsid w:val="00E349FD"/>
    <w:rsid w:val="00E35780"/>
    <w:rsid w:val="00E36292"/>
    <w:rsid w:val="00E365F4"/>
    <w:rsid w:val="00E36C31"/>
    <w:rsid w:val="00E3729B"/>
    <w:rsid w:val="00E37A1B"/>
    <w:rsid w:val="00E37FD8"/>
    <w:rsid w:val="00E42D0B"/>
    <w:rsid w:val="00E42E00"/>
    <w:rsid w:val="00E42FC9"/>
    <w:rsid w:val="00E43353"/>
    <w:rsid w:val="00E43B58"/>
    <w:rsid w:val="00E448FB"/>
    <w:rsid w:val="00E458AF"/>
    <w:rsid w:val="00E45D2D"/>
    <w:rsid w:val="00E46078"/>
    <w:rsid w:val="00E476E0"/>
    <w:rsid w:val="00E4778E"/>
    <w:rsid w:val="00E50613"/>
    <w:rsid w:val="00E51211"/>
    <w:rsid w:val="00E5144A"/>
    <w:rsid w:val="00E52234"/>
    <w:rsid w:val="00E52982"/>
    <w:rsid w:val="00E53A1D"/>
    <w:rsid w:val="00E5403C"/>
    <w:rsid w:val="00E54A73"/>
    <w:rsid w:val="00E56127"/>
    <w:rsid w:val="00E56D92"/>
    <w:rsid w:val="00E5768C"/>
    <w:rsid w:val="00E57E97"/>
    <w:rsid w:val="00E61331"/>
    <w:rsid w:val="00E615F3"/>
    <w:rsid w:val="00E62550"/>
    <w:rsid w:val="00E63417"/>
    <w:rsid w:val="00E66CCC"/>
    <w:rsid w:val="00E678A0"/>
    <w:rsid w:val="00E72ABD"/>
    <w:rsid w:val="00E731DC"/>
    <w:rsid w:val="00E7387E"/>
    <w:rsid w:val="00E746A0"/>
    <w:rsid w:val="00E753B7"/>
    <w:rsid w:val="00E76AA6"/>
    <w:rsid w:val="00E775EF"/>
    <w:rsid w:val="00E81034"/>
    <w:rsid w:val="00E81E94"/>
    <w:rsid w:val="00E82607"/>
    <w:rsid w:val="00E82905"/>
    <w:rsid w:val="00E8332F"/>
    <w:rsid w:val="00E8454B"/>
    <w:rsid w:val="00E84793"/>
    <w:rsid w:val="00E850B9"/>
    <w:rsid w:val="00E85B4E"/>
    <w:rsid w:val="00E90412"/>
    <w:rsid w:val="00E92CE6"/>
    <w:rsid w:val="00E94F25"/>
    <w:rsid w:val="00E95A7B"/>
    <w:rsid w:val="00E963FB"/>
    <w:rsid w:val="00E97B6A"/>
    <w:rsid w:val="00EA26E5"/>
    <w:rsid w:val="00EA3CF5"/>
    <w:rsid w:val="00EA5C18"/>
    <w:rsid w:val="00EA7298"/>
    <w:rsid w:val="00EA79DC"/>
    <w:rsid w:val="00EB0D3D"/>
    <w:rsid w:val="00EB1F95"/>
    <w:rsid w:val="00EB2B1A"/>
    <w:rsid w:val="00EB2B35"/>
    <w:rsid w:val="00EB3202"/>
    <w:rsid w:val="00EB40B6"/>
    <w:rsid w:val="00EB4563"/>
    <w:rsid w:val="00EB4E4A"/>
    <w:rsid w:val="00EB7979"/>
    <w:rsid w:val="00EB7E90"/>
    <w:rsid w:val="00EC080B"/>
    <w:rsid w:val="00EC15FC"/>
    <w:rsid w:val="00EC18BB"/>
    <w:rsid w:val="00EC1F93"/>
    <w:rsid w:val="00EC23B2"/>
    <w:rsid w:val="00EC4BD0"/>
    <w:rsid w:val="00EC58CC"/>
    <w:rsid w:val="00EC5ABC"/>
    <w:rsid w:val="00EC5FA0"/>
    <w:rsid w:val="00EC6317"/>
    <w:rsid w:val="00EC6C0F"/>
    <w:rsid w:val="00EC6C6C"/>
    <w:rsid w:val="00ED0377"/>
    <w:rsid w:val="00ED09C5"/>
    <w:rsid w:val="00ED0DA8"/>
    <w:rsid w:val="00ED0FBD"/>
    <w:rsid w:val="00ED1822"/>
    <w:rsid w:val="00ED2D78"/>
    <w:rsid w:val="00ED2F55"/>
    <w:rsid w:val="00ED2FA4"/>
    <w:rsid w:val="00ED3A98"/>
    <w:rsid w:val="00ED4060"/>
    <w:rsid w:val="00ED4D58"/>
    <w:rsid w:val="00ED554A"/>
    <w:rsid w:val="00ED5C48"/>
    <w:rsid w:val="00ED6113"/>
    <w:rsid w:val="00ED65E8"/>
    <w:rsid w:val="00ED7265"/>
    <w:rsid w:val="00ED79A2"/>
    <w:rsid w:val="00EE028F"/>
    <w:rsid w:val="00EE1F28"/>
    <w:rsid w:val="00EE25BF"/>
    <w:rsid w:val="00EE2779"/>
    <w:rsid w:val="00EE3392"/>
    <w:rsid w:val="00EE3C6E"/>
    <w:rsid w:val="00EE47BA"/>
    <w:rsid w:val="00EE4EA6"/>
    <w:rsid w:val="00EE54A9"/>
    <w:rsid w:val="00EE5BAD"/>
    <w:rsid w:val="00EE5D1F"/>
    <w:rsid w:val="00EE73C3"/>
    <w:rsid w:val="00EE73E6"/>
    <w:rsid w:val="00EE7A27"/>
    <w:rsid w:val="00EF0896"/>
    <w:rsid w:val="00EF0D75"/>
    <w:rsid w:val="00EF0FE8"/>
    <w:rsid w:val="00EF14A7"/>
    <w:rsid w:val="00EF1691"/>
    <w:rsid w:val="00EF170C"/>
    <w:rsid w:val="00EF21DE"/>
    <w:rsid w:val="00EF2B57"/>
    <w:rsid w:val="00EF2D2F"/>
    <w:rsid w:val="00EF3B26"/>
    <w:rsid w:val="00EF3EE9"/>
    <w:rsid w:val="00EF4C10"/>
    <w:rsid w:val="00EF4EAC"/>
    <w:rsid w:val="00EF51BC"/>
    <w:rsid w:val="00EF5984"/>
    <w:rsid w:val="00EF622C"/>
    <w:rsid w:val="00EF717D"/>
    <w:rsid w:val="00EF7D53"/>
    <w:rsid w:val="00F000F3"/>
    <w:rsid w:val="00F00A59"/>
    <w:rsid w:val="00F0116C"/>
    <w:rsid w:val="00F01291"/>
    <w:rsid w:val="00F03294"/>
    <w:rsid w:val="00F04DA2"/>
    <w:rsid w:val="00F05C9B"/>
    <w:rsid w:val="00F07709"/>
    <w:rsid w:val="00F07A43"/>
    <w:rsid w:val="00F1026C"/>
    <w:rsid w:val="00F10455"/>
    <w:rsid w:val="00F155D3"/>
    <w:rsid w:val="00F1609A"/>
    <w:rsid w:val="00F16C89"/>
    <w:rsid w:val="00F179C7"/>
    <w:rsid w:val="00F2044F"/>
    <w:rsid w:val="00F21399"/>
    <w:rsid w:val="00F22103"/>
    <w:rsid w:val="00F2262D"/>
    <w:rsid w:val="00F22650"/>
    <w:rsid w:val="00F22F82"/>
    <w:rsid w:val="00F23FBC"/>
    <w:rsid w:val="00F24107"/>
    <w:rsid w:val="00F24C96"/>
    <w:rsid w:val="00F27A76"/>
    <w:rsid w:val="00F30252"/>
    <w:rsid w:val="00F30D64"/>
    <w:rsid w:val="00F30EE2"/>
    <w:rsid w:val="00F317F0"/>
    <w:rsid w:val="00F32465"/>
    <w:rsid w:val="00F33186"/>
    <w:rsid w:val="00F34F59"/>
    <w:rsid w:val="00F351CA"/>
    <w:rsid w:val="00F357F7"/>
    <w:rsid w:val="00F36AAF"/>
    <w:rsid w:val="00F36EB9"/>
    <w:rsid w:val="00F37383"/>
    <w:rsid w:val="00F4193C"/>
    <w:rsid w:val="00F41C1C"/>
    <w:rsid w:val="00F41E2A"/>
    <w:rsid w:val="00F42631"/>
    <w:rsid w:val="00F427DF"/>
    <w:rsid w:val="00F438DF"/>
    <w:rsid w:val="00F44396"/>
    <w:rsid w:val="00F444A4"/>
    <w:rsid w:val="00F4525D"/>
    <w:rsid w:val="00F478A6"/>
    <w:rsid w:val="00F52399"/>
    <w:rsid w:val="00F53060"/>
    <w:rsid w:val="00F54E32"/>
    <w:rsid w:val="00F55BCD"/>
    <w:rsid w:val="00F56318"/>
    <w:rsid w:val="00F56E9E"/>
    <w:rsid w:val="00F57C19"/>
    <w:rsid w:val="00F606B4"/>
    <w:rsid w:val="00F61030"/>
    <w:rsid w:val="00F6112B"/>
    <w:rsid w:val="00F61770"/>
    <w:rsid w:val="00F61D95"/>
    <w:rsid w:val="00F6208C"/>
    <w:rsid w:val="00F6244A"/>
    <w:rsid w:val="00F62937"/>
    <w:rsid w:val="00F62C4C"/>
    <w:rsid w:val="00F62C5A"/>
    <w:rsid w:val="00F6499F"/>
    <w:rsid w:val="00F656F0"/>
    <w:rsid w:val="00F65B5A"/>
    <w:rsid w:val="00F65BF9"/>
    <w:rsid w:val="00F65FD0"/>
    <w:rsid w:val="00F6675B"/>
    <w:rsid w:val="00F668F8"/>
    <w:rsid w:val="00F675A8"/>
    <w:rsid w:val="00F67BF8"/>
    <w:rsid w:val="00F67C0C"/>
    <w:rsid w:val="00F70561"/>
    <w:rsid w:val="00F7083C"/>
    <w:rsid w:val="00F713B9"/>
    <w:rsid w:val="00F72951"/>
    <w:rsid w:val="00F72B78"/>
    <w:rsid w:val="00F72DD0"/>
    <w:rsid w:val="00F73AD7"/>
    <w:rsid w:val="00F73BDE"/>
    <w:rsid w:val="00F73CD5"/>
    <w:rsid w:val="00F75772"/>
    <w:rsid w:val="00F81678"/>
    <w:rsid w:val="00F838F3"/>
    <w:rsid w:val="00F84E7B"/>
    <w:rsid w:val="00F86345"/>
    <w:rsid w:val="00F87225"/>
    <w:rsid w:val="00F87796"/>
    <w:rsid w:val="00F91FEF"/>
    <w:rsid w:val="00F92FAD"/>
    <w:rsid w:val="00F9454D"/>
    <w:rsid w:val="00F948F6"/>
    <w:rsid w:val="00F96085"/>
    <w:rsid w:val="00F968FB"/>
    <w:rsid w:val="00F9799E"/>
    <w:rsid w:val="00F97E95"/>
    <w:rsid w:val="00F97F4D"/>
    <w:rsid w:val="00F97F8D"/>
    <w:rsid w:val="00FA03F5"/>
    <w:rsid w:val="00FA1F02"/>
    <w:rsid w:val="00FA2DF6"/>
    <w:rsid w:val="00FA2F0A"/>
    <w:rsid w:val="00FA3BE3"/>
    <w:rsid w:val="00FA4228"/>
    <w:rsid w:val="00FA5A79"/>
    <w:rsid w:val="00FA7410"/>
    <w:rsid w:val="00FB03ED"/>
    <w:rsid w:val="00FB0667"/>
    <w:rsid w:val="00FB08D5"/>
    <w:rsid w:val="00FB0BFE"/>
    <w:rsid w:val="00FB146C"/>
    <w:rsid w:val="00FB157F"/>
    <w:rsid w:val="00FB2782"/>
    <w:rsid w:val="00FB42A3"/>
    <w:rsid w:val="00FB49A6"/>
    <w:rsid w:val="00FB4BFB"/>
    <w:rsid w:val="00FB4C51"/>
    <w:rsid w:val="00FB5AF1"/>
    <w:rsid w:val="00FB5B30"/>
    <w:rsid w:val="00FB5D10"/>
    <w:rsid w:val="00FB6573"/>
    <w:rsid w:val="00FC01B1"/>
    <w:rsid w:val="00FC03C3"/>
    <w:rsid w:val="00FC3E58"/>
    <w:rsid w:val="00FC469C"/>
    <w:rsid w:val="00FC4B83"/>
    <w:rsid w:val="00FC4B91"/>
    <w:rsid w:val="00FC50C3"/>
    <w:rsid w:val="00FC5109"/>
    <w:rsid w:val="00FC54B3"/>
    <w:rsid w:val="00FC5685"/>
    <w:rsid w:val="00FC5745"/>
    <w:rsid w:val="00FC6054"/>
    <w:rsid w:val="00FC6A06"/>
    <w:rsid w:val="00FC73CE"/>
    <w:rsid w:val="00FD1E1A"/>
    <w:rsid w:val="00FD207E"/>
    <w:rsid w:val="00FD2368"/>
    <w:rsid w:val="00FD27DE"/>
    <w:rsid w:val="00FD3B11"/>
    <w:rsid w:val="00FD4078"/>
    <w:rsid w:val="00FD6622"/>
    <w:rsid w:val="00FD6DBF"/>
    <w:rsid w:val="00FD76D6"/>
    <w:rsid w:val="00FD7DF4"/>
    <w:rsid w:val="00FE0811"/>
    <w:rsid w:val="00FE110C"/>
    <w:rsid w:val="00FE1509"/>
    <w:rsid w:val="00FE23A9"/>
    <w:rsid w:val="00FE35DF"/>
    <w:rsid w:val="00FE3D2F"/>
    <w:rsid w:val="00FE4C2E"/>
    <w:rsid w:val="00FE650F"/>
    <w:rsid w:val="00FE7919"/>
    <w:rsid w:val="00FF07B1"/>
    <w:rsid w:val="00FF0C26"/>
    <w:rsid w:val="00FF1DBD"/>
    <w:rsid w:val="00FF3449"/>
    <w:rsid w:val="00FF354F"/>
    <w:rsid w:val="00FF4865"/>
    <w:rsid w:val="00FF53FF"/>
    <w:rsid w:val="00FF5DC1"/>
    <w:rsid w:val="00FF607F"/>
    <w:rsid w:val="00FF6B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478222BC"/>
  <w15:docId w15:val="{1A6FDBA2-17AD-42E6-BD75-F0D4CA62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671"/>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08167F"/>
    <w:pPr>
      <w:spacing w:after="0" w:line="240" w:lineRule="auto"/>
      <w:ind w:right="0"/>
      <w:jc w:val="left"/>
      <w:outlineLvl w:val="0"/>
    </w:pPr>
  </w:style>
  <w:style w:type="paragraph" w:styleId="Heading2">
    <w:name w:val="heading 2"/>
    <w:basedOn w:val="Normal"/>
    <w:next w:val="Normal"/>
    <w:link w:val="Heading2Char"/>
    <w:semiHidden/>
    <w:qFormat/>
    <w:rsid w:val="0008167F"/>
    <w:pPr>
      <w:spacing w:line="240" w:lineRule="auto"/>
      <w:outlineLvl w:val="1"/>
    </w:pPr>
  </w:style>
  <w:style w:type="paragraph" w:styleId="Heading3">
    <w:name w:val="heading 3"/>
    <w:basedOn w:val="Normal"/>
    <w:next w:val="Normal"/>
    <w:link w:val="Heading3Char"/>
    <w:uiPriority w:val="9"/>
    <w:semiHidden/>
    <w:qFormat/>
    <w:rsid w:val="0008167F"/>
    <w:pPr>
      <w:spacing w:line="240" w:lineRule="auto"/>
      <w:outlineLvl w:val="2"/>
    </w:pPr>
  </w:style>
  <w:style w:type="paragraph" w:styleId="Heading4">
    <w:name w:val="heading 4"/>
    <w:basedOn w:val="Normal"/>
    <w:next w:val="Normal"/>
    <w:link w:val="Heading4Char"/>
    <w:semiHidden/>
    <w:qFormat/>
    <w:rsid w:val="0008167F"/>
    <w:pPr>
      <w:spacing w:line="240" w:lineRule="auto"/>
      <w:outlineLvl w:val="3"/>
    </w:pPr>
  </w:style>
  <w:style w:type="paragraph" w:styleId="Heading5">
    <w:name w:val="heading 5"/>
    <w:basedOn w:val="Normal"/>
    <w:next w:val="Normal"/>
    <w:link w:val="Heading5Char"/>
    <w:uiPriority w:val="9"/>
    <w:qFormat/>
    <w:rsid w:val="0008167F"/>
    <w:pPr>
      <w:spacing w:line="240" w:lineRule="auto"/>
      <w:outlineLvl w:val="4"/>
    </w:pPr>
  </w:style>
  <w:style w:type="paragraph" w:styleId="Heading6">
    <w:name w:val="heading 6"/>
    <w:basedOn w:val="Normal"/>
    <w:next w:val="Normal"/>
    <w:link w:val="Heading6Char"/>
    <w:semiHidden/>
    <w:qFormat/>
    <w:rsid w:val="0008167F"/>
    <w:pPr>
      <w:spacing w:line="240" w:lineRule="auto"/>
      <w:outlineLvl w:val="5"/>
    </w:pPr>
  </w:style>
  <w:style w:type="paragraph" w:styleId="Heading7">
    <w:name w:val="heading 7"/>
    <w:basedOn w:val="Normal"/>
    <w:next w:val="Normal"/>
    <w:link w:val="Heading7Char"/>
    <w:semiHidden/>
    <w:qFormat/>
    <w:rsid w:val="0008167F"/>
    <w:pPr>
      <w:spacing w:line="240" w:lineRule="auto"/>
      <w:outlineLvl w:val="6"/>
    </w:pPr>
  </w:style>
  <w:style w:type="paragraph" w:styleId="Heading8">
    <w:name w:val="heading 8"/>
    <w:basedOn w:val="Normal"/>
    <w:next w:val="Normal"/>
    <w:link w:val="Heading8Char"/>
    <w:semiHidden/>
    <w:qFormat/>
    <w:rsid w:val="0008167F"/>
    <w:pPr>
      <w:spacing w:line="240" w:lineRule="auto"/>
      <w:outlineLvl w:val="7"/>
    </w:pPr>
  </w:style>
  <w:style w:type="paragraph" w:styleId="Heading9">
    <w:name w:val="heading 9"/>
    <w:basedOn w:val="Normal"/>
    <w:next w:val="Normal"/>
    <w:link w:val="Heading9Char"/>
    <w:semiHidden/>
    <w:qFormat/>
    <w:rsid w:val="0008167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794671"/>
    <w:pPr>
      <w:spacing w:after="120"/>
      <w:ind w:left="1134" w:right="1134"/>
      <w:jc w:val="both"/>
    </w:pPr>
  </w:style>
  <w:style w:type="character" w:customStyle="1" w:styleId="SingleTxtGChar">
    <w:name w:val="_ Single Txt_G Char"/>
    <w:link w:val="SingleTxtG"/>
    <w:locked/>
    <w:rsid w:val="003E4FD2"/>
    <w:rPr>
      <w:lang w:val="fr-CH" w:eastAsia="en-US"/>
    </w:rPr>
  </w:style>
  <w:style w:type="character" w:customStyle="1" w:styleId="Heading3Char">
    <w:name w:val="Heading 3 Char"/>
    <w:basedOn w:val="DefaultParagraphFont"/>
    <w:link w:val="Heading3"/>
    <w:uiPriority w:val="9"/>
    <w:semiHidden/>
    <w:rsid w:val="00B61A9C"/>
    <w:rPr>
      <w:lang w:val="en-GB" w:eastAsia="en-US"/>
    </w:rPr>
  </w:style>
  <w:style w:type="character" w:customStyle="1" w:styleId="Heading5Char">
    <w:name w:val="Heading 5 Char"/>
    <w:basedOn w:val="DefaultParagraphFont"/>
    <w:link w:val="Heading5"/>
    <w:uiPriority w:val="9"/>
    <w:rsid w:val="00B61A9C"/>
    <w:rPr>
      <w:lang w:val="en-GB" w:eastAsia="en-US"/>
    </w:rPr>
  </w:style>
  <w:style w:type="paragraph" w:customStyle="1" w:styleId="HMG">
    <w:name w:val="_ H __M_G"/>
    <w:basedOn w:val="Normal"/>
    <w:next w:val="Normal"/>
    <w:qFormat/>
    <w:rsid w:val="00794671"/>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794671"/>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08167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794671"/>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794671"/>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794671"/>
    <w:pPr>
      <w:keepNext/>
      <w:keepLines/>
      <w:tabs>
        <w:tab w:val="right" w:pos="851"/>
      </w:tabs>
      <w:spacing w:before="240" w:after="120" w:line="240" w:lineRule="exact"/>
      <w:ind w:left="1134" w:right="1134" w:hanging="1134"/>
    </w:pPr>
  </w:style>
  <w:style w:type="paragraph" w:customStyle="1" w:styleId="SLG">
    <w:name w:val="__S_L_G"/>
    <w:basedOn w:val="Normal"/>
    <w:next w:val="Normal"/>
    <w:rsid w:val="00794671"/>
    <w:pPr>
      <w:keepNext/>
      <w:keepLines/>
      <w:spacing w:before="240" w:after="240" w:line="580" w:lineRule="exact"/>
      <w:ind w:left="1134" w:right="1134"/>
    </w:pPr>
    <w:rPr>
      <w:b/>
      <w:sz w:val="56"/>
    </w:rPr>
  </w:style>
  <w:style w:type="paragraph" w:customStyle="1" w:styleId="SMG">
    <w:name w:val="__S_M_G"/>
    <w:basedOn w:val="Normal"/>
    <w:next w:val="Normal"/>
    <w:rsid w:val="00794671"/>
    <w:pPr>
      <w:keepNext/>
      <w:keepLines/>
      <w:spacing w:before="240" w:after="240" w:line="420" w:lineRule="exact"/>
      <w:ind w:left="1134" w:right="1134"/>
    </w:pPr>
    <w:rPr>
      <w:b/>
      <w:sz w:val="40"/>
    </w:rPr>
  </w:style>
  <w:style w:type="paragraph" w:customStyle="1" w:styleId="SSG">
    <w:name w:val="__S_S_G"/>
    <w:basedOn w:val="Normal"/>
    <w:next w:val="Normal"/>
    <w:rsid w:val="00794671"/>
    <w:pPr>
      <w:keepNext/>
      <w:keepLines/>
      <w:spacing w:before="240" w:after="240" w:line="300" w:lineRule="exact"/>
      <w:ind w:left="1134" w:right="1134"/>
    </w:pPr>
    <w:rPr>
      <w:b/>
      <w:sz w:val="28"/>
    </w:rPr>
  </w:style>
  <w:style w:type="paragraph" w:customStyle="1" w:styleId="XLargeG">
    <w:name w:val="__XLarge_G"/>
    <w:basedOn w:val="Normal"/>
    <w:next w:val="Normal"/>
    <w:rsid w:val="00794671"/>
    <w:pPr>
      <w:keepNext/>
      <w:keepLines/>
      <w:spacing w:before="240" w:after="240" w:line="420" w:lineRule="exact"/>
      <w:ind w:left="1134" w:right="1134"/>
    </w:pPr>
    <w:rPr>
      <w:b/>
      <w:sz w:val="40"/>
    </w:rPr>
  </w:style>
  <w:style w:type="paragraph" w:customStyle="1" w:styleId="Bullet1G">
    <w:name w:val="_Bullet 1_G"/>
    <w:basedOn w:val="Normal"/>
    <w:qFormat/>
    <w:rsid w:val="00794671"/>
    <w:pPr>
      <w:numPr>
        <w:numId w:val="22"/>
      </w:numPr>
      <w:spacing w:after="120"/>
      <w:ind w:right="1134"/>
      <w:jc w:val="both"/>
    </w:pPr>
  </w:style>
  <w:style w:type="paragraph" w:customStyle="1" w:styleId="Bullet2G">
    <w:name w:val="_Bullet 2_G"/>
    <w:basedOn w:val="Normal"/>
    <w:qFormat/>
    <w:rsid w:val="00794671"/>
    <w:pPr>
      <w:numPr>
        <w:numId w:val="23"/>
      </w:numPr>
      <w:spacing w:after="120"/>
      <w:ind w:right="1134"/>
      <w:jc w:val="both"/>
    </w:pPr>
  </w:style>
  <w:style w:type="character" w:styleId="FootnoteReference">
    <w:name w:val="footnote reference"/>
    <w:aliases w:val="4_G,4_G Char Char,ftref,Знак сноски 1,16 Point,Superscript 6 Point,Car Car Char Car Char Car Car Char Car Char Char,Car Car Car Car Car Car Car Car Char Car Car Char Car Car Car Char Car Char Char Char,BVI fnr,Ref,de nota al pie"/>
    <w:basedOn w:val="DefaultParagraphFont"/>
    <w:uiPriority w:val="99"/>
    <w:qFormat/>
    <w:rsid w:val="0008167F"/>
    <w:rPr>
      <w:rFonts w:ascii="Times New Roman" w:hAnsi="Times New Roman"/>
      <w:sz w:val="18"/>
      <w:vertAlign w:val="superscript"/>
    </w:rPr>
  </w:style>
  <w:style w:type="character" w:styleId="EndnoteReference">
    <w:name w:val="endnote reference"/>
    <w:aliases w:val="1_G"/>
    <w:basedOn w:val="FootnoteReference"/>
    <w:uiPriority w:val="99"/>
    <w:qFormat/>
    <w:rsid w:val="00794671"/>
    <w:rPr>
      <w:rFonts w:ascii="Times New Roman" w:hAnsi="Times New Roman"/>
      <w:sz w:val="18"/>
      <w:vertAlign w:val="superscript"/>
      <w:lang w:val="fr-CH"/>
    </w:rPr>
  </w:style>
  <w:style w:type="paragraph" w:styleId="Header">
    <w:name w:val="header"/>
    <w:aliases w:val="6_G"/>
    <w:basedOn w:val="Normal"/>
    <w:link w:val="HeaderChar"/>
    <w:uiPriority w:val="99"/>
    <w:rsid w:val="0008167F"/>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B61A9C"/>
    <w:rPr>
      <w:b/>
      <w:sz w:val="18"/>
      <w:lang w:val="en-GB" w:eastAsia="en-US"/>
    </w:rPr>
  </w:style>
  <w:style w:type="paragraph" w:styleId="FootnoteText">
    <w:name w:val="footnote text"/>
    <w:aliases w:val="5_G,fn,ALTS FOOTNOTE,single space,Footnote Text Quote,FOOTNOTES,Note de bas de page2,Note de bas de page Car Car Car,Note de bas de page Car Car,Note de bas de page Car Car Car2,Char,ft,AD,12pt,Footnote Text Char2 Cha"/>
    <w:basedOn w:val="Normal"/>
    <w:link w:val="FootnoteTextChar"/>
    <w:uiPriority w:val="99"/>
    <w:qFormat/>
    <w:rsid w:val="0008167F"/>
    <w:pPr>
      <w:tabs>
        <w:tab w:val="right" w:pos="1021"/>
      </w:tabs>
      <w:spacing w:line="220" w:lineRule="exact"/>
      <w:ind w:left="1134" w:right="1134" w:hanging="1134"/>
    </w:pPr>
    <w:rPr>
      <w:sz w:val="18"/>
    </w:rPr>
  </w:style>
  <w:style w:type="character" w:customStyle="1" w:styleId="FootnoteTextChar">
    <w:name w:val="Footnote Text Char"/>
    <w:aliases w:val="5_G Char,fn Char,ALTS FOOTNOTE Char,single space Char,Footnote Text Quote Char,FOOTNOTES Char,Note de bas de page2 Char,Note de bas de page Car Car Car Char,Note de bas de page Car Car Char,Note de bas de page Car Car Car2 Char"/>
    <w:basedOn w:val="DefaultParagraphFont"/>
    <w:link w:val="FootnoteText"/>
    <w:uiPriority w:val="99"/>
    <w:rsid w:val="00C868BA"/>
    <w:rPr>
      <w:sz w:val="18"/>
      <w:lang w:val="en-GB" w:eastAsia="en-US"/>
    </w:rPr>
  </w:style>
  <w:style w:type="paragraph" w:styleId="EndnoteText">
    <w:name w:val="endnote text"/>
    <w:aliases w:val="2_G"/>
    <w:basedOn w:val="FootnoteText"/>
    <w:link w:val="EndnoteTextChar"/>
    <w:uiPriority w:val="99"/>
    <w:qFormat/>
    <w:rsid w:val="0008167F"/>
  </w:style>
  <w:style w:type="character" w:customStyle="1" w:styleId="EndnoteTextChar">
    <w:name w:val="Endnote Text Char"/>
    <w:aliases w:val="2_G Char"/>
    <w:basedOn w:val="DefaultParagraphFont"/>
    <w:link w:val="EndnoteText"/>
    <w:uiPriority w:val="99"/>
    <w:rsid w:val="00B61A9C"/>
    <w:rPr>
      <w:sz w:val="18"/>
      <w:lang w:val="en-GB" w:eastAsia="en-US"/>
    </w:rPr>
  </w:style>
  <w:style w:type="character" w:styleId="PageNumber">
    <w:name w:val="page number"/>
    <w:aliases w:val="7_G"/>
    <w:basedOn w:val="DefaultParagraphFont"/>
    <w:qFormat/>
    <w:rsid w:val="0008167F"/>
    <w:rPr>
      <w:rFonts w:ascii="Times New Roman" w:hAnsi="Times New Roman"/>
      <w:b/>
      <w:sz w:val="18"/>
    </w:rPr>
  </w:style>
  <w:style w:type="paragraph" w:styleId="Footer">
    <w:name w:val="footer"/>
    <w:aliases w:val="3_G"/>
    <w:basedOn w:val="Normal"/>
    <w:link w:val="FooterChar"/>
    <w:uiPriority w:val="99"/>
    <w:qFormat/>
    <w:rsid w:val="0008167F"/>
    <w:pPr>
      <w:spacing w:line="240" w:lineRule="auto"/>
    </w:pPr>
    <w:rPr>
      <w:sz w:val="16"/>
    </w:rPr>
  </w:style>
  <w:style w:type="character" w:customStyle="1" w:styleId="FooterChar">
    <w:name w:val="Footer Char"/>
    <w:aliases w:val="3_G Char"/>
    <w:basedOn w:val="DefaultParagraphFont"/>
    <w:link w:val="Footer"/>
    <w:uiPriority w:val="99"/>
    <w:rsid w:val="00B61A9C"/>
    <w:rPr>
      <w:sz w:val="16"/>
      <w:lang w:val="en-GB" w:eastAsia="en-US"/>
    </w:rPr>
  </w:style>
  <w:style w:type="character" w:styleId="Hyperlink">
    <w:name w:val="Hyperlink"/>
    <w:basedOn w:val="DefaultParagraphFont"/>
    <w:uiPriority w:val="99"/>
    <w:rsid w:val="0008167F"/>
    <w:rPr>
      <w:color w:val="auto"/>
      <w:u w:val="none"/>
    </w:rPr>
  </w:style>
  <w:style w:type="character" w:styleId="FollowedHyperlink">
    <w:name w:val="FollowedHyperlink"/>
    <w:basedOn w:val="DefaultParagraphFont"/>
    <w:uiPriority w:val="99"/>
    <w:semiHidden/>
    <w:rsid w:val="0008167F"/>
    <w:rPr>
      <w:color w:val="auto"/>
      <w:u w:val="none"/>
    </w:rPr>
  </w:style>
  <w:style w:type="table" w:styleId="TableGrid">
    <w:name w:val="Table Grid"/>
    <w:basedOn w:val="TableNormal"/>
    <w:rsid w:val="0008167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uiPriority w:val="99"/>
    <w:semiHidden/>
    <w:rsid w:val="006717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7FE"/>
    <w:rPr>
      <w:rFonts w:ascii="Tahoma" w:hAnsi="Tahoma" w:cs="Tahoma"/>
      <w:sz w:val="16"/>
      <w:szCs w:val="16"/>
      <w:lang w:val="fr-CH" w:eastAsia="en-US"/>
    </w:rPr>
  </w:style>
  <w:style w:type="paragraph" w:customStyle="1" w:styleId="ParNoG">
    <w:name w:val="_ParNo_G"/>
    <w:basedOn w:val="SingleTxtG"/>
    <w:qFormat/>
    <w:rsid w:val="007245EE"/>
    <w:pPr>
      <w:numPr>
        <w:numId w:val="24"/>
      </w:numPr>
      <w:kinsoku w:val="0"/>
      <w:overflowPunct w:val="0"/>
      <w:autoSpaceDE w:val="0"/>
      <w:autoSpaceDN w:val="0"/>
      <w:adjustRightInd w:val="0"/>
      <w:snapToGrid w:val="0"/>
    </w:pPr>
  </w:style>
  <w:style w:type="paragraph" w:styleId="ListParagraph">
    <w:name w:val="List Paragraph"/>
    <w:basedOn w:val="Normal"/>
    <w:uiPriority w:val="34"/>
    <w:qFormat/>
    <w:rsid w:val="006A0BF8"/>
    <w:pPr>
      <w:ind w:left="720"/>
      <w:contextualSpacing/>
    </w:pPr>
  </w:style>
  <w:style w:type="paragraph" w:styleId="CommentText">
    <w:name w:val="annotation text"/>
    <w:basedOn w:val="Normal"/>
    <w:link w:val="CommentTextChar"/>
    <w:uiPriority w:val="99"/>
    <w:unhideWhenUsed/>
    <w:rsid w:val="00F87796"/>
    <w:pPr>
      <w:spacing w:line="240" w:lineRule="auto"/>
    </w:pPr>
  </w:style>
  <w:style w:type="character" w:customStyle="1" w:styleId="CommentTextChar">
    <w:name w:val="Comment Text Char"/>
    <w:basedOn w:val="DefaultParagraphFont"/>
    <w:link w:val="CommentText"/>
    <w:uiPriority w:val="99"/>
    <w:rsid w:val="00F87796"/>
    <w:rPr>
      <w:lang w:eastAsia="en-US"/>
    </w:rPr>
  </w:style>
  <w:style w:type="character" w:customStyle="1" w:styleId="A7">
    <w:name w:val="A7"/>
    <w:uiPriority w:val="99"/>
    <w:rsid w:val="00B61A9C"/>
    <w:rPr>
      <w:color w:val="000000"/>
      <w:sz w:val="16"/>
      <w:szCs w:val="16"/>
    </w:rPr>
  </w:style>
  <w:style w:type="character" w:customStyle="1" w:styleId="CommentSubjectChar">
    <w:name w:val="Comment Subject Char"/>
    <w:basedOn w:val="CommentTextChar"/>
    <w:link w:val="CommentSubject"/>
    <w:uiPriority w:val="99"/>
    <w:semiHidden/>
    <w:rsid w:val="00B61A9C"/>
    <w:rPr>
      <w:b/>
      <w:bCs/>
      <w:lang w:eastAsia="en-US"/>
    </w:rPr>
  </w:style>
  <w:style w:type="paragraph" w:styleId="CommentSubject">
    <w:name w:val="annotation subject"/>
    <w:basedOn w:val="CommentText"/>
    <w:next w:val="CommentText"/>
    <w:link w:val="CommentSubjectChar"/>
    <w:uiPriority w:val="99"/>
    <w:semiHidden/>
    <w:unhideWhenUsed/>
    <w:rsid w:val="00B61A9C"/>
    <w:rPr>
      <w:b/>
      <w:bCs/>
    </w:rPr>
  </w:style>
  <w:style w:type="character" w:styleId="Emphasis">
    <w:name w:val="Emphasis"/>
    <w:basedOn w:val="DefaultParagraphFont"/>
    <w:uiPriority w:val="20"/>
    <w:qFormat/>
    <w:rsid w:val="00B61A9C"/>
    <w:rPr>
      <w:b/>
      <w:bCs/>
      <w:i w:val="0"/>
      <w:iCs w:val="0"/>
    </w:rPr>
  </w:style>
  <w:style w:type="character" w:styleId="Strong">
    <w:name w:val="Strong"/>
    <w:basedOn w:val="DefaultParagraphFont"/>
    <w:uiPriority w:val="22"/>
    <w:qFormat/>
    <w:rsid w:val="00B61A9C"/>
    <w:rPr>
      <w:b/>
      <w:bCs/>
    </w:rPr>
  </w:style>
  <w:style w:type="paragraph" w:customStyle="1" w:styleId="Default">
    <w:name w:val="Default"/>
    <w:rsid w:val="00B61A9C"/>
    <w:pPr>
      <w:autoSpaceDE w:val="0"/>
      <w:autoSpaceDN w:val="0"/>
      <w:adjustRightInd w:val="0"/>
    </w:pPr>
    <w:rPr>
      <w:rFonts w:ascii="Calibri" w:eastAsia="SimSun" w:hAnsi="Calibri" w:cs="Calibri"/>
      <w:color w:val="000000"/>
      <w:sz w:val="24"/>
      <w:szCs w:val="24"/>
      <w:lang w:val="fr-CH" w:eastAsia="en-US"/>
    </w:rPr>
  </w:style>
  <w:style w:type="character" w:customStyle="1" w:styleId="citecrochet1">
    <w:name w:val="cite_crochet1"/>
    <w:basedOn w:val="DefaultParagraphFont"/>
    <w:rsid w:val="00B61A9C"/>
    <w:rPr>
      <w:vanish/>
      <w:webHidden w:val="0"/>
      <w:specVanish w:val="0"/>
    </w:rPr>
  </w:style>
  <w:style w:type="character" w:styleId="CommentReference">
    <w:name w:val="annotation reference"/>
    <w:basedOn w:val="DefaultParagraphFont"/>
    <w:uiPriority w:val="99"/>
    <w:semiHidden/>
    <w:unhideWhenUsed/>
    <w:rsid w:val="000533BD"/>
    <w:rPr>
      <w:sz w:val="16"/>
      <w:szCs w:val="16"/>
    </w:rPr>
  </w:style>
  <w:style w:type="character" w:customStyle="1" w:styleId="Heading1Char">
    <w:name w:val="Heading 1 Char"/>
    <w:aliases w:val="Table_G Char"/>
    <w:basedOn w:val="DefaultParagraphFont"/>
    <w:link w:val="Heading1"/>
    <w:rsid w:val="00EC58CC"/>
    <w:rPr>
      <w:lang w:eastAsia="en-US"/>
    </w:rPr>
  </w:style>
  <w:style w:type="character" w:customStyle="1" w:styleId="Heading2Char">
    <w:name w:val="Heading 2 Char"/>
    <w:basedOn w:val="DefaultParagraphFont"/>
    <w:link w:val="Heading2"/>
    <w:semiHidden/>
    <w:rsid w:val="00EC58CC"/>
    <w:rPr>
      <w:lang w:val="en-GB" w:eastAsia="en-US"/>
    </w:rPr>
  </w:style>
  <w:style w:type="character" w:customStyle="1" w:styleId="Heading4Char">
    <w:name w:val="Heading 4 Char"/>
    <w:basedOn w:val="DefaultParagraphFont"/>
    <w:link w:val="Heading4"/>
    <w:semiHidden/>
    <w:rsid w:val="00EC58CC"/>
    <w:rPr>
      <w:lang w:val="en-GB" w:eastAsia="en-US"/>
    </w:rPr>
  </w:style>
  <w:style w:type="character" w:customStyle="1" w:styleId="Heading6Char">
    <w:name w:val="Heading 6 Char"/>
    <w:basedOn w:val="DefaultParagraphFont"/>
    <w:link w:val="Heading6"/>
    <w:semiHidden/>
    <w:rsid w:val="00EC58CC"/>
    <w:rPr>
      <w:lang w:val="en-GB" w:eastAsia="en-US"/>
    </w:rPr>
  </w:style>
  <w:style w:type="character" w:customStyle="1" w:styleId="Heading7Char">
    <w:name w:val="Heading 7 Char"/>
    <w:basedOn w:val="DefaultParagraphFont"/>
    <w:link w:val="Heading7"/>
    <w:semiHidden/>
    <w:rsid w:val="00EC58CC"/>
    <w:rPr>
      <w:lang w:val="en-GB" w:eastAsia="en-US"/>
    </w:rPr>
  </w:style>
  <w:style w:type="character" w:customStyle="1" w:styleId="Heading8Char">
    <w:name w:val="Heading 8 Char"/>
    <w:basedOn w:val="DefaultParagraphFont"/>
    <w:link w:val="Heading8"/>
    <w:semiHidden/>
    <w:rsid w:val="00EC58CC"/>
    <w:rPr>
      <w:lang w:val="en-GB" w:eastAsia="en-US"/>
    </w:rPr>
  </w:style>
  <w:style w:type="character" w:customStyle="1" w:styleId="Heading9Char">
    <w:name w:val="Heading 9 Char"/>
    <w:basedOn w:val="DefaultParagraphFont"/>
    <w:link w:val="Heading9"/>
    <w:semiHidden/>
    <w:rsid w:val="00EC58CC"/>
    <w:rPr>
      <w:lang w:val="en-GB" w:eastAsia="en-US"/>
    </w:rPr>
  </w:style>
  <w:style w:type="character" w:customStyle="1" w:styleId="CommentSubjectChar1">
    <w:name w:val="Comment Subject Char1"/>
    <w:basedOn w:val="CommentTextChar"/>
    <w:uiPriority w:val="99"/>
    <w:semiHidden/>
    <w:rsid w:val="00EC58CC"/>
    <w:rPr>
      <w:b/>
      <w:bCs/>
      <w:lang w:eastAsia="en-US"/>
    </w:rPr>
  </w:style>
  <w:style w:type="paragraph" w:styleId="Revision">
    <w:name w:val="Revision"/>
    <w:hidden/>
    <w:uiPriority w:val="99"/>
    <w:semiHidden/>
    <w:rsid w:val="00EC58C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337418">
      <w:bodyDiv w:val="1"/>
      <w:marLeft w:val="0"/>
      <w:marRight w:val="0"/>
      <w:marTop w:val="0"/>
      <w:marBottom w:val="0"/>
      <w:divBdr>
        <w:top w:val="none" w:sz="0" w:space="0" w:color="auto"/>
        <w:left w:val="none" w:sz="0" w:space="0" w:color="auto"/>
        <w:bottom w:val="none" w:sz="0" w:space="0" w:color="auto"/>
        <w:right w:val="none" w:sz="0" w:space="0" w:color="auto"/>
      </w:divBdr>
    </w:div>
    <w:div w:id="699860108">
      <w:bodyDiv w:val="1"/>
      <w:marLeft w:val="0"/>
      <w:marRight w:val="0"/>
      <w:marTop w:val="0"/>
      <w:marBottom w:val="0"/>
      <w:divBdr>
        <w:top w:val="none" w:sz="0" w:space="0" w:color="auto"/>
        <w:left w:val="none" w:sz="0" w:space="0" w:color="auto"/>
        <w:bottom w:val="none" w:sz="0" w:space="0" w:color="auto"/>
        <w:right w:val="none" w:sz="0" w:space="0" w:color="auto"/>
      </w:divBdr>
      <w:divsChild>
        <w:div w:id="661591690">
          <w:marLeft w:val="0"/>
          <w:marRight w:val="0"/>
          <w:marTop w:val="0"/>
          <w:marBottom w:val="0"/>
          <w:divBdr>
            <w:top w:val="none" w:sz="0" w:space="0" w:color="auto"/>
            <w:left w:val="none" w:sz="0" w:space="0" w:color="auto"/>
            <w:bottom w:val="none" w:sz="0" w:space="0" w:color="auto"/>
            <w:right w:val="none" w:sz="0" w:space="0" w:color="auto"/>
          </w:divBdr>
        </w:div>
      </w:divsChild>
    </w:div>
    <w:div w:id="72295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6" Type="http://schemas.openxmlformats.org/officeDocument/2006/relationships/hyperlink" Target="http://www.en.igihe.com/politics-48/rights-groups-allied-to-burundi-government-no.html" TargetMode="External"/><Relationship Id="rId117" Type="http://schemas.openxmlformats.org/officeDocument/2006/relationships/hyperlink" Target="https://twitter.com/sinrenovat/status/1163048145288355843" TargetMode="External"/><Relationship Id="rId21" Type="http://schemas.openxmlformats.org/officeDocument/2006/relationships/hyperlink" Target="http://www.rtnb.bi/fr/art.php?idapi=3/2/147" TargetMode="External"/><Relationship Id="rId42" Type="http://schemas.openxmlformats.org/officeDocument/2006/relationships/hyperlink" Target="http://www.rtnb.bi/fr/art.php?idapi=3/1/215" TargetMode="External"/><Relationship Id="rId47" Type="http://schemas.openxmlformats.org/officeDocument/2006/relationships/hyperlink" Target="https://news.adventist.org/en/all-news/news/go/2019-05-13/appeal-from-seventh-day-adventist-world-church-president-for-urgent-prayer/" TargetMode="External"/><Relationship Id="rId63" Type="http://schemas.openxmlformats.org/officeDocument/2006/relationships/hyperlink" Target="http://www.rtnb.bi/fr/art.php?idapi=3/1/54" TargetMode="External"/><Relationship Id="rId68" Type="http://schemas.openxmlformats.org/officeDocument/2006/relationships/hyperlink" Target="http://www.rtnb.bi/fr/art.php?idapi=3/1/215" TargetMode="External"/><Relationship Id="rId84" Type="http://schemas.openxmlformats.org/officeDocument/2006/relationships/hyperlink" Target="https://twitter.com/OmbudsmanBI/status/1162806191912837120" TargetMode="External"/><Relationship Id="rId89" Type="http://schemas.openxmlformats.org/officeDocument/2006/relationships/hyperlink" Target="https://twitter.com/OmbudsmanBI/status/1114157070302044161" TargetMode="External"/><Relationship Id="rId112" Type="http://schemas.openxmlformats.org/officeDocument/2006/relationships/hyperlink" Target="https://twitter.com/CnddFddYouthBuj/status/1163343764095733761" TargetMode="External"/><Relationship Id="rId133" Type="http://schemas.openxmlformats.org/officeDocument/2006/relationships/hyperlink" Target="https://twitter.com/RTNBurundi/status/1165217661531426816" TargetMode="External"/><Relationship Id="rId138" Type="http://schemas.openxmlformats.org/officeDocument/2006/relationships/hyperlink" Target="https://twitter.com/OmbudsmanBI/status/1094513397012533250" TargetMode="External"/><Relationship Id="rId154" Type="http://schemas.openxmlformats.org/officeDocument/2006/relationships/hyperlink" Target="https://www.ibtimes.co.uk/we-are-ready-war-burundis-rebel-groups-how-they-plan-topple-president-nkurunziza-1609043" TargetMode="External"/><Relationship Id="rId159" Type="http://schemas.openxmlformats.org/officeDocument/2006/relationships/hyperlink" Target="https://www.voaafrique.com/a/ouganda-troubles-diplomatie-president-yoweri-museveni-burundi-pierre-nkurunziza-respecter-communuate-d-afrique-de-l-est-mediatrice/4699298.html" TargetMode="External"/><Relationship Id="rId16" Type="http://schemas.openxmlformats.org/officeDocument/2006/relationships/hyperlink" Target="https://twitter.com/iburundi/status/1058675255466704897?s=12" TargetMode="External"/><Relationship Id="rId107" Type="http://schemas.openxmlformats.org/officeDocument/2006/relationships/hyperlink" Target="https://twitter.com/IntumwaNews/status/1122168986949574657" TargetMode="External"/><Relationship Id="rId11" Type="http://schemas.openxmlformats.org/officeDocument/2006/relationships/hyperlink" Target="http://www.parcem.org/index.php/9-uncategorised/236-campagne-ukuri-ku-biduhanze" TargetMode="External"/><Relationship Id="rId32" Type="http://schemas.openxmlformats.org/officeDocument/2006/relationships/hyperlink" Target="http://www.radiomaria.bi/message-de-la-conference-des-eveques-catholiques-du-burundi-pour-noel-2018/" TargetMode="External"/><Relationship Id="rId37" Type="http://schemas.openxmlformats.org/officeDocument/2006/relationships/hyperlink" Target="https://www.hrw.org/fr/news/2019/06/12/burundi-abus-generalises-visant-lopposition" TargetMode="External"/><Relationship Id="rId53" Type="http://schemas.openxmlformats.org/officeDocument/2006/relationships/hyperlink" Target="http://rtnb.bi/fr/art.php?idapi=3/3/52" TargetMode="External"/><Relationship Id="rId58" Type="http://schemas.openxmlformats.org/officeDocument/2006/relationships/hyperlink" Target="https://burundi.unfpa.org/sites/default/files/resource-pdf/RAPPORTFINALETUDEGROSSESSESENMILIEUSCOLAIREAUBURUNDI_0.pdf" TargetMode="External"/><Relationship Id="rId74" Type="http://schemas.openxmlformats.org/officeDocument/2006/relationships/hyperlink" Target="http://www.rtnb.bi/fr/art.php?idapi=3/1/215" TargetMode="External"/><Relationship Id="rId79" Type="http://schemas.openxmlformats.org/officeDocument/2006/relationships/hyperlink" Target="https://regionweek.com/exclusive-burundi-has-been-under-international-conspiracy-for-four-or-five-years-says-1st-vice-president/" TargetMode="External"/><Relationship Id="rId102" Type="http://schemas.openxmlformats.org/officeDocument/2006/relationships/hyperlink" Target="https://twitter.com/CnddFdd/status/1163927112140697601" TargetMode="External"/><Relationship Id="rId123" Type="http://schemas.openxmlformats.org/officeDocument/2006/relationships/hyperlink" Target="http://www.rtnb.bi/fr/art.php?idapi=3/2/188" TargetMode="External"/><Relationship Id="rId128" Type="http://schemas.openxmlformats.org/officeDocument/2006/relationships/hyperlink" Target="https://www.la-croix.com/Monde/Afrique/Au-Burundi-derive-quasi-sectaire-regime-president-Pierre-Nkurunziza-2018-04-04-1200929074" TargetMode="External"/><Relationship Id="rId144" Type="http://schemas.openxmlformats.org/officeDocument/2006/relationships/hyperlink" Target="http://french.peopledaily.com.cn/Afrique/n3/2018/0421/c96852-9452168.html" TargetMode="External"/><Relationship Id="rId149" Type="http://schemas.openxmlformats.org/officeDocument/2006/relationships/hyperlink" Target="https://twitter.com/IntumwaNews/status/1138074524178636802" TargetMode="External"/><Relationship Id="rId5" Type="http://schemas.openxmlformats.org/officeDocument/2006/relationships/hyperlink" Target="http://www.senat.bi/?p=6297" TargetMode="External"/><Relationship Id="rId90" Type="http://schemas.openxmlformats.org/officeDocument/2006/relationships/hyperlink" Target="https://burundi-agnews.org/institutions/burundi-ombudsman-linclusivite-sociale-constatee-lors-du-referendum-2018/" TargetMode="External"/><Relationship Id="rId95" Type="http://schemas.openxmlformats.org/officeDocument/2006/relationships/hyperlink" Target="https://ppbdi.com/index.php/ubum/imibano/10000-observatoire-national-pour-la-prevention-du-genocide-communique" TargetMode="External"/><Relationship Id="rId160" Type="http://schemas.openxmlformats.org/officeDocument/2006/relationships/hyperlink" Target="https://africacenter.org/spotlight/dismantling-the-arusha-accords-as-the-burundi-crisis-rages-on/" TargetMode="External"/><Relationship Id="rId165" Type="http://schemas.openxmlformats.org/officeDocument/2006/relationships/hyperlink" Target="http://www.operationspaix.net/75-resources/details-lexique/milices.html" TargetMode="External"/><Relationship Id="rId22" Type="http://schemas.openxmlformats.org/officeDocument/2006/relationships/hyperlink" Target="http://rtnb.bi/fr/art.php?idapi=3/3/52" TargetMode="External"/><Relationship Id="rId27" Type="http://schemas.openxmlformats.org/officeDocument/2006/relationships/hyperlink" Target="https://regionweek.com/burundi-politics-two-civil-societies-organizations-do-not-see-the-need-of-the-5th-round-of-inter-burundian-dialogue/" TargetMode="External"/><Relationship Id="rId43" Type="http://schemas.openxmlformats.org/officeDocument/2006/relationships/hyperlink" Target="https://presidence.gov.bi/2019/05/07/reunion-devaluation-de-la-securite-autour-du-chef-de-letat-2/-" TargetMode="External"/><Relationship Id="rId48" Type="http://schemas.openxmlformats.org/officeDocument/2006/relationships/hyperlink" Target="https://www.la-croix.com/Religion/Au-Burundi-eveques-interdisent-prises-parole-cours-messe-2019-04-23-1201017404" TargetMode="External"/><Relationship Id="rId64" Type="http://schemas.openxmlformats.org/officeDocument/2006/relationships/hyperlink" Target="http://burundi-eco.com/couvre-feu-impose-aux-filles-les-administratifs-devraient-plutot-lutter-contre-toute-discrimination/" TargetMode="External"/><Relationship Id="rId69" Type="http://schemas.openxmlformats.org/officeDocument/2006/relationships/hyperlink" Target="http://www.rtnb.bi/fr/art.php?idapi=3/1/138" TargetMode="External"/><Relationship Id="rId113" Type="http://schemas.openxmlformats.org/officeDocument/2006/relationships/hyperlink" Target="https://twitter.com/CnddFddYouthBuj/status/1158675141997543424" TargetMode="External"/><Relationship Id="rId118" Type="http://schemas.openxmlformats.org/officeDocument/2006/relationships/hyperlink" Target="https://www.dw.com/fr/nkurunziza-serait-il-tent%C3%A9-de-restaurer-la-monarchie/a-44153506" TargetMode="External"/><Relationship Id="rId134" Type="http://schemas.openxmlformats.org/officeDocument/2006/relationships/hyperlink" Target="https://twitter.com/RTNBurundi/status/1164813819597557761" TargetMode="External"/><Relationship Id="rId139" Type="http://schemas.openxmlformats.org/officeDocument/2006/relationships/hyperlink" Target="https://www.ceniburundi.bi/Organisation-missions-et" TargetMode="External"/><Relationship Id="rId80" Type="http://schemas.openxmlformats.org/officeDocument/2006/relationships/hyperlink" Target="https://cnidh.bi/mandat" TargetMode="External"/><Relationship Id="rId85" Type="http://schemas.openxmlformats.org/officeDocument/2006/relationships/hyperlink" Target="https://twitter.com/OmbudsmanBI/status/1162806025411543050" TargetMode="External"/><Relationship Id="rId150" Type="http://schemas.openxmlformats.org/officeDocument/2006/relationships/hyperlink" Target="https://twitter.com/IntumwaNews/status/1138427976742293504" TargetMode="External"/><Relationship Id="rId155" Type="http://schemas.openxmlformats.org/officeDocument/2006/relationships/hyperlink" Target="https://www.ibtimes.co.uk/we-are-ready-war-burundis-rebel-groups-how-they-plan-topple-president-nkurunziza-1609043" TargetMode="External"/><Relationship Id="rId12" Type="http://schemas.openxmlformats.org/officeDocument/2006/relationships/hyperlink" Target="http://www.rfi.fr/afrique/20190618-burundi-ong-parcem-suspendue" TargetMode="External"/><Relationship Id="rId17" Type="http://schemas.openxmlformats.org/officeDocument/2006/relationships/hyperlink" Target="https://twitter.com/akanyegeri/status/1134022935184859136" TargetMode="External"/><Relationship Id="rId33" Type="http://schemas.openxmlformats.org/officeDocument/2006/relationships/hyperlink" Target="http://www.rfi.fr/emission/20190602-barankitse-marguerite-burundaise-refugiee-rwanda-guerre-civile-interethnique" TargetMode="External"/><Relationship Id="rId38" Type="http://schemas.openxmlformats.org/officeDocument/2006/relationships/hyperlink" Target="https://twitter.com/IntumwaNews/status/1127107743528177666" TargetMode="External"/><Relationship Id="rId59" Type="http://schemas.openxmlformats.org/officeDocument/2006/relationships/hyperlink" Target="https://www.iwacu-burundi.org/musigati-grossesses-en-milieu-scolaire-des-chiffres-inquietants/" TargetMode="External"/><Relationship Id="rId103" Type="http://schemas.openxmlformats.org/officeDocument/2006/relationships/hyperlink" Target="https://twitter.com/BurundiSecurity/status/1164815174018064386" TargetMode="External"/><Relationship Id="rId108" Type="http://schemas.openxmlformats.org/officeDocument/2006/relationships/hyperlink" Target="https://twitter.com/RadioIsanganiro/status/1127128226789232640" TargetMode="External"/><Relationship Id="rId124" Type="http://schemas.openxmlformats.org/officeDocument/2006/relationships/hyperlink" Target="http://www.rtnb.bi/fr/art.php?idapi=3/2/202" TargetMode="External"/><Relationship Id="rId129" Type="http://schemas.openxmlformats.org/officeDocument/2006/relationships/hyperlink" Target="http://www.rfi.fr/afrique/20180110-burundi-unions-libres-passibles-sanctions" TargetMode="External"/><Relationship Id="rId54" Type="http://schemas.openxmlformats.org/officeDocument/2006/relationships/hyperlink" Target="http://www.presidence.gov.bi/wp-content/uploads/2017/04/politique_nationale_genre_png__2012-2025.pdf" TargetMode="External"/><Relationship Id="rId70" Type="http://schemas.openxmlformats.org/officeDocument/2006/relationships/hyperlink" Target="http://www.rtnb.bi/fr/art.php?idapi=3/0/213" TargetMode="External"/><Relationship Id="rId75" Type="http://schemas.openxmlformats.org/officeDocument/2006/relationships/hyperlink" Target="http://www.rtnb.bi/fr/art.php?idapi=3/1/138" TargetMode="External"/><Relationship Id="rId91" Type="http://schemas.openxmlformats.org/officeDocument/2006/relationships/hyperlink" Target="https://twitter.com/OmbudsmanBI/status/1141406557026099202" TargetMode="External"/><Relationship Id="rId96" Type="http://schemas.openxmlformats.org/officeDocument/2006/relationships/hyperlink" Target="http://www.ppbdi.com/index.php/extras/politique-cooperation-actualite-internationales/13638-onpgh-declaration-protestant-les-propos-du-commissaire-de-l-union-africaine" TargetMode="External"/><Relationship Id="rId140" Type="http://schemas.openxmlformats.org/officeDocument/2006/relationships/hyperlink" Target="https://twitter.com/Irabarutachane1/status/1034735795322712065" TargetMode="External"/><Relationship Id="rId145" Type="http://schemas.openxmlformats.org/officeDocument/2006/relationships/hyperlink" Target="https://twitter.com/burundi_cvr/status/1124063299476369409" TargetMode="External"/><Relationship Id="rId161" Type="http://schemas.openxmlformats.org/officeDocument/2006/relationships/hyperlink" Target="https://www.dw.com/fr/au-burundi-300-militaires-mis-%C3%A0-la-retraite/a-36994892" TargetMode="External"/><Relationship Id="rId166" Type="http://schemas.openxmlformats.org/officeDocument/2006/relationships/hyperlink" Target="https://peacemaker.un.org/sites/peacemaker.un.org/files/MatrixEarlyWarningIndicatorsCSV_UNAction2011.pdf" TargetMode="External"/><Relationship Id="rId1" Type="http://schemas.openxmlformats.org/officeDocument/2006/relationships/hyperlink" Target="https://twitter.com/BurundiSecurity/status/1141228655026352128" TargetMode="External"/><Relationship Id="rId6" Type="http://schemas.openxmlformats.org/officeDocument/2006/relationships/hyperlink" Target="https://twitter.com/LeRenouveauBdi/status/1135587955014361088" TargetMode="External"/><Relationship Id="rId15" Type="http://schemas.openxmlformats.org/officeDocument/2006/relationships/hyperlink" Target="https://www.voaafrique.com/a/un-haut-responsable-policier-menace-publiquement-d-%c3%a9liminer-des-opposants/4883155.html" TargetMode="External"/><Relationship Id="rId23" Type="http://schemas.openxmlformats.org/officeDocument/2006/relationships/hyperlink" Target="https://burundi-agnews.org/societe-civile/burundi-naissance-dune-societe-civile-alternative/" TargetMode="External"/><Relationship Id="rId28" Type="http://schemas.openxmlformats.org/officeDocument/2006/relationships/hyperlink" Target="http://www.rfi.fr/afrique/20190730-burundi-cnl-imbonerakure-permanences-vandalisees" TargetMode="External"/><Relationship Id="rId36" Type="http://schemas.openxmlformats.org/officeDocument/2006/relationships/hyperlink" Target="https://www.crisisgroup.org/fr/africa/central-africa/burundi/278-running-out-options-burundi" TargetMode="External"/><Relationship Id="rId49" Type="http://schemas.openxmlformats.org/officeDocument/2006/relationships/hyperlink" Target="https://twitter.com/Mutama2017/status/1137831692268449793" TargetMode="External"/><Relationship Id="rId57" Type="http://schemas.openxmlformats.org/officeDocument/2006/relationships/hyperlink" Target="https://presidence.gov.bi/2018/10/26/la-premiere-dame-ouvre-la-conference-internationale-des-femmes-leaders/" TargetMode="External"/><Relationship Id="rId106" Type="http://schemas.openxmlformats.org/officeDocument/2006/relationships/hyperlink" Target="https://twitter.com/sinrenovat/status/1163048145288355843" TargetMode="External"/><Relationship Id="rId114" Type="http://schemas.openxmlformats.org/officeDocument/2006/relationships/hyperlink" Target="https://twitter.com/Cndd_Fdd_Mga/status/1151405750318768128" TargetMode="External"/><Relationship Id="rId119" Type="http://schemas.openxmlformats.org/officeDocument/2006/relationships/hyperlink" Target="https://www.lemonde.fr/afrique/article/2018/06/07/au-burundi-pierre-nkurunziza-renonce-a-la-presidence-a-vie-mais-pas-a-la-royaute_5311261_3212.html" TargetMode="External"/><Relationship Id="rId127" Type="http://schemas.openxmlformats.org/officeDocument/2006/relationships/hyperlink" Target="https://twitter.com/IntumwaNews/status/1134459118130016256" TargetMode="External"/><Relationship Id="rId10" Type="http://schemas.openxmlformats.org/officeDocument/2006/relationships/hyperlink" Target="https://www.voaafrique.com/a/un-commissaire-de-la-c%c3%a9ni-appelle-%c3%a0-barrer-la-route-aux-m%c3%a9dias-ind%c3%a9pendants/4908952.html" TargetMode="External"/><Relationship Id="rId31" Type="http://schemas.openxmlformats.org/officeDocument/2006/relationships/hyperlink" Target="https://twitter.com/IntumwaNews/status/1141988875939848192" TargetMode="External"/><Relationship Id="rId44" Type="http://schemas.openxmlformats.org/officeDocument/2006/relationships/hyperlink" Target="https://news.adventist.org/en/all-news/news/go/2019-05-16/commentary-what-seventh-day-adventists-face-in-burundi/" TargetMode="External"/><Relationship Id="rId52" Type="http://schemas.openxmlformats.org/officeDocument/2006/relationships/hyperlink" Target="http://www.rtnb.bi/fr/art.php?idapi=3/3/53" TargetMode="External"/><Relationship Id="rId60" Type="http://schemas.openxmlformats.org/officeDocument/2006/relationships/hyperlink" Target="http://www.droitshumains.gov.bi/grossesse-zero-en-milieu-scolaire-souhait-du-ministre-burundais-en-charge-des-droits-humains/" TargetMode="External"/><Relationship Id="rId65" Type="http://schemas.openxmlformats.org/officeDocument/2006/relationships/hyperlink" Target="https://www.iwacu-burundi.org/musongati-un-couvre-feu-au-feminin-sur-la-sellette/" TargetMode="External"/><Relationship Id="rId73" Type="http://schemas.openxmlformats.org/officeDocument/2006/relationships/hyperlink" Target="http://www.rtnb.bi/fr/art.php?idapi=3/3/52" TargetMode="External"/><Relationship Id="rId78" Type="http://schemas.openxmlformats.org/officeDocument/2006/relationships/hyperlink" Target="https://www.assemblee.bi/spip.php?article2032" TargetMode="External"/><Relationship Id="rId81" Type="http://schemas.openxmlformats.org/officeDocument/2006/relationships/hyperlink" Target="https://cnidh.bi/d%C3%A9claration%2Cde%2Cla%2Ccnidh%2Csuite%2Cau%2Crapport%2Cde%2Cla%2Ccommission%2Cd%E2%80%99enqu%C3%AAte%2Csur%2Cle%2Cburundi" TargetMode="External"/><Relationship Id="rId86" Type="http://schemas.openxmlformats.org/officeDocument/2006/relationships/hyperlink" Target="https://twitter.com/OmbudsmanBI/status/1038086255706341377" TargetMode="External"/><Relationship Id="rId94" Type="http://schemas.openxmlformats.org/officeDocument/2006/relationships/hyperlink" Target="https://ppbdi.com/index.php/ubum/imibano/10000-observatoire-national-pour-la-prevention-du-genocide-communique" TargetMode="External"/><Relationship Id="rId99" Type="http://schemas.openxmlformats.org/officeDocument/2006/relationships/hyperlink" Target="https://twitter.com/BurundiCnl/status/1164203257750786053" TargetMode="External"/><Relationship Id="rId101" Type="http://schemas.openxmlformats.org/officeDocument/2006/relationships/hyperlink" Target="http://www.rtnb.bi/fr/art.php?idapi=3/3/114" TargetMode="External"/><Relationship Id="rId122" Type="http://schemas.openxmlformats.org/officeDocument/2006/relationships/hyperlink" Target="http://french.peopledaily.com.cn/Afrique/n3/2018/0421/c96852-9452168.html" TargetMode="External"/><Relationship Id="rId130" Type="http://schemas.openxmlformats.org/officeDocument/2006/relationships/hyperlink" Target="https://www.bbc.com/afrique/region-40059101" TargetMode="External"/><Relationship Id="rId135" Type="http://schemas.openxmlformats.org/officeDocument/2006/relationships/hyperlink" Target="https://twitter.com/RTNBurundi/status/1164479507404902400" TargetMode="External"/><Relationship Id="rId143" Type="http://schemas.openxmlformats.org/officeDocument/2006/relationships/hyperlink" Target="https://afrique.lalibre.be/36073/burundi-pierre-nkurunziza-sera-t-il-quand-meme-candidat-en-2020/" TargetMode="External"/><Relationship Id="rId148" Type="http://schemas.openxmlformats.org/officeDocument/2006/relationships/hyperlink" Target="https://twitter.com/willynyamitwe/status/1161957726571905025" TargetMode="External"/><Relationship Id="rId151" Type="http://schemas.openxmlformats.org/officeDocument/2006/relationships/hyperlink" Target="http://french.china.org.cn/foreign/txt/2019-01/30/content_74423220.htm" TargetMode="External"/><Relationship Id="rId156" Type="http://schemas.openxmlformats.org/officeDocument/2006/relationships/hyperlink" Target="https://www.voaafrique.com/a/le-burundi-exige-un-sommet-r%c3%a9gional-sur-le-conflit-avec-son-ennemi-rwandais/4690895.html" TargetMode="External"/><Relationship Id="rId164" Type="http://schemas.openxmlformats.org/officeDocument/2006/relationships/hyperlink" Target="https://twitter.com/BurundiFds/status/1100811126344949761" TargetMode="External"/><Relationship Id="rId4" Type="http://schemas.openxmlformats.org/officeDocument/2006/relationships/hyperlink" Target="http://cnc-burundi.bi/wp-content/uploads/2017/11/CODE-DE-DEONTOLOGIE-DES-MEDIAS-BURUNDAIS_EDITION-2014-1.pdf" TargetMode="External"/><Relationship Id="rId9" Type="http://schemas.openxmlformats.org/officeDocument/2006/relationships/hyperlink" Target="https://twitter.com/LeRenouveauBdi/status/1130510363223633920" TargetMode="External"/><Relationship Id="rId13" Type="http://schemas.openxmlformats.org/officeDocument/2006/relationships/hyperlink" Target="https://www.voaafrique.com/a/4910314.html" TargetMode="External"/><Relationship Id="rId18" Type="http://schemas.openxmlformats.org/officeDocument/2006/relationships/hyperlink" Target="https://twitter.com/IntumwaNews/status/1131099256784400386" TargetMode="External"/><Relationship Id="rId39" Type="http://schemas.openxmlformats.org/officeDocument/2006/relationships/hyperlink" Target="https://twitter.com/LeRenouveauBdi/status/1125133608753270784" TargetMode="External"/><Relationship Id="rId109" Type="http://schemas.openxmlformats.org/officeDocument/2006/relationships/hyperlink" Target="http://www.rtnb.bi/fr/art.php?idapi=3/3/89" TargetMode="External"/><Relationship Id="rId34" Type="http://schemas.openxmlformats.org/officeDocument/2006/relationships/hyperlink" Target="http://www.tv5monde.com/emissions/episode/internationales-marguerite-barankitse" TargetMode="External"/><Relationship Id="rId50" Type="http://schemas.openxmlformats.org/officeDocument/2006/relationships/hyperlink" Target="http://www.eglisecatholique.bi/index.php/2016-10-03-18-35-17/communiques/502-communique-de-cloture-de-l-assemblee-pleniere-de-la-conference-des-eveques-catholiques-du-burundi-du-mois-de-juin-2019" TargetMode="External"/><Relationship Id="rId55" Type="http://schemas.openxmlformats.org/officeDocument/2006/relationships/hyperlink" Target="https://www.assemblee.bi/spip.php?page=imprimer&amp;id_article=1966" TargetMode="External"/><Relationship Id="rId76" Type="http://schemas.openxmlformats.org/officeDocument/2006/relationships/hyperlink" Target="http://www.rtnb.bi/fr/art.php?idapi=3/0/213" TargetMode="External"/><Relationship Id="rId97" Type="http://schemas.openxmlformats.org/officeDocument/2006/relationships/hyperlink" Target="https://twitter.com/LeRenouveauBdi/status/1132510625232576512" TargetMode="External"/><Relationship Id="rId104" Type="http://schemas.openxmlformats.org/officeDocument/2006/relationships/hyperlink" Target="https://twitter.com/LeRenouveauBdi/status/1147943343839764480" TargetMode="External"/><Relationship Id="rId120" Type="http://schemas.openxmlformats.org/officeDocument/2006/relationships/hyperlink" Target="https://www.politiquemagazine.fr/monde/une-monarchie-au-burundi/" TargetMode="External"/><Relationship Id="rId125" Type="http://schemas.openxmlformats.org/officeDocument/2006/relationships/hyperlink" Target="http://www.rtnb.bi/fr/art.php?idapi=3/2/207" TargetMode="External"/><Relationship Id="rId141" Type="http://schemas.openxmlformats.org/officeDocument/2006/relationships/hyperlink" Target="http://www.arib.info/Acopa-Burundi-Seminaire-Bruxelles-22Septembre2014.pdf" TargetMode="External"/><Relationship Id="rId146" Type="http://schemas.openxmlformats.org/officeDocument/2006/relationships/hyperlink" Target="https://twitter.com/ndayicariye/status/1120997161100029954" TargetMode="External"/><Relationship Id="rId167" Type="http://schemas.openxmlformats.org/officeDocument/2006/relationships/hyperlink" Target="http://www.stoprapenow.org/uploads/advocacyresources/1321456915.pdf" TargetMode="External"/><Relationship Id="rId7" Type="http://schemas.openxmlformats.org/officeDocument/2006/relationships/hyperlink" Target="http://www.rfi.fr/afrique/20190524-burundi-communication-president-mise-mal-apres-couac" TargetMode="External"/><Relationship Id="rId71" Type="http://schemas.openxmlformats.org/officeDocument/2006/relationships/hyperlink" Target="http://www.rtnb.bi/fr/art.php?idapi=2/2/68" TargetMode="External"/><Relationship Id="rId92" Type="http://schemas.openxmlformats.org/officeDocument/2006/relationships/hyperlink" Target="https://twitter.com/OmbudsmanBI/status/1141406574650503168" TargetMode="External"/><Relationship Id="rId162" Type="http://schemas.openxmlformats.org/officeDocument/2006/relationships/hyperlink" Target="http://libeafrica4.blogs.liberation.fr/2016/06/19/la-police-nationale-du-burundi-quelle-force-pour-quel-ordre/" TargetMode="External"/><Relationship Id="rId2" Type="http://schemas.openxmlformats.org/officeDocument/2006/relationships/hyperlink" Target="https://www.uantwerpen.be/en/projects/centre-des-grands-lacs-afrique/droit-pouvoir-paix-burundi/ethnicite/ethnicite-pouvoir-conflit/" TargetMode="External"/><Relationship Id="rId29" Type="http://schemas.openxmlformats.org/officeDocument/2006/relationships/hyperlink" Target="https://www.voaafrique.com/a/une-permanence-du-principal-parti-d-opposition-burundais-incendi%C3%A9e/4961824.html" TargetMode="External"/><Relationship Id="rId24" Type="http://schemas.openxmlformats.org/officeDocument/2006/relationships/hyperlink" Target="http://rtnb.bi/fr/art.php?idapi=1/4/129" TargetMode="External"/><Relationship Id="rId40" Type="http://schemas.openxmlformats.org/officeDocument/2006/relationships/hyperlink" Target="https://twitter.com/akanyegeri/status/1125114984474845184" TargetMode="External"/><Relationship Id="rId45" Type="http://schemas.openxmlformats.org/officeDocument/2006/relationships/hyperlink" Target="http://www.rfi.fr/afrique/20190515-burundi-eglise-adventiste-7e-jour-denonce-emprisonnement-responsables-branche-local" TargetMode="External"/><Relationship Id="rId66" Type="http://schemas.openxmlformats.org/officeDocument/2006/relationships/hyperlink" Target="http://www.rtnb.bi/fr/art.php?idapi=3/3/91" TargetMode="External"/><Relationship Id="rId87" Type="http://schemas.openxmlformats.org/officeDocument/2006/relationships/hyperlink" Target="https://twitter.com/OmbudsmanBI/status/1113827034759925761" TargetMode="External"/><Relationship Id="rId110" Type="http://schemas.openxmlformats.org/officeDocument/2006/relationships/hyperlink" Target="https://twitter.com/LeRenouveauBdi/status/1163391594348912641" TargetMode="External"/><Relationship Id="rId115" Type="http://schemas.openxmlformats.org/officeDocument/2006/relationships/hyperlink" Target="https://twitter.com/LeRenouveauBdi/status/1147943343839764480" TargetMode="External"/><Relationship Id="rId131" Type="http://schemas.openxmlformats.org/officeDocument/2006/relationships/hyperlink" Target="http://www.rtnb.bi/fr/art.php?idapi=3/3/117" TargetMode="External"/><Relationship Id="rId136" Type="http://schemas.openxmlformats.org/officeDocument/2006/relationships/hyperlink" Target="https://www.youtube.com/watch?v=1bx8HQK6h_c&amp;feature=youtu.be" TargetMode="External"/><Relationship Id="rId157" Type="http://schemas.openxmlformats.org/officeDocument/2006/relationships/hyperlink" Target="http://www.thenewhumanitarian.org/fr/analyses/2016/10/05/repercussions-de-la-crise-burundaise-les-rwandais-connaissent-des-difficultes" TargetMode="External"/><Relationship Id="rId61" Type="http://schemas.openxmlformats.org/officeDocument/2006/relationships/hyperlink" Target="https://www.iwacu-burundi.org/les-filles-ne-sont-pas-des-grands-enfants/" TargetMode="External"/><Relationship Id="rId82" Type="http://schemas.openxmlformats.org/officeDocument/2006/relationships/hyperlink" Target="https://twitter.com/OmbudsmanBI/status/1113690268237291520" TargetMode="External"/><Relationship Id="rId152" Type="http://schemas.openxmlformats.org/officeDocument/2006/relationships/hyperlink" Target="https://www.ibtimes.co.uk/we-are-ready-war-burundis-rebel-groups-how-they-plan-topple-president-nkurunziza-1609043" TargetMode="External"/><Relationship Id="rId19" Type="http://schemas.openxmlformats.org/officeDocument/2006/relationships/hyperlink" Target="https://www.presidence.gov.bi/wp-content/uploads/2019/07/Communiqu&#233;-Conseil-du-17-juillet-2019.pdf" TargetMode="External"/><Relationship Id="rId14" Type="http://schemas.openxmlformats.org/officeDocument/2006/relationships/hyperlink" Target="http://www.rfi.fr/afrique/20190420-burundi-commissaire-menace-publiquement-eliminer-opposants" TargetMode="External"/><Relationship Id="rId30" Type="http://schemas.openxmlformats.org/officeDocument/2006/relationships/hyperlink" Target="https://www.jeuneafrique.com/744238/politique/burundi-agathon-rwasa-denonce-les-restrictions-imposees-a-son-parti/" TargetMode="External"/><Relationship Id="rId35" Type="http://schemas.openxmlformats.org/officeDocument/2006/relationships/hyperlink" Target="https://www.bbc.com/afrique/region-48568133" TargetMode="External"/><Relationship Id="rId56" Type="http://schemas.openxmlformats.org/officeDocument/2006/relationships/hyperlink" Target="http://www.rtnb.bi/fr/art.php?idapi=3/1/18" TargetMode="External"/><Relationship Id="rId77" Type="http://schemas.openxmlformats.org/officeDocument/2006/relationships/hyperlink" Target="http://www.rtnb.bi/fr/art.php?idapi=2/2/68" TargetMode="External"/><Relationship Id="rId100" Type="http://schemas.openxmlformats.org/officeDocument/2006/relationships/hyperlink" Target="https://twitter.com/BurundiSecurity/status/1164815174018064386" TargetMode="External"/><Relationship Id="rId105" Type="http://schemas.openxmlformats.org/officeDocument/2006/relationships/hyperlink" Target="https://twitter.com/RTNBurundi/status/1134916711004725254" TargetMode="External"/><Relationship Id="rId126" Type="http://schemas.openxmlformats.org/officeDocument/2006/relationships/hyperlink" Target="https://twitter.com/CnddFdd/status/1134449514528542720" TargetMode="External"/><Relationship Id="rId147" Type="http://schemas.openxmlformats.org/officeDocument/2006/relationships/hyperlink" Target="https://twitter.com/willynyamitwe/status/1161951483476291587" TargetMode="External"/><Relationship Id="rId8" Type="http://schemas.openxmlformats.org/officeDocument/2006/relationships/hyperlink" Target="http://www.presidence.gov.bi/wp-content/uploads/2019/05/decret-073-2019-3.pdf" TargetMode="External"/><Relationship Id="rId51" Type="http://schemas.openxmlformats.org/officeDocument/2006/relationships/hyperlink" Target="https://presidence.gov.bi/2019/07/02/message-a-la-nation-de-son-excellence-le-president-de-la-republique-a-loccasion-du-57eme-anniversaire-de-independance-du-burundi/" TargetMode="External"/><Relationship Id="rId72" Type="http://schemas.openxmlformats.org/officeDocument/2006/relationships/hyperlink" Target="http://www.rtnb.bi/fr/art.php?idapi=3/3/89" TargetMode="External"/><Relationship Id="rId93" Type="http://schemas.openxmlformats.org/officeDocument/2006/relationships/hyperlink" Target="https://www.aa.com.tr/fr/afrique/burundi-r%C3%A9f%C3%A9rendum-l-observatoire-de-pr%C3%A9vention-du-g%C3%A9nocide-demande-des-observateurs-internationaux/1076413" TargetMode="External"/><Relationship Id="rId98" Type="http://schemas.openxmlformats.org/officeDocument/2006/relationships/hyperlink" Target="https://twitter.com/IntumwaNews/status/1131777993628635136" TargetMode="External"/><Relationship Id="rId121" Type="http://schemas.openxmlformats.org/officeDocument/2006/relationships/hyperlink" Target="https://www.iwacu-burundi.org/burundi-le-pays-de-dieu-et-du-roi/" TargetMode="External"/><Relationship Id="rId142" Type="http://schemas.openxmlformats.org/officeDocument/2006/relationships/hyperlink" Target="https://www.voaafrique.com/Burundi" TargetMode="External"/><Relationship Id="rId163" Type="http://schemas.openxmlformats.org/officeDocument/2006/relationships/hyperlink" Target="https://www.burundi-forum.org/la-une/actualites/adoption-de-deux-projets-de-loi-du-snr-par-le-senat/" TargetMode="External"/><Relationship Id="rId3" Type="http://schemas.openxmlformats.org/officeDocument/2006/relationships/hyperlink" Target="http://www.senat.bi/?p=6297" TargetMode="External"/><Relationship Id="rId25" Type="http://schemas.openxmlformats.org/officeDocument/2006/relationships/hyperlink" Target="https://www.kabazawebtv.org/?p=3144&amp;lang=fr" TargetMode="External"/><Relationship Id="rId46" Type="http://schemas.openxmlformats.org/officeDocument/2006/relationships/hyperlink" Target="https://www.voaafrique.com/a/lib%C3%A9ration-de-membres-de-l-%C3%A9glise-adventiste-/4922890.html" TargetMode="External"/><Relationship Id="rId67" Type="http://schemas.openxmlformats.org/officeDocument/2006/relationships/hyperlink" Target="http://www.rtnb.bi/fr/art.php?idapi=3/3/52" TargetMode="External"/><Relationship Id="rId116" Type="http://schemas.openxmlformats.org/officeDocument/2006/relationships/hyperlink" Target="https://twitter.com/RTNBurundi/status/1134916711004725254" TargetMode="External"/><Relationship Id="rId137" Type="http://schemas.openxmlformats.org/officeDocument/2006/relationships/hyperlink" Target="https://www.lepoint.fr/monde/pierre-nkurunziza-president-du-burundi-par-volonte-divine-13-05-2015-1928289_24.php" TargetMode="External"/><Relationship Id="rId158" Type="http://schemas.openxmlformats.org/officeDocument/2006/relationships/hyperlink" Target="http://www.rfi.fr/afrique/20181215-president-ougandais-voit-rouge-apres-lettre-president-nkurunziza-burundi" TargetMode="External"/><Relationship Id="rId20" Type="http://schemas.openxmlformats.org/officeDocument/2006/relationships/hyperlink" Target="https://www.presidence.gov.bi/wp-content/uploads/2019/07/Communiqu&#233;-Conseil-du-17-juillet-2019.pdf" TargetMode="External"/><Relationship Id="rId41" Type="http://schemas.openxmlformats.org/officeDocument/2006/relationships/hyperlink" Target="https://twitter.com/RTNBurundi/status/1134916711004725254" TargetMode="External"/><Relationship Id="rId62" Type="http://schemas.openxmlformats.org/officeDocument/2006/relationships/hyperlink" Target="https://twitter.com/RTNBurundi/status/1101443561940312066" TargetMode="External"/><Relationship Id="rId83" Type="http://schemas.openxmlformats.org/officeDocument/2006/relationships/hyperlink" Target="https://twitter.com/OmbudsmanBI/status/1126424492551614464" TargetMode="External"/><Relationship Id="rId88" Type="http://schemas.openxmlformats.org/officeDocument/2006/relationships/hyperlink" Target="https://twitter.com/OmbudsmanBI/status/1038086255706341377" TargetMode="External"/><Relationship Id="rId111" Type="http://schemas.openxmlformats.org/officeDocument/2006/relationships/hyperlink" Target="https://twitter.com/Cndd_Fdd_Mga/status/1162668488546226177" TargetMode="External"/><Relationship Id="rId132" Type="http://schemas.openxmlformats.org/officeDocument/2006/relationships/hyperlink" Target="https://twitter.com/RTNBurundi/status/1165308954731319298" TargetMode="External"/><Relationship Id="rId153" Type="http://schemas.openxmlformats.org/officeDocument/2006/relationships/hyperlink" Target="http://www.rfi.fr/afrique/20160124-burundi-quels-sont-mouvements-rebelles-combattent-nkurunzi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F.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0AED7-BC91-448B-B7DF-DA9F2ADBFBDB}">
  <ds:schemaRefs>
    <ds:schemaRef ds:uri="http://purl.org/dc/terms/"/>
    <ds:schemaRef ds:uri="http://schemas.microsoft.com/office/2006/documentManagement/types"/>
    <ds:schemaRef ds:uri="428416fd-f5ff-4c2c-9217-9a0681051042"/>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2C22A63-647F-4BE9-93F1-E8220DE1CABC}"/>
</file>

<file path=customXml/itemProps3.xml><?xml version="1.0" encoding="utf-8"?>
<ds:datastoreItem xmlns:ds="http://schemas.openxmlformats.org/officeDocument/2006/customXml" ds:itemID="{48D550EE-6162-471E-8FCD-B5501524AF75}">
  <ds:schemaRefs>
    <ds:schemaRef ds:uri="http://schemas.microsoft.com/sharepoint/v3/contenttype/forms"/>
  </ds:schemaRefs>
</ds:datastoreItem>
</file>

<file path=customXml/itemProps4.xml><?xml version="1.0" encoding="utf-8"?>
<ds:datastoreItem xmlns:ds="http://schemas.openxmlformats.org/officeDocument/2006/customXml" ds:itemID="{FE663BEB-0B42-40E5-AD59-21DBD2E60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A_F.dotm</Template>
  <TotalTime>1</TotalTime>
  <Pages>8</Pages>
  <Words>42470</Words>
  <Characters>242082</Characters>
  <Application>Microsoft Office Word</Application>
  <DocSecurity>0</DocSecurity>
  <Lines>2017</Lines>
  <Paragraphs>567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A/HRC/39/CRP.2</vt:lpstr>
      <vt:lpstr>Nations Unies</vt:lpstr>
    </vt:vector>
  </TitlesOfParts>
  <Company>CSD</Company>
  <LinksUpToDate>false</LinksUpToDate>
  <CharactersWithSpaces>283985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A/HRC/39/CRP.2</dc:title>
  <dc:creator>RUCKEBUSCH Emeline</dc:creator>
  <cp:lastModifiedBy>ANDRE Laurence</cp:lastModifiedBy>
  <cp:revision>2</cp:revision>
  <cp:lastPrinted>2019-11-25T10:29:00Z</cp:lastPrinted>
  <dcterms:created xsi:type="dcterms:W3CDTF">2020-12-02T15:16:00Z</dcterms:created>
  <dcterms:modified xsi:type="dcterms:W3CDTF">2020-12-02T15:16:00Z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