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F4625" w14:textId="4AE53268" w:rsidR="00B1660F" w:rsidRPr="000D69C8" w:rsidRDefault="00E671F4" w:rsidP="00B1045D">
      <w:pPr>
        <w:pStyle w:val="HChG"/>
        <w:rPr>
          <w:color w:val="000000" w:themeColor="text1"/>
          <w:lang w:val="en-US"/>
        </w:rPr>
      </w:pPr>
      <w:bookmarkStart w:id="0" w:name="_GoBack"/>
      <w:bookmarkEnd w:id="0"/>
      <w:r>
        <w:rPr>
          <w:lang w:val="en-US"/>
        </w:rPr>
        <w:t>E</w:t>
      </w:r>
      <w:r w:rsidR="00B94580" w:rsidRPr="005B4E45">
        <w:rPr>
          <w:lang w:val="en-US"/>
        </w:rPr>
        <w:t xml:space="preserve">. </w:t>
      </w:r>
      <w:r w:rsidR="00B1660F" w:rsidRPr="005B4E45">
        <w:rPr>
          <w:lang w:val="en-US"/>
        </w:rPr>
        <w:t>Sexual violence against m</w:t>
      </w:r>
      <w:r w:rsidR="00B1660F" w:rsidRPr="000D69C8">
        <w:rPr>
          <w:color w:val="000000" w:themeColor="text1"/>
          <w:lang w:val="en-US"/>
        </w:rPr>
        <w:t>en since 2015</w:t>
      </w:r>
    </w:p>
    <w:p w14:paraId="0E52C340" w14:textId="137DFF61" w:rsidR="00B94580" w:rsidRPr="000811BF" w:rsidRDefault="00B90CB6" w:rsidP="00B94580">
      <w:pPr>
        <w:pStyle w:val="H1G"/>
        <w:rPr>
          <w:color w:val="000000" w:themeColor="text1"/>
        </w:rPr>
      </w:pPr>
      <w:r>
        <w:rPr>
          <w:color w:val="000000" w:themeColor="text1"/>
          <w:lang w:val="en-US"/>
        </w:rPr>
        <w:tab/>
      </w:r>
      <w:r>
        <w:rPr>
          <w:color w:val="000000" w:themeColor="text1"/>
          <w:lang w:val="en-US"/>
        </w:rPr>
        <w:tab/>
      </w:r>
      <w:r w:rsidR="00B94580" w:rsidRPr="000D69C8">
        <w:rPr>
          <w:color w:val="000000" w:themeColor="text1"/>
          <w:lang w:val="en-US"/>
        </w:rPr>
        <w:t xml:space="preserve">1. </w:t>
      </w:r>
      <w:r w:rsidR="00B1660F" w:rsidRPr="000811BF">
        <w:rPr>
          <w:color w:val="000000" w:themeColor="text1"/>
        </w:rPr>
        <w:t>Background</w:t>
      </w:r>
    </w:p>
    <w:p w14:paraId="18191E82" w14:textId="732D01B5" w:rsidR="006C049B" w:rsidRPr="000811BF" w:rsidRDefault="00BF7902" w:rsidP="006C049B">
      <w:pPr>
        <w:pStyle w:val="SingleTxtG"/>
        <w:rPr>
          <w:color w:val="000000" w:themeColor="text1"/>
          <w:lang w:val="en-GB"/>
        </w:rPr>
      </w:pPr>
      <w:r>
        <w:rPr>
          <w:color w:val="000000" w:themeColor="text1"/>
          <w:lang w:val="en-GB"/>
        </w:rPr>
        <w:t xml:space="preserve">444. </w:t>
      </w:r>
      <w:r w:rsidR="006C049B" w:rsidRPr="000811BF">
        <w:rPr>
          <w:color w:val="000000" w:themeColor="text1"/>
          <w:lang w:val="en-GB"/>
        </w:rPr>
        <w:t xml:space="preserve">Since its establishment, the Commission has collected a substantial number of </w:t>
      </w:r>
      <w:r w:rsidR="00973804" w:rsidRPr="000811BF">
        <w:rPr>
          <w:color w:val="000000" w:themeColor="text1"/>
          <w:lang w:val="en-GB"/>
        </w:rPr>
        <w:t xml:space="preserve">witness accounts related </w:t>
      </w:r>
      <w:r w:rsidR="006C049B" w:rsidRPr="000811BF">
        <w:rPr>
          <w:color w:val="000000" w:themeColor="text1"/>
          <w:lang w:val="en-GB"/>
        </w:rPr>
        <w:t xml:space="preserve">to sexual violence against men and boys committed in Burundi between April 2015 and June 2020, particularly in the context of </w:t>
      </w:r>
      <w:r w:rsidR="00EA6189" w:rsidRPr="000811BF">
        <w:rPr>
          <w:color w:val="000000" w:themeColor="text1"/>
          <w:lang w:val="en-GB"/>
        </w:rPr>
        <w:t>detention</w:t>
      </w:r>
      <w:r w:rsidR="00B90CB6">
        <w:rPr>
          <w:color w:val="000000" w:themeColor="text1"/>
          <w:lang w:val="en-GB"/>
        </w:rPr>
        <w:t>.</w:t>
      </w:r>
      <w:r w:rsidR="008D51F5" w:rsidRPr="006578A2">
        <w:rPr>
          <w:rStyle w:val="FootnoteReference"/>
          <w:color w:val="000000" w:themeColor="text1"/>
          <w:sz w:val="20"/>
          <w:lang w:val="en-GB"/>
        </w:rPr>
        <w:footnoteReference w:id="1"/>
      </w:r>
    </w:p>
    <w:p w14:paraId="16B413CE" w14:textId="0236FEA3" w:rsidR="006C049B" w:rsidRPr="000811BF" w:rsidRDefault="00BF7902" w:rsidP="006C049B">
      <w:pPr>
        <w:pStyle w:val="SingleTxtG"/>
        <w:rPr>
          <w:color w:val="000000" w:themeColor="text1"/>
          <w:lang w:val="en-GB"/>
        </w:rPr>
      </w:pPr>
      <w:r>
        <w:rPr>
          <w:color w:val="000000" w:themeColor="text1"/>
          <w:lang w:val="en-GB"/>
        </w:rPr>
        <w:t xml:space="preserve">445. </w:t>
      </w:r>
      <w:r w:rsidR="006C049B" w:rsidRPr="000811BF">
        <w:rPr>
          <w:color w:val="000000" w:themeColor="text1"/>
          <w:lang w:val="en-GB"/>
        </w:rPr>
        <w:t xml:space="preserve">Sexual violence against men and boys in conflict situations or countries in </w:t>
      </w:r>
      <w:proofErr w:type="gramStart"/>
      <w:r w:rsidR="006C049B" w:rsidRPr="000811BF">
        <w:rPr>
          <w:color w:val="000000" w:themeColor="text1"/>
          <w:lang w:val="en-GB"/>
        </w:rPr>
        <w:t>transition</w:t>
      </w:r>
      <w:proofErr w:type="gramEnd"/>
      <w:r w:rsidR="006C049B" w:rsidRPr="000811BF">
        <w:rPr>
          <w:color w:val="000000" w:themeColor="text1"/>
          <w:lang w:val="en-GB"/>
        </w:rPr>
        <w:t xml:space="preserve"> </w:t>
      </w:r>
      <w:r w:rsidR="009C430D" w:rsidRPr="000811BF">
        <w:rPr>
          <w:color w:val="000000" w:themeColor="text1"/>
          <w:lang w:val="en-GB"/>
        </w:rPr>
        <w:t>receives li</w:t>
      </w:r>
      <w:r w:rsidR="00AC0903" w:rsidRPr="000811BF">
        <w:rPr>
          <w:color w:val="000000" w:themeColor="text1"/>
          <w:lang w:val="en-GB"/>
        </w:rPr>
        <w:t xml:space="preserve">ttle recognition </w:t>
      </w:r>
      <w:r w:rsidR="00C40E6D" w:rsidRPr="000811BF">
        <w:rPr>
          <w:color w:val="000000" w:themeColor="text1"/>
          <w:lang w:val="en-GB"/>
        </w:rPr>
        <w:t xml:space="preserve">or </w:t>
      </w:r>
      <w:r w:rsidR="00AF5367" w:rsidRPr="000811BF">
        <w:rPr>
          <w:color w:val="000000" w:themeColor="text1"/>
          <w:lang w:val="en-GB"/>
        </w:rPr>
        <w:t>consideration</w:t>
      </w:r>
      <w:r w:rsidR="006C049B" w:rsidRPr="000811BF">
        <w:rPr>
          <w:color w:val="000000" w:themeColor="text1"/>
          <w:lang w:val="en-GB"/>
        </w:rPr>
        <w:t xml:space="preserve">, </w:t>
      </w:r>
      <w:r w:rsidR="008D51F5" w:rsidRPr="000811BF">
        <w:rPr>
          <w:color w:val="000000" w:themeColor="text1"/>
          <w:lang w:val="en-GB"/>
        </w:rPr>
        <w:t xml:space="preserve">due to the tendency to </w:t>
      </w:r>
      <w:r w:rsidR="006C049B" w:rsidRPr="000811BF">
        <w:rPr>
          <w:color w:val="000000" w:themeColor="text1"/>
          <w:lang w:val="en-GB"/>
        </w:rPr>
        <w:t>prioritiz</w:t>
      </w:r>
      <w:r w:rsidR="008D51F5" w:rsidRPr="000811BF">
        <w:rPr>
          <w:color w:val="000000" w:themeColor="text1"/>
          <w:lang w:val="en-GB"/>
        </w:rPr>
        <w:t>e</w:t>
      </w:r>
      <w:r w:rsidR="006C049B" w:rsidRPr="000811BF">
        <w:rPr>
          <w:color w:val="000000" w:themeColor="text1"/>
          <w:lang w:val="en-GB"/>
        </w:rPr>
        <w:t xml:space="preserve"> </w:t>
      </w:r>
      <w:r w:rsidR="008D51F5" w:rsidRPr="000811BF">
        <w:rPr>
          <w:color w:val="000000" w:themeColor="text1"/>
          <w:lang w:val="en-GB"/>
        </w:rPr>
        <w:t>sexual violence</w:t>
      </w:r>
      <w:r w:rsidR="006C049B" w:rsidRPr="000811BF">
        <w:rPr>
          <w:color w:val="000000" w:themeColor="text1"/>
          <w:lang w:val="en-GB"/>
        </w:rPr>
        <w:t xml:space="preserve"> against women and girls </w:t>
      </w:r>
      <w:r w:rsidR="008D51F5" w:rsidRPr="000811BF">
        <w:rPr>
          <w:color w:val="000000" w:themeColor="text1"/>
          <w:lang w:val="en-GB"/>
        </w:rPr>
        <w:t xml:space="preserve">in international organizations’ </w:t>
      </w:r>
      <w:r w:rsidR="006C049B" w:rsidRPr="000811BF">
        <w:rPr>
          <w:color w:val="000000" w:themeColor="text1"/>
          <w:lang w:val="en-GB"/>
        </w:rPr>
        <w:t>policies and program</w:t>
      </w:r>
      <w:r w:rsidR="008E410D" w:rsidRPr="000811BF">
        <w:rPr>
          <w:color w:val="000000" w:themeColor="text1"/>
          <w:lang w:val="en-GB"/>
        </w:rPr>
        <w:t>matic</w:t>
      </w:r>
      <w:r w:rsidR="006C049B" w:rsidRPr="000811BF">
        <w:rPr>
          <w:color w:val="000000" w:themeColor="text1"/>
          <w:lang w:val="en-GB"/>
        </w:rPr>
        <w:t xml:space="preserve"> frameworks, </w:t>
      </w:r>
      <w:r w:rsidR="008D51F5" w:rsidRPr="000811BF">
        <w:rPr>
          <w:color w:val="000000" w:themeColor="text1"/>
          <w:lang w:val="en-GB"/>
        </w:rPr>
        <w:t xml:space="preserve">and </w:t>
      </w:r>
      <w:r w:rsidR="006C049B" w:rsidRPr="000811BF">
        <w:rPr>
          <w:color w:val="000000" w:themeColor="text1"/>
          <w:lang w:val="en-GB"/>
        </w:rPr>
        <w:t>the United Nations</w:t>
      </w:r>
      <w:r w:rsidR="008D51F5" w:rsidRPr="000811BF">
        <w:rPr>
          <w:color w:val="000000" w:themeColor="text1"/>
          <w:lang w:val="en-GB"/>
        </w:rPr>
        <w:t xml:space="preserve"> in particular</w:t>
      </w:r>
      <w:r w:rsidR="00B90CB6">
        <w:rPr>
          <w:color w:val="000000" w:themeColor="text1"/>
          <w:lang w:val="en-GB"/>
        </w:rPr>
        <w:t>.</w:t>
      </w:r>
      <w:r w:rsidR="008D51F5" w:rsidRPr="006578A2">
        <w:rPr>
          <w:rStyle w:val="FootnoteReference"/>
          <w:color w:val="000000" w:themeColor="text1"/>
          <w:sz w:val="20"/>
          <w:lang w:val="en-GB"/>
        </w:rPr>
        <w:footnoteReference w:id="2"/>
      </w:r>
      <w:r w:rsidR="006C049B" w:rsidRPr="000811BF">
        <w:rPr>
          <w:color w:val="000000" w:themeColor="text1"/>
          <w:lang w:val="en-GB"/>
        </w:rPr>
        <w:t xml:space="preserve"> This situation, which </w:t>
      </w:r>
      <w:r w:rsidR="004834D5" w:rsidRPr="000811BF">
        <w:rPr>
          <w:color w:val="000000" w:themeColor="text1"/>
          <w:lang w:val="en-GB"/>
        </w:rPr>
        <w:t>essentially</w:t>
      </w:r>
      <w:r w:rsidR="008D51F5" w:rsidRPr="000811BF">
        <w:rPr>
          <w:color w:val="000000" w:themeColor="text1"/>
          <w:lang w:val="en-GB"/>
        </w:rPr>
        <w:t xml:space="preserve"> </w:t>
      </w:r>
      <w:r w:rsidR="006C049B" w:rsidRPr="000811BF">
        <w:rPr>
          <w:color w:val="000000" w:themeColor="text1"/>
          <w:lang w:val="en-GB"/>
        </w:rPr>
        <w:t xml:space="preserve">results from the observation that </w:t>
      </w:r>
      <w:r w:rsidR="004834D5" w:rsidRPr="000811BF">
        <w:rPr>
          <w:color w:val="000000" w:themeColor="text1"/>
          <w:lang w:val="en-GB"/>
        </w:rPr>
        <w:t>women and girls are disproportionately</w:t>
      </w:r>
      <w:r w:rsidR="004834D5" w:rsidRPr="006578A2">
        <w:rPr>
          <w:rStyle w:val="FootnoteReference"/>
          <w:color w:val="000000" w:themeColor="text1"/>
          <w:sz w:val="20"/>
          <w:lang w:val="en-GB"/>
        </w:rPr>
        <w:footnoteReference w:id="3"/>
      </w:r>
      <w:r w:rsidR="004834D5" w:rsidRPr="000811BF">
        <w:rPr>
          <w:color w:val="000000" w:themeColor="text1"/>
          <w:lang w:val="en-GB"/>
        </w:rPr>
        <w:t xml:space="preserve"> affected by </w:t>
      </w:r>
      <w:r w:rsidR="006C049B" w:rsidRPr="000811BF">
        <w:rPr>
          <w:color w:val="000000" w:themeColor="text1"/>
          <w:lang w:val="en-GB"/>
        </w:rPr>
        <w:t>sexual violence in situations of armed conflict and transition</w:t>
      </w:r>
      <w:r w:rsidR="004834D5" w:rsidRPr="000811BF">
        <w:rPr>
          <w:color w:val="000000" w:themeColor="text1"/>
          <w:lang w:val="en-GB"/>
        </w:rPr>
        <w:t>,</w:t>
      </w:r>
      <w:r w:rsidR="006C049B" w:rsidRPr="000811BF">
        <w:rPr>
          <w:color w:val="000000" w:themeColor="text1"/>
          <w:lang w:val="en-GB"/>
        </w:rPr>
        <w:t xml:space="preserve"> has the effect of creating </w:t>
      </w:r>
      <w:r w:rsidR="001177BF" w:rsidRPr="000811BF">
        <w:rPr>
          <w:color w:val="000000" w:themeColor="text1"/>
          <w:lang w:val="en-GB"/>
        </w:rPr>
        <w:t xml:space="preserve">a </w:t>
      </w:r>
      <w:r w:rsidR="004834D5" w:rsidRPr="000811BF">
        <w:rPr>
          <w:color w:val="000000" w:themeColor="text1"/>
          <w:lang w:val="en-GB"/>
        </w:rPr>
        <w:t>conflation</w:t>
      </w:r>
      <w:r w:rsidR="006C049B" w:rsidRPr="000811BF">
        <w:rPr>
          <w:color w:val="000000" w:themeColor="text1"/>
          <w:lang w:val="en-GB"/>
        </w:rPr>
        <w:t xml:space="preserve"> between </w:t>
      </w:r>
      <w:r w:rsidR="006C049B" w:rsidRPr="000811BF">
        <w:rPr>
          <w:i/>
          <w:iCs/>
          <w:color w:val="000000" w:themeColor="text1"/>
          <w:lang w:val="en-GB"/>
        </w:rPr>
        <w:t>sexual violence</w:t>
      </w:r>
      <w:r w:rsidR="006C049B" w:rsidRPr="000811BF">
        <w:rPr>
          <w:color w:val="000000" w:themeColor="text1"/>
          <w:lang w:val="en-GB"/>
        </w:rPr>
        <w:t xml:space="preserve"> and </w:t>
      </w:r>
      <w:r w:rsidR="006C049B" w:rsidRPr="000811BF">
        <w:rPr>
          <w:i/>
          <w:iCs/>
          <w:color w:val="000000" w:themeColor="text1"/>
          <w:lang w:val="en-GB"/>
        </w:rPr>
        <w:t>violence against women and girls</w:t>
      </w:r>
      <w:r w:rsidR="00B90CB6">
        <w:rPr>
          <w:i/>
          <w:iCs/>
          <w:color w:val="000000" w:themeColor="text1"/>
          <w:lang w:val="en-GB"/>
        </w:rPr>
        <w:t>.</w:t>
      </w:r>
      <w:r w:rsidR="008D51F5" w:rsidRPr="006578A2">
        <w:rPr>
          <w:rStyle w:val="FootnoteReference"/>
          <w:color w:val="000000" w:themeColor="text1"/>
          <w:sz w:val="20"/>
          <w:lang w:val="en-GB"/>
        </w:rPr>
        <w:footnoteReference w:id="4"/>
      </w:r>
    </w:p>
    <w:p w14:paraId="1568909E" w14:textId="4DD69984" w:rsidR="004834D5" w:rsidRPr="000811BF" w:rsidRDefault="00BF7902" w:rsidP="00B94580">
      <w:pPr>
        <w:pStyle w:val="SingleTxtG"/>
        <w:rPr>
          <w:color w:val="000000" w:themeColor="text1"/>
          <w:lang w:val="en-GB"/>
        </w:rPr>
      </w:pPr>
      <w:r>
        <w:rPr>
          <w:color w:val="000000" w:themeColor="text1"/>
          <w:lang w:val="en-GB"/>
        </w:rPr>
        <w:t xml:space="preserve">446. </w:t>
      </w:r>
      <w:r w:rsidR="004834D5" w:rsidRPr="000811BF">
        <w:rPr>
          <w:color w:val="000000" w:themeColor="text1"/>
          <w:lang w:val="en-GB"/>
        </w:rPr>
        <w:t xml:space="preserve">In addition, due to the gender roles and norms that prevail in Burundi, as in most </w:t>
      </w:r>
      <w:r w:rsidR="00615B3F">
        <w:rPr>
          <w:color w:val="000000" w:themeColor="text1"/>
          <w:lang w:val="en-GB"/>
        </w:rPr>
        <w:t>societies</w:t>
      </w:r>
      <w:r w:rsidR="004834D5" w:rsidRPr="000811BF">
        <w:rPr>
          <w:color w:val="000000" w:themeColor="text1"/>
          <w:lang w:val="en-GB"/>
        </w:rPr>
        <w:t xml:space="preserve">, which </w:t>
      </w:r>
      <w:r w:rsidR="00C12969" w:rsidRPr="000811BF">
        <w:rPr>
          <w:color w:val="000000" w:themeColor="text1"/>
          <w:lang w:val="en-GB"/>
        </w:rPr>
        <w:t xml:space="preserve">associate </w:t>
      </w:r>
      <w:r w:rsidR="004834D5" w:rsidRPr="000811BF">
        <w:rPr>
          <w:color w:val="000000" w:themeColor="text1"/>
          <w:lang w:val="en-GB"/>
        </w:rPr>
        <w:t>masculinity to strength and power</w:t>
      </w:r>
      <w:r w:rsidR="00B90CB6">
        <w:rPr>
          <w:color w:val="000000" w:themeColor="text1"/>
          <w:lang w:val="en-GB"/>
        </w:rPr>
        <w:t>,</w:t>
      </w:r>
      <w:r w:rsidR="00AE63D1" w:rsidRPr="006578A2">
        <w:rPr>
          <w:rStyle w:val="FootnoteReference"/>
          <w:color w:val="000000" w:themeColor="text1"/>
          <w:sz w:val="20"/>
          <w:lang w:val="en-GB"/>
        </w:rPr>
        <w:footnoteReference w:id="5"/>
      </w:r>
      <w:r w:rsidR="004834D5" w:rsidRPr="000811BF">
        <w:rPr>
          <w:color w:val="000000" w:themeColor="text1"/>
          <w:lang w:val="en-GB"/>
        </w:rPr>
        <w:t xml:space="preserve"> men and boys are particularly reluctant to report the violence which they have been subjected </w:t>
      </w:r>
      <w:r w:rsidR="00390E17" w:rsidRPr="000811BF">
        <w:rPr>
          <w:color w:val="000000" w:themeColor="text1"/>
          <w:lang w:val="en-GB"/>
        </w:rPr>
        <w:t xml:space="preserve">to </w:t>
      </w:r>
      <w:r w:rsidR="004834D5" w:rsidRPr="000811BF">
        <w:rPr>
          <w:color w:val="000000" w:themeColor="text1"/>
          <w:lang w:val="en-GB"/>
        </w:rPr>
        <w:t xml:space="preserve">as </w:t>
      </w:r>
      <w:r w:rsidR="004834D5" w:rsidRPr="000811BF">
        <w:rPr>
          <w:i/>
          <w:iCs/>
          <w:color w:val="000000" w:themeColor="text1"/>
          <w:lang w:val="en-GB"/>
        </w:rPr>
        <w:t>sexual violence</w:t>
      </w:r>
      <w:r w:rsidR="004834D5" w:rsidRPr="000811BF">
        <w:rPr>
          <w:color w:val="000000" w:themeColor="text1"/>
          <w:lang w:val="en-GB"/>
        </w:rPr>
        <w:t xml:space="preserve"> and </w:t>
      </w:r>
      <w:r w:rsidR="00AE63D1" w:rsidRPr="000811BF">
        <w:rPr>
          <w:color w:val="000000" w:themeColor="text1"/>
          <w:lang w:val="en-GB"/>
        </w:rPr>
        <w:t>would rather</w:t>
      </w:r>
      <w:r w:rsidR="004834D5" w:rsidRPr="000811BF">
        <w:rPr>
          <w:color w:val="000000" w:themeColor="text1"/>
          <w:lang w:val="en-GB"/>
        </w:rPr>
        <w:t xml:space="preserve"> speak of torture. Indeed,</w:t>
      </w:r>
      <w:r w:rsidR="00E07046" w:rsidRPr="000811BF">
        <w:rPr>
          <w:color w:val="000000" w:themeColor="text1"/>
          <w:lang w:val="en-GB"/>
        </w:rPr>
        <w:t xml:space="preserve"> as a result </w:t>
      </w:r>
      <w:r w:rsidR="00967681" w:rsidRPr="000811BF">
        <w:rPr>
          <w:color w:val="000000" w:themeColor="text1"/>
          <w:lang w:val="en-GB"/>
        </w:rPr>
        <w:t>of</w:t>
      </w:r>
      <w:r w:rsidR="004834D5" w:rsidRPr="000811BF">
        <w:rPr>
          <w:color w:val="000000" w:themeColor="text1"/>
          <w:lang w:val="en-GB"/>
        </w:rPr>
        <w:t xml:space="preserve"> sexual violence</w:t>
      </w:r>
      <w:r w:rsidR="00967681" w:rsidRPr="000811BF">
        <w:rPr>
          <w:color w:val="000000" w:themeColor="text1"/>
          <w:lang w:val="en-GB"/>
        </w:rPr>
        <w:t xml:space="preserve">, men </w:t>
      </w:r>
      <w:r w:rsidR="003D3304" w:rsidRPr="000811BF">
        <w:rPr>
          <w:color w:val="000000" w:themeColor="text1"/>
          <w:lang w:val="en-GB"/>
        </w:rPr>
        <w:t xml:space="preserve">feel diminished or stripped of </w:t>
      </w:r>
      <w:r w:rsidR="004834D5" w:rsidRPr="000811BF">
        <w:rPr>
          <w:color w:val="000000" w:themeColor="text1"/>
          <w:lang w:val="en-GB"/>
        </w:rPr>
        <w:t>their virility and masculinity, and the</w:t>
      </w:r>
      <w:r w:rsidR="00615B3F">
        <w:rPr>
          <w:color w:val="000000" w:themeColor="text1"/>
          <w:lang w:val="en-GB"/>
        </w:rPr>
        <w:t>y call into question their</w:t>
      </w:r>
      <w:r w:rsidR="004834D5" w:rsidRPr="000811BF">
        <w:rPr>
          <w:color w:val="000000" w:themeColor="text1"/>
          <w:lang w:val="en-GB"/>
        </w:rPr>
        <w:t xml:space="preserve"> </w:t>
      </w:r>
      <w:r w:rsidR="00AE63D1" w:rsidRPr="000811BF">
        <w:rPr>
          <w:color w:val="000000" w:themeColor="text1"/>
          <w:lang w:val="en-GB"/>
        </w:rPr>
        <w:t xml:space="preserve">ability to </w:t>
      </w:r>
      <w:r w:rsidR="004834D5" w:rsidRPr="000811BF">
        <w:rPr>
          <w:color w:val="000000" w:themeColor="text1"/>
          <w:lang w:val="en-GB"/>
        </w:rPr>
        <w:t>procreate</w:t>
      </w:r>
      <w:r w:rsidR="00987342" w:rsidRPr="000811BF">
        <w:rPr>
          <w:color w:val="000000" w:themeColor="text1"/>
          <w:lang w:val="en-GB"/>
        </w:rPr>
        <w:t xml:space="preserve"> </w:t>
      </w:r>
      <w:r w:rsidR="00615B3F">
        <w:rPr>
          <w:color w:val="000000" w:themeColor="text1"/>
          <w:lang w:val="en-GB"/>
        </w:rPr>
        <w:t>and</w:t>
      </w:r>
      <w:r w:rsidR="004834D5" w:rsidRPr="000811BF">
        <w:rPr>
          <w:color w:val="000000" w:themeColor="text1"/>
          <w:lang w:val="en-GB"/>
        </w:rPr>
        <w:t xml:space="preserve"> their role </w:t>
      </w:r>
      <w:r w:rsidR="00AE63D1" w:rsidRPr="000811BF">
        <w:rPr>
          <w:color w:val="000000" w:themeColor="text1"/>
          <w:lang w:val="en-GB"/>
        </w:rPr>
        <w:t>in</w:t>
      </w:r>
      <w:r w:rsidR="004834D5" w:rsidRPr="000811BF">
        <w:rPr>
          <w:color w:val="000000" w:themeColor="text1"/>
          <w:lang w:val="en-GB"/>
        </w:rPr>
        <w:t xml:space="preserve"> the family and the community</w:t>
      </w:r>
      <w:r w:rsidR="00B90CB6">
        <w:rPr>
          <w:color w:val="000000" w:themeColor="text1"/>
          <w:lang w:val="en-GB"/>
        </w:rPr>
        <w:t>.</w:t>
      </w:r>
      <w:r w:rsidR="00AE63D1" w:rsidRPr="006578A2">
        <w:rPr>
          <w:rStyle w:val="FootnoteReference"/>
          <w:color w:val="000000" w:themeColor="text1"/>
          <w:sz w:val="20"/>
          <w:lang w:val="en-GB"/>
        </w:rPr>
        <w:footnoteReference w:id="6"/>
      </w:r>
    </w:p>
    <w:p w14:paraId="6780BB83" w14:textId="38A0742D" w:rsidR="00555977" w:rsidRPr="000811BF" w:rsidRDefault="00BF7902" w:rsidP="00B94580">
      <w:pPr>
        <w:pStyle w:val="SingleTxtG"/>
        <w:rPr>
          <w:color w:val="000000" w:themeColor="text1"/>
          <w:lang w:val="en-GB"/>
        </w:rPr>
      </w:pPr>
      <w:r>
        <w:rPr>
          <w:color w:val="000000" w:themeColor="text1"/>
          <w:lang w:val="en-GB"/>
        </w:rPr>
        <w:t xml:space="preserve">447. </w:t>
      </w:r>
      <w:r w:rsidR="00D71058" w:rsidRPr="000811BF">
        <w:rPr>
          <w:color w:val="000000" w:themeColor="text1"/>
          <w:lang w:val="en-GB"/>
        </w:rPr>
        <w:t>Moreover</w:t>
      </w:r>
      <w:r w:rsidR="00555977" w:rsidRPr="000811BF">
        <w:rPr>
          <w:color w:val="000000" w:themeColor="text1"/>
          <w:lang w:val="en-GB"/>
        </w:rPr>
        <w:t xml:space="preserve">, when social norms prohibit homosexuality and national legislation criminalizes homosexual relations without distinguishing between consensual and </w:t>
      </w:r>
      <w:r w:rsidR="00555977" w:rsidRPr="000811BF">
        <w:rPr>
          <w:color w:val="000000" w:themeColor="text1"/>
          <w:lang w:val="en-GB"/>
        </w:rPr>
        <w:lastRenderedPageBreak/>
        <w:t xml:space="preserve">non-consensual sexual acts, as </w:t>
      </w:r>
      <w:r w:rsidR="00615B3F">
        <w:rPr>
          <w:color w:val="000000" w:themeColor="text1"/>
          <w:lang w:val="en-GB"/>
        </w:rPr>
        <w:t xml:space="preserve">it </w:t>
      </w:r>
      <w:r w:rsidR="00555977" w:rsidRPr="000811BF">
        <w:rPr>
          <w:color w:val="000000" w:themeColor="text1"/>
          <w:lang w:val="en-GB"/>
        </w:rPr>
        <w:t>is the case in Burundi, men who survive sexual violence are also at risk of being stigmatized for their alleged sexual orientation and even run the risk of being prosecuted</w:t>
      </w:r>
      <w:r w:rsidR="00D71058" w:rsidRPr="000811BF">
        <w:rPr>
          <w:color w:val="000000" w:themeColor="text1"/>
          <w:lang w:val="en-GB"/>
        </w:rPr>
        <w:t>, thus fostering</w:t>
      </w:r>
      <w:r w:rsidR="00555977" w:rsidRPr="000811BF">
        <w:rPr>
          <w:color w:val="000000" w:themeColor="text1"/>
          <w:lang w:val="en-GB"/>
        </w:rPr>
        <w:t xml:space="preserve"> a sociocultural and legal framework that </w:t>
      </w:r>
      <w:proofErr w:type="spellStart"/>
      <w:r w:rsidR="00D71058" w:rsidRPr="000811BF">
        <w:rPr>
          <w:color w:val="000000" w:themeColor="text1"/>
          <w:lang w:val="en-GB"/>
        </w:rPr>
        <w:t>favors</w:t>
      </w:r>
      <w:proofErr w:type="spellEnd"/>
      <w:r w:rsidR="00555977" w:rsidRPr="000811BF">
        <w:rPr>
          <w:color w:val="000000" w:themeColor="text1"/>
          <w:lang w:val="en-GB"/>
        </w:rPr>
        <w:t xml:space="preserve"> impunity for such violence. </w:t>
      </w:r>
      <w:r w:rsidR="00D71058" w:rsidRPr="000811BF">
        <w:rPr>
          <w:color w:val="000000" w:themeColor="text1"/>
          <w:lang w:val="en-GB"/>
        </w:rPr>
        <w:t>Furthermore</w:t>
      </w:r>
      <w:r w:rsidR="00555977" w:rsidRPr="000811BF">
        <w:rPr>
          <w:color w:val="000000" w:themeColor="text1"/>
          <w:lang w:val="en-GB"/>
        </w:rPr>
        <w:t xml:space="preserve">, it is not uncommon for survivors to find it easier to </w:t>
      </w:r>
      <w:r w:rsidR="00D71058" w:rsidRPr="000811BF">
        <w:rPr>
          <w:color w:val="000000" w:themeColor="text1"/>
          <w:lang w:val="en-GB"/>
        </w:rPr>
        <w:t>initially report</w:t>
      </w:r>
      <w:r w:rsidR="00555977" w:rsidRPr="000811BF">
        <w:rPr>
          <w:color w:val="000000" w:themeColor="text1"/>
          <w:lang w:val="en-GB"/>
        </w:rPr>
        <w:t xml:space="preserve"> that they witnessed these acts rather than declar</w:t>
      </w:r>
      <w:r w:rsidR="00D71058" w:rsidRPr="000811BF">
        <w:rPr>
          <w:color w:val="000000" w:themeColor="text1"/>
          <w:lang w:val="en-GB"/>
        </w:rPr>
        <w:t>ing</w:t>
      </w:r>
      <w:r w:rsidR="00555977" w:rsidRPr="000811BF">
        <w:rPr>
          <w:color w:val="000000" w:themeColor="text1"/>
          <w:lang w:val="en-GB"/>
        </w:rPr>
        <w:t xml:space="preserve"> themselves victims</w:t>
      </w:r>
      <w:r w:rsidR="00555977" w:rsidRPr="006578A2">
        <w:rPr>
          <w:rStyle w:val="FootnoteReference"/>
          <w:color w:val="000000" w:themeColor="text1"/>
          <w:sz w:val="20"/>
          <w:lang w:val="en-GB"/>
        </w:rPr>
        <w:footnoteReference w:id="7"/>
      </w:r>
      <w:r w:rsidR="00562505" w:rsidRPr="006578A2">
        <w:rPr>
          <w:color w:val="000000" w:themeColor="text1"/>
          <w:lang w:val="en-GB"/>
        </w:rPr>
        <w:t xml:space="preserve"> </w:t>
      </w:r>
      <w:r w:rsidR="00562505" w:rsidRPr="000811BF">
        <w:rPr>
          <w:color w:val="000000" w:themeColor="text1"/>
          <w:lang w:val="en-GB"/>
        </w:rPr>
        <w:t xml:space="preserve">of the </w:t>
      </w:r>
      <w:r w:rsidR="004E57CA" w:rsidRPr="000811BF">
        <w:rPr>
          <w:color w:val="000000" w:themeColor="text1"/>
          <w:lang w:val="en-GB"/>
        </w:rPr>
        <w:t>reported</w:t>
      </w:r>
      <w:r w:rsidR="00562505" w:rsidRPr="000811BF">
        <w:rPr>
          <w:color w:val="000000" w:themeColor="text1"/>
          <w:lang w:val="en-GB"/>
        </w:rPr>
        <w:t xml:space="preserve"> acts</w:t>
      </w:r>
      <w:r w:rsidR="00555977" w:rsidRPr="000811BF">
        <w:rPr>
          <w:color w:val="000000" w:themeColor="text1"/>
          <w:lang w:val="en-GB"/>
        </w:rPr>
        <w:t>.</w:t>
      </w:r>
    </w:p>
    <w:p w14:paraId="50A680AF" w14:textId="382F980A" w:rsidR="00D71058" w:rsidRPr="000811BF" w:rsidRDefault="00BF7902" w:rsidP="00B94580">
      <w:pPr>
        <w:pStyle w:val="SingleTxtG"/>
        <w:rPr>
          <w:color w:val="000000" w:themeColor="text1"/>
          <w:lang w:val="en-GB"/>
        </w:rPr>
      </w:pPr>
      <w:r>
        <w:rPr>
          <w:color w:val="000000" w:themeColor="text1"/>
          <w:lang w:val="en-GB"/>
        </w:rPr>
        <w:t xml:space="preserve">448. </w:t>
      </w:r>
      <w:r w:rsidR="00D71058" w:rsidRPr="000811BF">
        <w:rPr>
          <w:color w:val="000000" w:themeColor="text1"/>
          <w:lang w:val="en-GB"/>
        </w:rPr>
        <w:t xml:space="preserve">Interviews and research conducted by the Commission suggest that the difficulty of conceptualizing acts constituting sexual violence against men as </w:t>
      </w:r>
      <w:r w:rsidR="00D71058" w:rsidRPr="000811BF">
        <w:rPr>
          <w:i/>
          <w:iCs/>
          <w:color w:val="000000" w:themeColor="text1"/>
          <w:lang w:val="en-GB"/>
        </w:rPr>
        <w:t>sexual violence</w:t>
      </w:r>
      <w:r w:rsidR="00D71058" w:rsidRPr="000811BF">
        <w:rPr>
          <w:color w:val="000000" w:themeColor="text1"/>
          <w:lang w:val="en-GB"/>
        </w:rPr>
        <w:t xml:space="preserve"> and not simply as acts of torture or ill-treatment also extends to human rights organizations that work in Burundi or on Burundi</w:t>
      </w:r>
      <w:r w:rsidR="006578A2">
        <w:rPr>
          <w:color w:val="000000" w:themeColor="text1"/>
          <w:lang w:val="en-GB"/>
        </w:rPr>
        <w:t>.</w:t>
      </w:r>
      <w:r w:rsidR="00D71058" w:rsidRPr="006578A2">
        <w:rPr>
          <w:rStyle w:val="FootnoteReference"/>
          <w:color w:val="000000" w:themeColor="text1"/>
          <w:sz w:val="20"/>
          <w:lang w:val="en-GB"/>
        </w:rPr>
        <w:footnoteReference w:id="8"/>
      </w:r>
      <w:r w:rsidR="00D71058" w:rsidRPr="000811BF">
        <w:rPr>
          <w:color w:val="000000" w:themeColor="text1"/>
          <w:lang w:val="en-GB"/>
        </w:rPr>
        <w:t xml:space="preserve"> Since at least 2006, methods of torture </w:t>
      </w:r>
      <w:r w:rsidR="00615B3F" w:rsidRPr="000811BF">
        <w:rPr>
          <w:color w:val="000000" w:themeColor="text1"/>
          <w:lang w:val="en-GB"/>
        </w:rPr>
        <w:t>constituti</w:t>
      </w:r>
      <w:r w:rsidR="00615B3F">
        <w:rPr>
          <w:color w:val="000000" w:themeColor="text1"/>
          <w:lang w:val="en-GB"/>
        </w:rPr>
        <w:t>ve of</w:t>
      </w:r>
      <w:r w:rsidR="00D71058" w:rsidRPr="000811BF">
        <w:rPr>
          <w:color w:val="000000" w:themeColor="text1"/>
          <w:lang w:val="en-GB"/>
        </w:rPr>
        <w:t xml:space="preserve"> sexual violence have been used regularly against men and women in detention, especially those under the responsibility of the SNR</w:t>
      </w:r>
      <w:r w:rsidR="006578A2">
        <w:rPr>
          <w:color w:val="000000" w:themeColor="text1"/>
          <w:lang w:val="en-GB"/>
        </w:rPr>
        <w:t>.</w:t>
      </w:r>
      <w:r w:rsidR="00D71058" w:rsidRPr="00513276">
        <w:rPr>
          <w:rStyle w:val="FootnoteReference"/>
          <w:color w:val="000000" w:themeColor="text1"/>
          <w:sz w:val="20"/>
          <w:lang w:val="en-GB"/>
        </w:rPr>
        <w:footnoteReference w:id="9"/>
      </w:r>
      <w:r w:rsidR="00D71058" w:rsidRPr="00513276">
        <w:rPr>
          <w:color w:val="000000" w:themeColor="text1"/>
          <w:lang w:val="en-GB"/>
        </w:rPr>
        <w:t xml:space="preserve"> </w:t>
      </w:r>
      <w:r w:rsidR="00D71058" w:rsidRPr="000811BF">
        <w:rPr>
          <w:color w:val="000000" w:themeColor="text1"/>
          <w:lang w:val="en-GB"/>
        </w:rPr>
        <w:t xml:space="preserve">However, in most cases, sexual violence against men was solely reported as </w:t>
      </w:r>
      <w:r w:rsidR="00D71058" w:rsidRPr="000811BF">
        <w:rPr>
          <w:i/>
          <w:iCs/>
          <w:color w:val="000000" w:themeColor="text1"/>
          <w:lang w:val="en-GB"/>
        </w:rPr>
        <w:t>torture and ill-treatment</w:t>
      </w:r>
      <w:r w:rsidR="00D71058" w:rsidRPr="000811BF">
        <w:rPr>
          <w:color w:val="000000" w:themeColor="text1"/>
          <w:lang w:val="en-GB"/>
        </w:rPr>
        <w:t xml:space="preserve">, while violence against women was reported as </w:t>
      </w:r>
      <w:r w:rsidR="00D71058" w:rsidRPr="000811BF">
        <w:rPr>
          <w:i/>
          <w:iCs/>
          <w:color w:val="000000" w:themeColor="text1"/>
          <w:lang w:val="en-GB"/>
        </w:rPr>
        <w:t>sexual and gender-based violence</w:t>
      </w:r>
      <w:r w:rsidR="006578A2">
        <w:rPr>
          <w:i/>
          <w:iCs/>
          <w:color w:val="000000" w:themeColor="text1"/>
          <w:lang w:val="en-GB"/>
        </w:rPr>
        <w:t>.</w:t>
      </w:r>
      <w:r w:rsidR="00D71058" w:rsidRPr="006578A2">
        <w:rPr>
          <w:rStyle w:val="FootnoteReference"/>
          <w:color w:val="000000" w:themeColor="text1"/>
          <w:sz w:val="20"/>
          <w:lang w:val="en-GB"/>
        </w:rPr>
        <w:footnoteReference w:id="10"/>
      </w:r>
    </w:p>
    <w:p w14:paraId="1EA3893A" w14:textId="341A9048" w:rsidR="0007160D" w:rsidRPr="000811BF" w:rsidRDefault="00BF7902" w:rsidP="00B94580">
      <w:pPr>
        <w:pStyle w:val="SingleTxtG"/>
        <w:rPr>
          <w:color w:val="000000" w:themeColor="text1"/>
          <w:lang w:val="en-GB"/>
        </w:rPr>
      </w:pPr>
      <w:r>
        <w:rPr>
          <w:color w:val="000000" w:themeColor="text1"/>
          <w:lang w:val="en-GB"/>
        </w:rPr>
        <w:t xml:space="preserve">449. </w:t>
      </w:r>
      <w:r w:rsidR="0007160D" w:rsidRPr="000811BF">
        <w:rPr>
          <w:color w:val="000000" w:themeColor="text1"/>
          <w:lang w:val="en-GB"/>
        </w:rPr>
        <w:t>This partial</w:t>
      </w:r>
      <w:r w:rsidR="000C4E20" w:rsidRPr="000811BF">
        <w:rPr>
          <w:color w:val="000000" w:themeColor="text1"/>
          <w:lang w:val="en-GB"/>
        </w:rPr>
        <w:t xml:space="preserve"> recognition - </w:t>
      </w:r>
      <w:r w:rsidR="00CF2C17" w:rsidRPr="000811BF">
        <w:rPr>
          <w:color w:val="000000" w:themeColor="text1"/>
          <w:lang w:val="en-GB"/>
        </w:rPr>
        <w:t>or lack thereof</w:t>
      </w:r>
      <w:r w:rsidR="00C4726F">
        <w:rPr>
          <w:color w:val="000000" w:themeColor="text1"/>
          <w:lang w:val="en-GB"/>
        </w:rPr>
        <w:t xml:space="preserve"> </w:t>
      </w:r>
      <w:r w:rsidR="000C4E20" w:rsidRPr="000811BF">
        <w:rPr>
          <w:color w:val="000000" w:themeColor="text1"/>
          <w:lang w:val="en-GB"/>
        </w:rPr>
        <w:t>-</w:t>
      </w:r>
      <w:r w:rsidR="00615B3F">
        <w:rPr>
          <w:color w:val="000000" w:themeColor="text1"/>
          <w:lang w:val="en-GB"/>
        </w:rPr>
        <w:t xml:space="preserve"> </w:t>
      </w:r>
      <w:r w:rsidR="00615B3F" w:rsidRPr="000811BF">
        <w:rPr>
          <w:color w:val="000000" w:themeColor="text1"/>
          <w:lang w:val="en-GB"/>
        </w:rPr>
        <w:t xml:space="preserve">of </w:t>
      </w:r>
      <w:r w:rsidR="00615B3F">
        <w:rPr>
          <w:color w:val="000000" w:themeColor="text1"/>
          <w:lang w:val="en-GB"/>
        </w:rPr>
        <w:t>sexual</w:t>
      </w:r>
      <w:r w:rsidR="0007160D" w:rsidRPr="000811BF">
        <w:rPr>
          <w:color w:val="000000" w:themeColor="text1"/>
          <w:lang w:val="en-GB"/>
        </w:rPr>
        <w:t xml:space="preserve"> violence committed by state agents against men and boys has multiple consequences. Indeed, </w:t>
      </w:r>
      <w:r w:rsidR="005F6DEB" w:rsidRPr="000811BF">
        <w:rPr>
          <w:color w:val="000000" w:themeColor="text1"/>
          <w:lang w:val="en-GB"/>
        </w:rPr>
        <w:t>when</w:t>
      </w:r>
      <w:r w:rsidR="0007160D" w:rsidRPr="000811BF">
        <w:rPr>
          <w:color w:val="000000" w:themeColor="text1"/>
          <w:lang w:val="en-GB"/>
        </w:rPr>
        <w:t xml:space="preserve"> the sexualized nature of the acts is obscured, there is little chance that the violence will receive any adequate and specific response, </w:t>
      </w:r>
      <w:r w:rsidR="00F3351C" w:rsidRPr="000811BF">
        <w:rPr>
          <w:color w:val="000000" w:themeColor="text1"/>
          <w:lang w:val="en-GB"/>
        </w:rPr>
        <w:t xml:space="preserve">be it </w:t>
      </w:r>
      <w:r w:rsidR="0007160D" w:rsidRPr="000811BF">
        <w:rPr>
          <w:color w:val="000000" w:themeColor="text1"/>
          <w:lang w:val="en-GB"/>
        </w:rPr>
        <w:t>in the form of providing assistance to survivors</w:t>
      </w:r>
      <w:r w:rsidR="005F6DEB" w:rsidRPr="000811BF">
        <w:rPr>
          <w:color w:val="000000" w:themeColor="text1"/>
          <w:lang w:val="en-GB"/>
        </w:rPr>
        <w:t xml:space="preserve">, </w:t>
      </w:r>
      <w:r w:rsidR="0007160D" w:rsidRPr="000811BF">
        <w:rPr>
          <w:color w:val="000000" w:themeColor="text1"/>
          <w:lang w:val="en-GB"/>
        </w:rPr>
        <w:t>fighting impunity and preventing this type of violence</w:t>
      </w:r>
      <w:r w:rsidR="005F6DEB" w:rsidRPr="000811BF">
        <w:rPr>
          <w:color w:val="000000" w:themeColor="text1"/>
          <w:lang w:val="en-GB"/>
        </w:rPr>
        <w:t xml:space="preserve"> or </w:t>
      </w:r>
      <w:r w:rsidR="0007160D" w:rsidRPr="000811BF">
        <w:rPr>
          <w:color w:val="000000" w:themeColor="text1"/>
          <w:lang w:val="en-GB"/>
        </w:rPr>
        <w:t>access to justice and reparations. The African Commission on Human and Peoples</w:t>
      </w:r>
      <w:r w:rsidR="005F6DEB" w:rsidRPr="000811BF">
        <w:rPr>
          <w:color w:val="000000" w:themeColor="text1"/>
          <w:lang w:val="en-GB"/>
        </w:rPr>
        <w:t>’</w:t>
      </w:r>
      <w:r w:rsidR="0007160D" w:rsidRPr="000811BF">
        <w:rPr>
          <w:color w:val="000000" w:themeColor="text1"/>
          <w:lang w:val="en-GB"/>
        </w:rPr>
        <w:t xml:space="preserve"> Rights also underlined in 2017 that acts of sexual violence can target any individual, </w:t>
      </w:r>
      <w:r w:rsidR="005F6DEB" w:rsidRPr="000811BF">
        <w:rPr>
          <w:color w:val="000000" w:themeColor="text1"/>
          <w:lang w:val="en-GB"/>
        </w:rPr>
        <w:t>no matter</w:t>
      </w:r>
      <w:r w:rsidR="0007160D" w:rsidRPr="000811BF">
        <w:rPr>
          <w:color w:val="000000" w:themeColor="text1"/>
          <w:lang w:val="en-GB"/>
        </w:rPr>
        <w:t xml:space="preserve"> their gender, and that sexual violence against men and boys (among others gender categories) must receive adequate and effective response from States</w:t>
      </w:r>
      <w:r w:rsidR="006578A2">
        <w:rPr>
          <w:color w:val="000000" w:themeColor="text1"/>
          <w:lang w:val="en-GB"/>
        </w:rPr>
        <w:t>.</w:t>
      </w:r>
      <w:r w:rsidR="005F6DEB" w:rsidRPr="006578A2">
        <w:rPr>
          <w:rStyle w:val="FootnoteReference"/>
          <w:color w:val="000000" w:themeColor="text1"/>
          <w:sz w:val="20"/>
          <w:lang w:val="en-GB"/>
        </w:rPr>
        <w:footnoteReference w:id="11"/>
      </w:r>
      <w:r w:rsidR="00697B04" w:rsidRPr="000811BF">
        <w:rPr>
          <w:color w:val="000000" w:themeColor="text1"/>
          <w:lang w:val="en-GB"/>
        </w:rPr>
        <w:t xml:space="preserve"> B</w:t>
      </w:r>
      <w:r w:rsidR="0007160D" w:rsidRPr="000811BF">
        <w:rPr>
          <w:color w:val="000000" w:themeColor="text1"/>
          <w:lang w:val="en-GB"/>
        </w:rPr>
        <w:t>etter understanding of sexual violence against men is therefore necessary to improve and complete the analysis of the gender dimension of a conflict or</w:t>
      </w:r>
      <w:r w:rsidR="00FD0821" w:rsidRPr="000811BF">
        <w:rPr>
          <w:color w:val="000000" w:themeColor="text1"/>
          <w:lang w:val="en-GB"/>
        </w:rPr>
        <w:t xml:space="preserve"> </w:t>
      </w:r>
      <w:r w:rsidR="009F5155" w:rsidRPr="000811BF">
        <w:rPr>
          <w:color w:val="000000" w:themeColor="text1"/>
          <w:lang w:val="en-GB"/>
        </w:rPr>
        <w:t>a crisis</w:t>
      </w:r>
      <w:r w:rsidR="006578A2">
        <w:rPr>
          <w:color w:val="000000" w:themeColor="text1"/>
          <w:lang w:val="en-GB"/>
        </w:rPr>
        <w:t>.</w:t>
      </w:r>
      <w:r w:rsidR="00697B04" w:rsidRPr="006578A2">
        <w:rPr>
          <w:rStyle w:val="FootnoteReference"/>
          <w:color w:val="000000" w:themeColor="text1"/>
          <w:sz w:val="20"/>
          <w:lang w:val="en-GB"/>
        </w:rPr>
        <w:footnoteReference w:id="12"/>
      </w:r>
    </w:p>
    <w:p w14:paraId="02D42CC6" w14:textId="47E8DA4E" w:rsidR="00B94580" w:rsidRPr="000811BF" w:rsidRDefault="00B90CB6" w:rsidP="00B94580">
      <w:pPr>
        <w:pStyle w:val="H1G"/>
        <w:rPr>
          <w:color w:val="000000" w:themeColor="text1"/>
        </w:rPr>
      </w:pPr>
      <w:r>
        <w:rPr>
          <w:color w:val="000000" w:themeColor="text1"/>
        </w:rPr>
        <w:tab/>
      </w:r>
      <w:r>
        <w:rPr>
          <w:color w:val="000000" w:themeColor="text1"/>
        </w:rPr>
        <w:tab/>
      </w:r>
      <w:r w:rsidR="00B94580" w:rsidRPr="000811BF">
        <w:rPr>
          <w:color w:val="000000" w:themeColor="text1"/>
        </w:rPr>
        <w:t xml:space="preserve">2. </w:t>
      </w:r>
      <w:r w:rsidR="00697B04" w:rsidRPr="000811BF">
        <w:rPr>
          <w:color w:val="000000" w:themeColor="text1"/>
        </w:rPr>
        <w:t xml:space="preserve">Main victims </w:t>
      </w:r>
    </w:p>
    <w:p w14:paraId="20C64BF9" w14:textId="31CBF29D" w:rsidR="00697B04" w:rsidRPr="000811BF" w:rsidRDefault="00BF7902" w:rsidP="00B94580">
      <w:pPr>
        <w:pStyle w:val="SingleTxtG"/>
        <w:rPr>
          <w:color w:val="000000" w:themeColor="text1"/>
          <w:lang w:val="en-GB"/>
        </w:rPr>
      </w:pPr>
      <w:r>
        <w:rPr>
          <w:color w:val="000000" w:themeColor="text1"/>
          <w:lang w:val="en-GB"/>
        </w:rPr>
        <w:t xml:space="preserve">450. </w:t>
      </w:r>
      <w:r w:rsidR="00697B04" w:rsidRPr="000811BF">
        <w:rPr>
          <w:color w:val="000000" w:themeColor="text1"/>
          <w:lang w:val="en-GB"/>
        </w:rPr>
        <w:t>Victims were born between 1977 and 2000, and two of them were minors</w:t>
      </w:r>
      <w:r w:rsidR="00C4726F">
        <w:rPr>
          <w:rStyle w:val="FootnoteReference"/>
          <w:color w:val="000000" w:themeColor="text1"/>
          <w:lang w:val="en-GB"/>
        </w:rPr>
        <w:footnoteReference w:id="13"/>
      </w:r>
      <w:r w:rsidR="00697B04" w:rsidRPr="000811BF">
        <w:rPr>
          <w:color w:val="000000" w:themeColor="text1"/>
          <w:lang w:val="en-GB"/>
        </w:rPr>
        <w:t xml:space="preserve"> at the time of the </w:t>
      </w:r>
      <w:r w:rsidR="005B4E45" w:rsidRPr="000811BF">
        <w:rPr>
          <w:color w:val="000000" w:themeColor="text1"/>
          <w:lang w:val="en-GB"/>
        </w:rPr>
        <w:t>occurrence</w:t>
      </w:r>
      <w:r w:rsidR="00697B04" w:rsidRPr="000811BF">
        <w:rPr>
          <w:color w:val="000000" w:themeColor="text1"/>
          <w:lang w:val="en-GB"/>
        </w:rPr>
        <w:t>. Several were students</w:t>
      </w:r>
      <w:r w:rsidR="006578A2">
        <w:rPr>
          <w:color w:val="000000" w:themeColor="text1"/>
          <w:lang w:val="en-GB"/>
        </w:rPr>
        <w:t>,</w:t>
      </w:r>
      <w:r w:rsidR="00C4726F">
        <w:rPr>
          <w:rStyle w:val="FootnoteReference"/>
          <w:color w:val="000000" w:themeColor="text1"/>
          <w:lang w:val="en-GB"/>
        </w:rPr>
        <w:footnoteReference w:id="14"/>
      </w:r>
      <w:r w:rsidR="00697B04" w:rsidRPr="000811BF">
        <w:rPr>
          <w:color w:val="000000" w:themeColor="text1"/>
          <w:lang w:val="en-GB"/>
        </w:rPr>
        <w:t xml:space="preserve"> </w:t>
      </w:r>
      <w:r w:rsidR="006377F3" w:rsidRPr="000811BF">
        <w:rPr>
          <w:color w:val="000000" w:themeColor="text1"/>
          <w:lang w:val="en-GB"/>
        </w:rPr>
        <w:t>some</w:t>
      </w:r>
      <w:r w:rsidR="00697B04" w:rsidRPr="000811BF">
        <w:rPr>
          <w:color w:val="000000" w:themeColor="text1"/>
          <w:lang w:val="en-GB"/>
        </w:rPr>
        <w:t xml:space="preserve"> were </w:t>
      </w:r>
      <w:r w:rsidR="00C4726F">
        <w:rPr>
          <w:color w:val="000000" w:themeColor="text1"/>
          <w:lang w:val="en-GB"/>
        </w:rPr>
        <w:t>un</w:t>
      </w:r>
      <w:r w:rsidR="00697B04" w:rsidRPr="000811BF">
        <w:rPr>
          <w:color w:val="000000" w:themeColor="text1"/>
          <w:lang w:val="en-GB"/>
        </w:rPr>
        <w:t>employed</w:t>
      </w:r>
      <w:r w:rsidR="006578A2">
        <w:rPr>
          <w:color w:val="000000" w:themeColor="text1"/>
          <w:lang w:val="en-GB"/>
        </w:rPr>
        <w:t>,</w:t>
      </w:r>
      <w:r w:rsidR="00C4726F">
        <w:rPr>
          <w:rStyle w:val="FootnoteReference"/>
          <w:color w:val="000000" w:themeColor="text1"/>
          <w:lang w:val="en-GB"/>
        </w:rPr>
        <w:footnoteReference w:id="15"/>
      </w:r>
      <w:r w:rsidR="00C4726F">
        <w:rPr>
          <w:color w:val="000000" w:themeColor="text1"/>
          <w:lang w:val="en-GB"/>
        </w:rPr>
        <w:t xml:space="preserve"> some </w:t>
      </w:r>
      <w:r w:rsidR="00C4726F">
        <w:rPr>
          <w:color w:val="000000" w:themeColor="text1"/>
          <w:lang w:val="en-GB"/>
        </w:rPr>
        <w:lastRenderedPageBreak/>
        <w:t>others were employed</w:t>
      </w:r>
      <w:r w:rsidR="00697B04" w:rsidRPr="000811BF">
        <w:rPr>
          <w:color w:val="000000" w:themeColor="text1"/>
          <w:lang w:val="en-GB"/>
        </w:rPr>
        <w:t xml:space="preserve"> in the public service</w:t>
      </w:r>
      <w:r w:rsidR="006578A2">
        <w:rPr>
          <w:color w:val="000000" w:themeColor="text1"/>
          <w:lang w:val="en-GB"/>
        </w:rPr>
        <w:t>,</w:t>
      </w:r>
      <w:r w:rsidR="00C4726F">
        <w:rPr>
          <w:rStyle w:val="FootnoteReference"/>
          <w:color w:val="000000" w:themeColor="text1"/>
          <w:lang w:val="en-GB"/>
        </w:rPr>
        <w:footnoteReference w:id="16"/>
      </w:r>
      <w:r w:rsidR="00697B04" w:rsidRPr="000811BF">
        <w:rPr>
          <w:color w:val="000000" w:themeColor="text1"/>
          <w:lang w:val="en-GB"/>
        </w:rPr>
        <w:t xml:space="preserve"> or in the private sector</w:t>
      </w:r>
      <w:r w:rsidR="00C4726F">
        <w:rPr>
          <w:rStyle w:val="FootnoteReference"/>
          <w:color w:val="000000" w:themeColor="text1"/>
          <w:lang w:val="en-GB"/>
        </w:rPr>
        <w:footnoteReference w:id="17"/>
      </w:r>
      <w:r w:rsidR="00697B04" w:rsidRPr="000811BF">
        <w:rPr>
          <w:color w:val="000000" w:themeColor="text1"/>
          <w:lang w:val="en-GB"/>
        </w:rPr>
        <w:t>. Many of them resided in Bujumbura (</w:t>
      </w:r>
      <w:proofErr w:type="spellStart"/>
      <w:r w:rsidR="00697B04" w:rsidRPr="000811BF">
        <w:rPr>
          <w:color w:val="000000" w:themeColor="text1"/>
          <w:lang w:val="en-GB"/>
        </w:rPr>
        <w:t>Mairie</w:t>
      </w:r>
      <w:proofErr w:type="spellEnd"/>
      <w:r w:rsidR="00697B04" w:rsidRPr="000811BF">
        <w:rPr>
          <w:color w:val="000000" w:themeColor="text1"/>
          <w:lang w:val="en-GB"/>
        </w:rPr>
        <w:t xml:space="preserve">), although they often </w:t>
      </w:r>
      <w:r w:rsidR="006377F3" w:rsidRPr="000811BF">
        <w:rPr>
          <w:color w:val="000000" w:themeColor="text1"/>
          <w:lang w:val="en-GB"/>
        </w:rPr>
        <w:t>were</w:t>
      </w:r>
      <w:r w:rsidR="00697B04" w:rsidRPr="000811BF">
        <w:rPr>
          <w:color w:val="000000" w:themeColor="text1"/>
          <w:lang w:val="en-GB"/>
        </w:rPr>
        <w:t xml:space="preserve"> </w:t>
      </w:r>
      <w:r w:rsidR="006377F3" w:rsidRPr="000811BF">
        <w:rPr>
          <w:color w:val="000000" w:themeColor="text1"/>
          <w:lang w:val="en-GB"/>
        </w:rPr>
        <w:t>natives of</w:t>
      </w:r>
      <w:r w:rsidR="00697B04" w:rsidRPr="000811BF">
        <w:rPr>
          <w:color w:val="000000" w:themeColor="text1"/>
          <w:lang w:val="en-GB"/>
        </w:rPr>
        <w:t xml:space="preserve"> other province</w:t>
      </w:r>
      <w:r w:rsidR="006377F3" w:rsidRPr="000811BF">
        <w:rPr>
          <w:color w:val="000000" w:themeColor="text1"/>
          <w:lang w:val="en-GB"/>
        </w:rPr>
        <w:t>s</w:t>
      </w:r>
      <w:r w:rsidR="00697B04" w:rsidRPr="000811BF">
        <w:rPr>
          <w:color w:val="000000" w:themeColor="text1"/>
          <w:lang w:val="en-GB"/>
        </w:rPr>
        <w:t>. Several victims were affiliated with an opposition party</w:t>
      </w:r>
      <w:r w:rsidR="00C4726F">
        <w:rPr>
          <w:color w:val="000000" w:themeColor="text1"/>
          <w:lang w:val="en-GB"/>
        </w:rPr>
        <w:t xml:space="preserve"> (</w:t>
      </w:r>
      <w:r w:rsidR="007220CD">
        <w:rPr>
          <w:color w:val="000000" w:themeColor="text1"/>
          <w:lang w:val="en-GB"/>
        </w:rPr>
        <w:t xml:space="preserve">mainly </w:t>
      </w:r>
      <w:r w:rsidR="00C4726F">
        <w:rPr>
          <w:color w:val="000000" w:themeColor="text1"/>
          <w:lang w:val="en-GB"/>
        </w:rPr>
        <w:t xml:space="preserve">MSD in 2015-2016 and </w:t>
      </w:r>
      <w:r w:rsidR="006578A2">
        <w:rPr>
          <w:color w:val="000000" w:themeColor="text1"/>
          <w:lang w:val="en-GB"/>
        </w:rPr>
        <w:t>mostly</w:t>
      </w:r>
      <w:r w:rsidR="007220CD">
        <w:rPr>
          <w:color w:val="000000" w:themeColor="text1"/>
          <w:lang w:val="en-GB"/>
        </w:rPr>
        <w:t xml:space="preserve"> </w:t>
      </w:r>
      <w:r w:rsidR="00C4726F">
        <w:rPr>
          <w:color w:val="000000" w:themeColor="text1"/>
          <w:lang w:val="en-GB"/>
        </w:rPr>
        <w:t>CNL in 2019-2020)</w:t>
      </w:r>
      <w:r w:rsidR="006578A2">
        <w:rPr>
          <w:color w:val="000000" w:themeColor="text1"/>
          <w:lang w:val="en-GB"/>
        </w:rPr>
        <w:t>,</w:t>
      </w:r>
      <w:r w:rsidR="007220CD">
        <w:rPr>
          <w:rStyle w:val="FootnoteReference"/>
          <w:color w:val="000000" w:themeColor="text1"/>
          <w:lang w:val="en-GB"/>
        </w:rPr>
        <w:footnoteReference w:id="18"/>
      </w:r>
      <w:r w:rsidR="00697B04" w:rsidRPr="000811BF">
        <w:rPr>
          <w:color w:val="000000" w:themeColor="text1"/>
          <w:lang w:val="en-GB"/>
        </w:rPr>
        <w:t xml:space="preserve"> but others said they were not members of any party</w:t>
      </w:r>
      <w:r w:rsidR="007220CD">
        <w:rPr>
          <w:rStyle w:val="FootnoteReference"/>
          <w:color w:val="000000" w:themeColor="text1"/>
          <w:lang w:val="en-GB"/>
        </w:rPr>
        <w:footnoteReference w:id="19"/>
      </w:r>
      <w:r w:rsidR="00697B04" w:rsidRPr="000811BF">
        <w:rPr>
          <w:color w:val="000000" w:themeColor="text1"/>
          <w:lang w:val="en-GB"/>
        </w:rPr>
        <w:t>.</w:t>
      </w:r>
    </w:p>
    <w:p w14:paraId="725D5118" w14:textId="3C2C3453" w:rsidR="006377F3" w:rsidRPr="006578A2" w:rsidRDefault="00BF7902" w:rsidP="00B94580">
      <w:pPr>
        <w:pStyle w:val="SingleTxtG"/>
        <w:rPr>
          <w:color w:val="000000" w:themeColor="text1"/>
          <w:sz w:val="18"/>
          <w:szCs w:val="18"/>
          <w:lang w:val="en-GB"/>
        </w:rPr>
      </w:pPr>
      <w:r>
        <w:rPr>
          <w:color w:val="000000" w:themeColor="text1"/>
          <w:lang w:val="en-GB"/>
        </w:rPr>
        <w:t xml:space="preserve">451. </w:t>
      </w:r>
      <w:r w:rsidR="006377F3" w:rsidRPr="000811BF">
        <w:rPr>
          <w:color w:val="000000" w:themeColor="text1"/>
          <w:lang w:val="en-GB"/>
        </w:rPr>
        <w:t>Commenting on the profile of male victims of sexual torture in detention at SNR, one witness said “</w:t>
      </w:r>
      <w:r w:rsidR="006377F3" w:rsidRPr="000811BF">
        <w:rPr>
          <w:i/>
          <w:iCs/>
          <w:color w:val="000000" w:themeColor="text1"/>
          <w:lang w:val="en-GB"/>
        </w:rPr>
        <w:t>the people targeted were mostly strong young men who looked intelligent</w:t>
      </w:r>
      <w:r w:rsidR="006377F3" w:rsidRPr="006578A2">
        <w:rPr>
          <w:color w:val="000000" w:themeColor="text1"/>
          <w:sz w:val="18"/>
          <w:szCs w:val="18"/>
          <w:lang w:val="en-GB"/>
        </w:rPr>
        <w:t>”</w:t>
      </w:r>
      <w:r w:rsidR="006578A2" w:rsidRPr="006578A2">
        <w:rPr>
          <w:color w:val="000000" w:themeColor="text1"/>
          <w:sz w:val="18"/>
          <w:szCs w:val="18"/>
          <w:lang w:val="en-GB"/>
        </w:rPr>
        <w:t>.</w:t>
      </w:r>
      <w:r w:rsidR="006377F3" w:rsidRPr="006578A2">
        <w:rPr>
          <w:rStyle w:val="FootnoteReference"/>
          <w:color w:val="000000" w:themeColor="text1"/>
          <w:szCs w:val="18"/>
          <w:lang w:val="en-GB"/>
        </w:rPr>
        <w:footnoteReference w:id="20"/>
      </w:r>
    </w:p>
    <w:p w14:paraId="00FCFB10" w14:textId="722C1E5D" w:rsidR="00DD425F" w:rsidRPr="000811BF" w:rsidRDefault="00BF7902" w:rsidP="00B94580">
      <w:pPr>
        <w:pStyle w:val="SingleTxtG"/>
        <w:rPr>
          <w:color w:val="000000" w:themeColor="text1"/>
          <w:lang w:val="en-GB"/>
        </w:rPr>
      </w:pPr>
      <w:r>
        <w:rPr>
          <w:color w:val="000000" w:themeColor="text1"/>
          <w:lang w:val="en-GB"/>
        </w:rPr>
        <w:t xml:space="preserve">452. </w:t>
      </w:r>
      <w:r w:rsidR="009D14A5" w:rsidRPr="000811BF">
        <w:rPr>
          <w:color w:val="000000" w:themeColor="text1"/>
          <w:lang w:val="en-GB"/>
        </w:rPr>
        <w:t>T</w:t>
      </w:r>
      <w:r w:rsidR="00A24706" w:rsidRPr="000811BF">
        <w:rPr>
          <w:color w:val="000000" w:themeColor="text1"/>
          <w:lang w:val="en-GB"/>
        </w:rPr>
        <w:t xml:space="preserve">he reasons cited for targeting the victims </w:t>
      </w:r>
      <w:r w:rsidR="000D0B01" w:rsidRPr="000811BF">
        <w:rPr>
          <w:color w:val="000000" w:themeColor="text1"/>
          <w:lang w:val="en-GB"/>
        </w:rPr>
        <w:t>were</w:t>
      </w:r>
      <w:r w:rsidR="009D14A5" w:rsidRPr="000811BF">
        <w:rPr>
          <w:color w:val="000000" w:themeColor="text1"/>
          <w:lang w:val="en-GB"/>
        </w:rPr>
        <w:t xml:space="preserve">, </w:t>
      </w:r>
      <w:r w:rsidR="00E20266" w:rsidRPr="000811BF">
        <w:rPr>
          <w:color w:val="000000" w:themeColor="text1"/>
          <w:lang w:val="en-GB"/>
        </w:rPr>
        <w:t xml:space="preserve">above all, </w:t>
      </w:r>
      <w:r w:rsidR="000D0B01" w:rsidRPr="000811BF">
        <w:rPr>
          <w:color w:val="000000" w:themeColor="text1"/>
          <w:lang w:val="en-GB"/>
        </w:rPr>
        <w:t xml:space="preserve">political and security related and were generally </w:t>
      </w:r>
      <w:r w:rsidR="00DD425F" w:rsidRPr="000811BF">
        <w:rPr>
          <w:color w:val="000000" w:themeColor="text1"/>
          <w:lang w:val="en-GB"/>
        </w:rPr>
        <w:t>multiple. Victims were accused of participating in protests against the third term</w:t>
      </w:r>
      <w:r w:rsidR="006578A2">
        <w:rPr>
          <w:color w:val="000000" w:themeColor="text1"/>
          <w:lang w:val="en-GB"/>
        </w:rPr>
        <w:t>;</w:t>
      </w:r>
      <w:r w:rsidR="00DD425F" w:rsidRPr="006578A2">
        <w:rPr>
          <w:rStyle w:val="FootnoteReference"/>
          <w:color w:val="000000" w:themeColor="text1"/>
          <w:szCs w:val="18"/>
          <w:lang w:val="en-GB"/>
        </w:rPr>
        <w:footnoteReference w:id="21"/>
      </w:r>
      <w:r w:rsidR="00DD425F" w:rsidRPr="000811BF">
        <w:rPr>
          <w:color w:val="000000" w:themeColor="text1"/>
          <w:lang w:val="en-GB"/>
        </w:rPr>
        <w:t xml:space="preserve"> support</w:t>
      </w:r>
      <w:r w:rsidR="00797231" w:rsidRPr="000811BF">
        <w:rPr>
          <w:color w:val="000000" w:themeColor="text1"/>
          <w:lang w:val="en-GB"/>
        </w:rPr>
        <w:t>ing</w:t>
      </w:r>
      <w:r w:rsidR="00DD425F" w:rsidRPr="000811BF">
        <w:rPr>
          <w:color w:val="000000" w:themeColor="text1"/>
          <w:lang w:val="en-GB"/>
        </w:rPr>
        <w:t xml:space="preserve"> or participat</w:t>
      </w:r>
      <w:r w:rsidR="00797231" w:rsidRPr="000811BF">
        <w:rPr>
          <w:color w:val="000000" w:themeColor="text1"/>
          <w:lang w:val="en-GB"/>
        </w:rPr>
        <w:t>ing</w:t>
      </w:r>
      <w:r w:rsidR="00DD425F" w:rsidRPr="000811BF">
        <w:rPr>
          <w:color w:val="000000" w:themeColor="text1"/>
          <w:lang w:val="en-GB"/>
        </w:rPr>
        <w:t xml:space="preserve"> in armed actions against the Government in the capital or in certain provinces or </w:t>
      </w:r>
      <w:r w:rsidR="008706E4" w:rsidRPr="000811BF">
        <w:rPr>
          <w:color w:val="000000" w:themeColor="text1"/>
          <w:lang w:val="en-GB"/>
        </w:rPr>
        <w:t>of having</w:t>
      </w:r>
      <w:r w:rsidR="00DD425F" w:rsidRPr="000811BF">
        <w:rPr>
          <w:color w:val="000000" w:themeColor="text1"/>
          <w:lang w:val="en-GB"/>
        </w:rPr>
        <w:t xml:space="preserve"> information on these actions</w:t>
      </w:r>
      <w:r w:rsidR="006578A2">
        <w:rPr>
          <w:color w:val="000000" w:themeColor="text1"/>
          <w:lang w:val="en-GB"/>
        </w:rPr>
        <w:t>;</w:t>
      </w:r>
      <w:r w:rsidR="00DD425F" w:rsidRPr="006578A2">
        <w:rPr>
          <w:rStyle w:val="FootnoteReference"/>
          <w:color w:val="000000" w:themeColor="text1"/>
          <w:szCs w:val="18"/>
          <w:lang w:val="en-GB"/>
        </w:rPr>
        <w:footnoteReference w:id="22"/>
      </w:r>
      <w:r w:rsidR="00DD425F" w:rsidRPr="000811BF">
        <w:rPr>
          <w:color w:val="000000" w:themeColor="text1"/>
          <w:lang w:val="en-GB"/>
        </w:rPr>
        <w:t xml:space="preserve"> possess</w:t>
      </w:r>
      <w:r w:rsidR="008706E4" w:rsidRPr="000811BF">
        <w:rPr>
          <w:color w:val="000000" w:themeColor="text1"/>
          <w:lang w:val="en-GB"/>
        </w:rPr>
        <w:t>ing</w:t>
      </w:r>
      <w:r w:rsidR="00DD425F" w:rsidRPr="000811BF">
        <w:rPr>
          <w:color w:val="000000" w:themeColor="text1"/>
          <w:lang w:val="en-GB"/>
        </w:rPr>
        <w:t xml:space="preserve"> arms or ammunition</w:t>
      </w:r>
      <w:r w:rsidR="006578A2">
        <w:rPr>
          <w:color w:val="000000" w:themeColor="text1"/>
          <w:lang w:val="en-GB"/>
        </w:rPr>
        <w:t>;</w:t>
      </w:r>
      <w:r w:rsidR="00DD425F" w:rsidRPr="006578A2">
        <w:rPr>
          <w:rStyle w:val="FootnoteReference"/>
          <w:color w:val="000000" w:themeColor="text1"/>
          <w:szCs w:val="18"/>
          <w:lang w:val="en-GB"/>
        </w:rPr>
        <w:footnoteReference w:id="23"/>
      </w:r>
      <w:r w:rsidR="00DD425F" w:rsidRPr="000811BF">
        <w:rPr>
          <w:color w:val="000000" w:themeColor="text1"/>
          <w:lang w:val="en-GB"/>
        </w:rPr>
        <w:t xml:space="preserve"> </w:t>
      </w:r>
      <w:r w:rsidR="008706E4" w:rsidRPr="000811BF">
        <w:rPr>
          <w:color w:val="000000" w:themeColor="text1"/>
          <w:lang w:val="en-GB"/>
        </w:rPr>
        <w:t>being</w:t>
      </w:r>
      <w:r w:rsidR="00DD425F" w:rsidRPr="000811BF">
        <w:rPr>
          <w:color w:val="000000" w:themeColor="text1"/>
          <w:lang w:val="en-GB"/>
        </w:rPr>
        <w:t xml:space="preserve"> in contact with rebels or </w:t>
      </w:r>
      <w:r w:rsidR="008706E4" w:rsidRPr="000811BF">
        <w:rPr>
          <w:color w:val="000000" w:themeColor="text1"/>
          <w:lang w:val="en-GB"/>
        </w:rPr>
        <w:t>of spying</w:t>
      </w:r>
      <w:r w:rsidR="00DD425F" w:rsidRPr="000811BF">
        <w:rPr>
          <w:color w:val="000000" w:themeColor="text1"/>
          <w:lang w:val="en-GB"/>
        </w:rPr>
        <w:t xml:space="preserve"> on behalf of a foreign government</w:t>
      </w:r>
      <w:r w:rsidR="006578A2">
        <w:rPr>
          <w:color w:val="000000" w:themeColor="text1"/>
          <w:lang w:val="en-GB"/>
        </w:rPr>
        <w:t>;</w:t>
      </w:r>
      <w:r w:rsidR="00DD425F" w:rsidRPr="006578A2">
        <w:rPr>
          <w:rStyle w:val="FootnoteReference"/>
          <w:color w:val="000000" w:themeColor="text1"/>
          <w:szCs w:val="18"/>
          <w:lang w:val="en-GB"/>
        </w:rPr>
        <w:footnoteReference w:id="24"/>
      </w:r>
      <w:r w:rsidR="00DD425F" w:rsidRPr="000811BF">
        <w:rPr>
          <w:color w:val="000000" w:themeColor="text1"/>
          <w:lang w:val="en-GB"/>
        </w:rPr>
        <w:t xml:space="preserve"> provid</w:t>
      </w:r>
      <w:r w:rsidR="007E279D" w:rsidRPr="000811BF">
        <w:rPr>
          <w:color w:val="000000" w:themeColor="text1"/>
          <w:lang w:val="en-GB"/>
        </w:rPr>
        <w:t>ing</w:t>
      </w:r>
      <w:r w:rsidR="00DD425F" w:rsidRPr="000811BF">
        <w:rPr>
          <w:color w:val="000000" w:themeColor="text1"/>
          <w:lang w:val="en-GB"/>
        </w:rPr>
        <w:t xml:space="preserve"> information or work</w:t>
      </w:r>
      <w:r w:rsidR="007E279D" w:rsidRPr="000811BF">
        <w:rPr>
          <w:color w:val="000000" w:themeColor="text1"/>
          <w:lang w:val="en-GB"/>
        </w:rPr>
        <w:t>ing</w:t>
      </w:r>
      <w:r w:rsidR="00DD425F" w:rsidRPr="000811BF">
        <w:rPr>
          <w:color w:val="000000" w:themeColor="text1"/>
          <w:lang w:val="en-GB"/>
        </w:rPr>
        <w:t xml:space="preserve"> in collaboration with civil society or independent media</w:t>
      </w:r>
      <w:r w:rsidR="006578A2">
        <w:rPr>
          <w:color w:val="000000" w:themeColor="text1"/>
          <w:lang w:val="en-GB"/>
        </w:rPr>
        <w:t>;</w:t>
      </w:r>
      <w:r w:rsidR="00DD425F" w:rsidRPr="006578A2">
        <w:rPr>
          <w:rStyle w:val="FootnoteReference"/>
          <w:color w:val="000000" w:themeColor="text1"/>
          <w:szCs w:val="18"/>
          <w:lang w:val="en-GB"/>
        </w:rPr>
        <w:footnoteReference w:id="25"/>
      </w:r>
      <w:r w:rsidR="00DD425F" w:rsidRPr="000811BF">
        <w:rPr>
          <w:color w:val="000000" w:themeColor="text1"/>
          <w:lang w:val="en-GB"/>
        </w:rPr>
        <w:t xml:space="preserve"> support</w:t>
      </w:r>
      <w:r w:rsidR="007E279D" w:rsidRPr="000811BF">
        <w:rPr>
          <w:color w:val="000000" w:themeColor="text1"/>
          <w:lang w:val="en-GB"/>
        </w:rPr>
        <w:t>ing</w:t>
      </w:r>
      <w:r w:rsidR="00DD425F" w:rsidRPr="000811BF">
        <w:rPr>
          <w:color w:val="000000" w:themeColor="text1"/>
          <w:lang w:val="en-GB"/>
        </w:rPr>
        <w:t xml:space="preserve"> an opposition party or </w:t>
      </w:r>
      <w:r w:rsidR="006B5425" w:rsidRPr="000811BF">
        <w:rPr>
          <w:color w:val="000000" w:themeColor="text1"/>
          <w:lang w:val="en-GB"/>
        </w:rPr>
        <w:t>of having</w:t>
      </w:r>
      <w:r w:rsidR="00DD425F" w:rsidRPr="000811BF">
        <w:rPr>
          <w:color w:val="000000" w:themeColor="text1"/>
          <w:lang w:val="en-GB"/>
        </w:rPr>
        <w:t xml:space="preserve"> refused to support CNDD-FDD</w:t>
      </w:r>
      <w:r w:rsidR="00DD425F" w:rsidRPr="006578A2">
        <w:rPr>
          <w:rStyle w:val="FootnoteReference"/>
          <w:color w:val="000000" w:themeColor="text1"/>
          <w:szCs w:val="18"/>
          <w:lang w:val="en-GB"/>
        </w:rPr>
        <w:footnoteReference w:id="26"/>
      </w:r>
      <w:r w:rsidR="00DD425F" w:rsidRPr="000811BF">
        <w:rPr>
          <w:color w:val="000000" w:themeColor="text1"/>
          <w:lang w:val="en-GB"/>
        </w:rPr>
        <w:t xml:space="preserve">. </w:t>
      </w:r>
      <w:r w:rsidR="00320D15" w:rsidRPr="000811BF">
        <w:rPr>
          <w:color w:val="000000" w:themeColor="text1"/>
          <w:lang w:val="en-GB"/>
        </w:rPr>
        <w:t>They</w:t>
      </w:r>
      <w:r w:rsidR="00DD425F" w:rsidRPr="000811BF">
        <w:rPr>
          <w:color w:val="000000" w:themeColor="text1"/>
          <w:lang w:val="en-GB"/>
        </w:rPr>
        <w:t xml:space="preserve"> were</w:t>
      </w:r>
      <w:r w:rsidR="00320D15" w:rsidRPr="000811BF">
        <w:rPr>
          <w:color w:val="000000" w:themeColor="text1"/>
          <w:lang w:val="en-GB"/>
        </w:rPr>
        <w:t xml:space="preserve"> also</w:t>
      </w:r>
      <w:r w:rsidR="00DD425F" w:rsidRPr="000811BF">
        <w:rPr>
          <w:color w:val="000000" w:themeColor="text1"/>
          <w:lang w:val="en-GB"/>
        </w:rPr>
        <w:t xml:space="preserve"> targeted because one of their relatives was wanted for one of these reasons</w:t>
      </w:r>
      <w:r w:rsidR="006578A2">
        <w:rPr>
          <w:color w:val="000000" w:themeColor="text1"/>
          <w:lang w:val="en-GB"/>
        </w:rPr>
        <w:t>.</w:t>
      </w:r>
      <w:r w:rsidR="00DD425F" w:rsidRPr="006578A2">
        <w:rPr>
          <w:rStyle w:val="FootnoteReference"/>
          <w:color w:val="000000" w:themeColor="text1"/>
          <w:szCs w:val="18"/>
          <w:lang w:val="en-GB"/>
        </w:rPr>
        <w:footnoteReference w:id="27"/>
      </w:r>
    </w:p>
    <w:p w14:paraId="04383350" w14:textId="42176244" w:rsidR="00B94580" w:rsidRPr="000811BF" w:rsidRDefault="00B90CB6" w:rsidP="00B94580">
      <w:pPr>
        <w:pStyle w:val="H1G"/>
        <w:rPr>
          <w:color w:val="000000" w:themeColor="text1"/>
        </w:rPr>
      </w:pPr>
      <w:r>
        <w:rPr>
          <w:color w:val="000000" w:themeColor="text1"/>
        </w:rPr>
        <w:tab/>
      </w:r>
      <w:r>
        <w:rPr>
          <w:color w:val="000000" w:themeColor="text1"/>
        </w:rPr>
        <w:tab/>
      </w:r>
      <w:r w:rsidR="00B94580" w:rsidRPr="000811BF">
        <w:rPr>
          <w:color w:val="000000" w:themeColor="text1"/>
        </w:rPr>
        <w:t xml:space="preserve">3. </w:t>
      </w:r>
      <w:r w:rsidR="009E707E" w:rsidRPr="000811BF">
        <w:rPr>
          <w:color w:val="000000" w:themeColor="text1"/>
        </w:rPr>
        <w:t>Sexual violence as a</w:t>
      </w:r>
      <w:r w:rsidR="005B6A08" w:rsidRPr="000811BF">
        <w:rPr>
          <w:color w:val="000000" w:themeColor="text1"/>
        </w:rPr>
        <w:t xml:space="preserve"> </w:t>
      </w:r>
      <w:r w:rsidR="009E707E" w:rsidRPr="000811BF">
        <w:rPr>
          <w:color w:val="000000" w:themeColor="text1"/>
        </w:rPr>
        <w:t xml:space="preserve">form of </w:t>
      </w:r>
      <w:r w:rsidR="005B6A08" w:rsidRPr="000811BF">
        <w:rPr>
          <w:color w:val="000000" w:themeColor="text1"/>
        </w:rPr>
        <w:t>torture</w:t>
      </w:r>
      <w:r w:rsidR="009E707E" w:rsidRPr="000811BF">
        <w:rPr>
          <w:color w:val="000000" w:themeColor="text1"/>
        </w:rPr>
        <w:t xml:space="preserve"> </w:t>
      </w:r>
      <w:r w:rsidR="007220CD">
        <w:rPr>
          <w:color w:val="000000" w:themeColor="text1"/>
        </w:rPr>
        <w:t>used by</w:t>
      </w:r>
      <w:r w:rsidR="005B4E45" w:rsidRPr="000811BF">
        <w:rPr>
          <w:color w:val="000000" w:themeColor="text1"/>
        </w:rPr>
        <w:t xml:space="preserve"> the SNR </w:t>
      </w:r>
    </w:p>
    <w:p w14:paraId="77962B15" w14:textId="0D6E62FF" w:rsidR="001E6B9F" w:rsidRPr="000811BF" w:rsidRDefault="00BF7902" w:rsidP="001E6B9F">
      <w:pPr>
        <w:pStyle w:val="SingleTxtG"/>
        <w:rPr>
          <w:color w:val="000000" w:themeColor="text1"/>
          <w:lang w:val="en-GB"/>
        </w:rPr>
      </w:pPr>
      <w:r>
        <w:rPr>
          <w:color w:val="000000" w:themeColor="text1"/>
          <w:lang w:val="en-GB"/>
        </w:rPr>
        <w:t xml:space="preserve">453. </w:t>
      </w:r>
      <w:r w:rsidR="009E707E" w:rsidRPr="000811BF">
        <w:rPr>
          <w:color w:val="000000" w:themeColor="text1"/>
          <w:lang w:val="en-GB"/>
        </w:rPr>
        <w:t>The vast majority of sexual violence against men documented by the Commission was committed in the context of arbitrary detentions</w:t>
      </w:r>
      <w:r w:rsidR="00EA6189" w:rsidRPr="000811BF">
        <w:rPr>
          <w:color w:val="000000" w:themeColor="text1"/>
          <w:lang w:val="en-GB"/>
        </w:rPr>
        <w:t xml:space="preserve"> under the responsibility of the SNR and</w:t>
      </w:r>
      <w:r w:rsidR="009E707E" w:rsidRPr="000811BF">
        <w:rPr>
          <w:color w:val="000000" w:themeColor="text1"/>
          <w:lang w:val="en-GB"/>
        </w:rPr>
        <w:t xml:space="preserve"> rang</w:t>
      </w:r>
      <w:r w:rsidR="00EA6189" w:rsidRPr="000811BF">
        <w:rPr>
          <w:color w:val="000000" w:themeColor="text1"/>
          <w:lang w:val="en-GB"/>
        </w:rPr>
        <w:t>ed</w:t>
      </w:r>
      <w:r w:rsidR="009E707E" w:rsidRPr="000811BF">
        <w:rPr>
          <w:color w:val="000000" w:themeColor="text1"/>
          <w:lang w:val="en-GB"/>
        </w:rPr>
        <w:t xml:space="preserve"> from a few hours to several weeks, in official or unofficial place</w:t>
      </w:r>
      <w:r w:rsidR="00EA6189" w:rsidRPr="000811BF">
        <w:rPr>
          <w:color w:val="000000" w:themeColor="text1"/>
          <w:lang w:val="en-GB"/>
        </w:rPr>
        <w:t>s,</w:t>
      </w:r>
      <w:r w:rsidR="009E707E" w:rsidRPr="000811BF">
        <w:rPr>
          <w:color w:val="000000" w:themeColor="text1"/>
          <w:lang w:val="en-GB"/>
        </w:rPr>
        <w:t xml:space="preserve"> mainly at </w:t>
      </w:r>
      <w:r w:rsidR="00EA6189" w:rsidRPr="000811BF">
        <w:rPr>
          <w:color w:val="000000" w:themeColor="text1"/>
          <w:lang w:val="en-GB"/>
        </w:rPr>
        <w:t>SNR’s</w:t>
      </w:r>
      <w:r w:rsidR="009E707E" w:rsidRPr="000811BF">
        <w:rPr>
          <w:color w:val="000000" w:themeColor="text1"/>
          <w:lang w:val="en-GB"/>
        </w:rPr>
        <w:t xml:space="preserve"> headquarters located near the cathedral in Bujumbura</w:t>
      </w:r>
      <w:r w:rsidR="006578A2">
        <w:rPr>
          <w:color w:val="000000" w:themeColor="text1"/>
          <w:lang w:val="en-GB"/>
        </w:rPr>
        <w:t>,</w:t>
      </w:r>
      <w:r w:rsidR="00EA6189" w:rsidRPr="00C32E74">
        <w:rPr>
          <w:rStyle w:val="FootnoteReference"/>
          <w:color w:val="000000" w:themeColor="text1"/>
          <w:sz w:val="20"/>
          <w:lang w:val="en-GB"/>
        </w:rPr>
        <w:footnoteReference w:id="28"/>
      </w:r>
      <w:r w:rsidR="009E707E" w:rsidRPr="006578A2">
        <w:rPr>
          <w:color w:val="000000" w:themeColor="text1"/>
          <w:sz w:val="18"/>
          <w:szCs w:val="18"/>
          <w:lang w:val="en-GB"/>
        </w:rPr>
        <w:t xml:space="preserve"> </w:t>
      </w:r>
      <w:r w:rsidR="009E707E" w:rsidRPr="000811BF">
        <w:rPr>
          <w:color w:val="000000" w:themeColor="text1"/>
          <w:lang w:val="en-GB"/>
        </w:rPr>
        <w:t xml:space="preserve">but also residential houses, rooms or containers located in Bujumbura, </w:t>
      </w:r>
      <w:proofErr w:type="spellStart"/>
      <w:r w:rsidR="009E707E" w:rsidRPr="000811BF">
        <w:rPr>
          <w:color w:val="000000" w:themeColor="text1"/>
          <w:lang w:val="en-GB"/>
        </w:rPr>
        <w:t>Rumonge</w:t>
      </w:r>
      <w:proofErr w:type="spellEnd"/>
      <w:r w:rsidR="009E707E" w:rsidRPr="000811BF">
        <w:rPr>
          <w:color w:val="000000" w:themeColor="text1"/>
          <w:lang w:val="en-GB"/>
        </w:rPr>
        <w:t xml:space="preserve">, </w:t>
      </w:r>
      <w:proofErr w:type="spellStart"/>
      <w:r w:rsidR="009E707E" w:rsidRPr="000811BF">
        <w:rPr>
          <w:color w:val="000000" w:themeColor="text1"/>
          <w:lang w:val="en-GB"/>
        </w:rPr>
        <w:t>Ruyigi</w:t>
      </w:r>
      <w:proofErr w:type="spellEnd"/>
      <w:r w:rsidR="009E707E" w:rsidRPr="000811BF">
        <w:rPr>
          <w:color w:val="000000" w:themeColor="text1"/>
          <w:lang w:val="en-GB"/>
        </w:rPr>
        <w:t xml:space="preserve"> or </w:t>
      </w:r>
      <w:proofErr w:type="spellStart"/>
      <w:r w:rsidR="009E707E" w:rsidRPr="000811BF">
        <w:rPr>
          <w:color w:val="000000" w:themeColor="text1"/>
          <w:lang w:val="en-GB"/>
        </w:rPr>
        <w:t>Ngozi</w:t>
      </w:r>
      <w:proofErr w:type="spellEnd"/>
      <w:r w:rsidR="009E707E" w:rsidRPr="000811BF">
        <w:rPr>
          <w:color w:val="000000" w:themeColor="text1"/>
          <w:lang w:val="en-GB"/>
        </w:rPr>
        <w:t>.</w:t>
      </w:r>
      <w:r w:rsidR="007220CD">
        <w:rPr>
          <w:color w:val="000000" w:themeColor="text1"/>
          <w:lang w:val="en-GB"/>
        </w:rPr>
        <w:t xml:space="preserve"> </w:t>
      </w:r>
      <w:r w:rsidR="001E6B9F" w:rsidRPr="000811BF">
        <w:rPr>
          <w:color w:val="000000" w:themeColor="text1"/>
          <w:lang w:val="en-GB"/>
        </w:rPr>
        <w:t xml:space="preserve">Moreover, </w:t>
      </w:r>
      <w:r w:rsidR="00EA6189" w:rsidRPr="000811BF">
        <w:rPr>
          <w:color w:val="000000" w:themeColor="text1"/>
          <w:lang w:val="en-GB"/>
        </w:rPr>
        <w:t xml:space="preserve">even </w:t>
      </w:r>
      <w:r w:rsidR="001E6B9F" w:rsidRPr="000811BF">
        <w:rPr>
          <w:color w:val="000000" w:themeColor="text1"/>
          <w:lang w:val="en-GB"/>
        </w:rPr>
        <w:t xml:space="preserve">when </w:t>
      </w:r>
      <w:r w:rsidR="00EA6189" w:rsidRPr="000811BF">
        <w:rPr>
          <w:color w:val="000000" w:themeColor="text1"/>
          <w:lang w:val="en-GB"/>
        </w:rPr>
        <w:t xml:space="preserve">a </w:t>
      </w:r>
      <w:r w:rsidR="001E6B9F" w:rsidRPr="000811BF">
        <w:rPr>
          <w:color w:val="000000" w:themeColor="text1"/>
          <w:lang w:val="en-GB"/>
        </w:rPr>
        <w:t xml:space="preserve">place of detention was not </w:t>
      </w:r>
      <w:r w:rsidR="0015095A" w:rsidRPr="000811BF">
        <w:rPr>
          <w:color w:val="000000" w:themeColor="text1"/>
          <w:lang w:val="en-GB"/>
        </w:rPr>
        <w:t>identified</w:t>
      </w:r>
      <w:r w:rsidR="001E6B9F" w:rsidRPr="000811BF">
        <w:rPr>
          <w:color w:val="000000" w:themeColor="text1"/>
          <w:lang w:val="en-GB"/>
        </w:rPr>
        <w:t xml:space="preserve">, victims recognized their </w:t>
      </w:r>
      <w:r w:rsidR="00EA6189" w:rsidRPr="000811BF">
        <w:rPr>
          <w:color w:val="000000" w:themeColor="text1"/>
          <w:lang w:val="en-GB"/>
        </w:rPr>
        <w:t>aggressors</w:t>
      </w:r>
      <w:r w:rsidR="001E6B9F" w:rsidRPr="000811BF">
        <w:rPr>
          <w:color w:val="000000" w:themeColor="text1"/>
          <w:lang w:val="en-GB"/>
        </w:rPr>
        <w:t xml:space="preserve"> as SNR agents, in particular </w:t>
      </w:r>
      <w:r w:rsidR="00EA6189" w:rsidRPr="000811BF">
        <w:rPr>
          <w:color w:val="000000" w:themeColor="text1"/>
          <w:lang w:val="en-GB"/>
        </w:rPr>
        <w:t>by</w:t>
      </w:r>
      <w:r w:rsidR="001E6B9F" w:rsidRPr="000811BF">
        <w:rPr>
          <w:color w:val="000000" w:themeColor="text1"/>
          <w:lang w:val="en-GB"/>
        </w:rPr>
        <w:t xml:space="preserve"> their attire or </w:t>
      </w:r>
      <w:r w:rsidR="00EA6189" w:rsidRPr="000811BF">
        <w:rPr>
          <w:color w:val="000000" w:themeColor="text1"/>
          <w:lang w:val="en-GB"/>
        </w:rPr>
        <w:t xml:space="preserve">through </w:t>
      </w:r>
      <w:r w:rsidR="001E6B9F" w:rsidRPr="000811BF">
        <w:rPr>
          <w:color w:val="000000" w:themeColor="text1"/>
          <w:lang w:val="en-GB"/>
        </w:rPr>
        <w:t>the presence of certain senior officers whom they identified or recognized</w:t>
      </w:r>
      <w:r w:rsidR="006578A2">
        <w:rPr>
          <w:color w:val="000000" w:themeColor="text1"/>
          <w:lang w:val="en-GB"/>
        </w:rPr>
        <w:t>.</w:t>
      </w:r>
      <w:r w:rsidR="00EA6189" w:rsidRPr="00C32E74">
        <w:rPr>
          <w:rStyle w:val="FootnoteReference"/>
          <w:color w:val="000000" w:themeColor="text1"/>
          <w:sz w:val="20"/>
          <w:lang w:val="en-GB"/>
        </w:rPr>
        <w:footnoteReference w:id="29"/>
      </w:r>
    </w:p>
    <w:p w14:paraId="56FFCA86" w14:textId="642C1D66" w:rsidR="001E6B9F" w:rsidRPr="000811BF" w:rsidRDefault="00BF7902" w:rsidP="005B4E45">
      <w:pPr>
        <w:pStyle w:val="SingleTxtG"/>
        <w:rPr>
          <w:color w:val="000000" w:themeColor="text1"/>
          <w:lang w:val="en-GB"/>
        </w:rPr>
      </w:pPr>
      <w:r>
        <w:rPr>
          <w:color w:val="000000" w:themeColor="text1"/>
          <w:lang w:val="en-GB"/>
        </w:rPr>
        <w:t xml:space="preserve">454. </w:t>
      </w:r>
      <w:r w:rsidR="001E6B9F" w:rsidRPr="000811BF">
        <w:rPr>
          <w:color w:val="000000" w:themeColor="text1"/>
          <w:lang w:val="en-GB"/>
        </w:rPr>
        <w:t xml:space="preserve">Sexual violence was also perpetrated by police officers, </w:t>
      </w:r>
      <w:r w:rsidR="007220CD">
        <w:rPr>
          <w:color w:val="000000" w:themeColor="text1"/>
          <w:lang w:val="en-GB"/>
        </w:rPr>
        <w:t>in particular</w:t>
      </w:r>
      <w:r w:rsidR="001E6B9F" w:rsidRPr="000811BF">
        <w:rPr>
          <w:color w:val="000000" w:themeColor="text1"/>
          <w:lang w:val="en-GB"/>
        </w:rPr>
        <w:t xml:space="preserve"> the </w:t>
      </w:r>
      <w:r w:rsidR="007220CD">
        <w:rPr>
          <w:color w:val="000000" w:themeColor="text1"/>
          <w:lang w:val="en-GB"/>
        </w:rPr>
        <w:t>unit for the protection of institutions (</w:t>
      </w:r>
      <w:r w:rsidR="001E6B9F" w:rsidRPr="000811BF">
        <w:rPr>
          <w:color w:val="000000" w:themeColor="text1"/>
          <w:lang w:val="en-GB"/>
        </w:rPr>
        <w:t>API</w:t>
      </w:r>
      <w:r w:rsidR="007220CD">
        <w:rPr>
          <w:color w:val="000000" w:themeColor="text1"/>
          <w:lang w:val="en-GB"/>
        </w:rPr>
        <w:t xml:space="preserve"> - </w:t>
      </w:r>
      <w:proofErr w:type="spellStart"/>
      <w:r w:rsidR="007220CD" w:rsidRPr="00116217">
        <w:rPr>
          <w:i/>
          <w:lang w:val="en-GB"/>
        </w:rPr>
        <w:t>Appui</w:t>
      </w:r>
      <w:proofErr w:type="spellEnd"/>
      <w:r w:rsidR="007220CD" w:rsidRPr="00116217">
        <w:rPr>
          <w:i/>
          <w:lang w:val="en-GB"/>
        </w:rPr>
        <w:t xml:space="preserve"> à la protection des institutions</w:t>
      </w:r>
      <w:r w:rsidR="007220CD" w:rsidRPr="007220CD">
        <w:rPr>
          <w:lang w:val="en-GB"/>
        </w:rPr>
        <w:t>)</w:t>
      </w:r>
      <w:r w:rsidR="001E6B9F" w:rsidRPr="000811BF">
        <w:rPr>
          <w:color w:val="000000" w:themeColor="text1"/>
          <w:lang w:val="en-GB"/>
        </w:rPr>
        <w:t xml:space="preserve">, and </w:t>
      </w:r>
      <w:proofErr w:type="spellStart"/>
      <w:r w:rsidR="001E6B9F" w:rsidRPr="000811BF">
        <w:rPr>
          <w:color w:val="000000" w:themeColor="text1"/>
          <w:lang w:val="en-GB"/>
        </w:rPr>
        <w:t>Imbonerakure</w:t>
      </w:r>
      <w:proofErr w:type="spellEnd"/>
      <w:r w:rsidR="001E6B9F" w:rsidRPr="000811BF">
        <w:rPr>
          <w:color w:val="000000" w:themeColor="text1"/>
          <w:lang w:val="en-GB"/>
        </w:rPr>
        <w:t xml:space="preserve"> in places of detention under the responsibility of the SNR</w:t>
      </w:r>
      <w:r w:rsidR="006578A2">
        <w:rPr>
          <w:color w:val="000000" w:themeColor="text1"/>
          <w:lang w:val="en-GB"/>
        </w:rPr>
        <w:t>.</w:t>
      </w:r>
      <w:r w:rsidR="00EA6189" w:rsidRPr="00C32E74">
        <w:rPr>
          <w:rStyle w:val="FootnoteReference"/>
          <w:color w:val="000000" w:themeColor="text1"/>
          <w:sz w:val="20"/>
          <w:lang w:val="en-GB"/>
        </w:rPr>
        <w:footnoteReference w:id="30"/>
      </w:r>
    </w:p>
    <w:p w14:paraId="2E09674C" w14:textId="17C7117B" w:rsidR="001E6B9F" w:rsidRPr="000811BF" w:rsidRDefault="00BF7902" w:rsidP="001E6B9F">
      <w:pPr>
        <w:pStyle w:val="SingleTxtG"/>
        <w:rPr>
          <w:color w:val="000000" w:themeColor="text1"/>
          <w:lang w:val="en-GB"/>
        </w:rPr>
      </w:pPr>
      <w:r>
        <w:rPr>
          <w:color w:val="000000" w:themeColor="text1"/>
          <w:lang w:val="en-GB"/>
        </w:rPr>
        <w:t xml:space="preserve">455. </w:t>
      </w:r>
      <w:r w:rsidR="001B7740" w:rsidRPr="000811BF">
        <w:rPr>
          <w:color w:val="000000" w:themeColor="text1"/>
          <w:lang w:val="en-GB"/>
        </w:rPr>
        <w:t>S</w:t>
      </w:r>
      <w:r w:rsidR="001E6B9F" w:rsidRPr="000811BF">
        <w:rPr>
          <w:color w:val="000000" w:themeColor="text1"/>
          <w:lang w:val="en-GB"/>
        </w:rPr>
        <w:t xml:space="preserve">exual violence </w:t>
      </w:r>
      <w:r w:rsidR="00EA6189" w:rsidRPr="000811BF">
        <w:rPr>
          <w:color w:val="000000" w:themeColor="text1"/>
          <w:lang w:val="en-GB"/>
        </w:rPr>
        <w:t>was</w:t>
      </w:r>
      <w:r w:rsidR="001E6B9F" w:rsidRPr="000811BF">
        <w:rPr>
          <w:color w:val="000000" w:themeColor="text1"/>
          <w:lang w:val="en-GB"/>
        </w:rPr>
        <w:t xml:space="preserve"> always </w:t>
      </w:r>
      <w:r w:rsidR="00EA6189" w:rsidRPr="000811BF">
        <w:rPr>
          <w:color w:val="000000" w:themeColor="text1"/>
          <w:lang w:val="en-GB"/>
        </w:rPr>
        <w:t>committed</w:t>
      </w:r>
      <w:r w:rsidR="001E6B9F" w:rsidRPr="000811BF">
        <w:rPr>
          <w:color w:val="000000" w:themeColor="text1"/>
          <w:lang w:val="en-GB"/>
        </w:rPr>
        <w:t xml:space="preserve"> </w:t>
      </w:r>
      <w:r w:rsidR="002E6053" w:rsidRPr="000811BF">
        <w:rPr>
          <w:color w:val="000000" w:themeColor="text1"/>
          <w:lang w:val="en-GB"/>
        </w:rPr>
        <w:t xml:space="preserve">jointly </w:t>
      </w:r>
      <w:r w:rsidR="001E6B9F" w:rsidRPr="000811BF">
        <w:rPr>
          <w:color w:val="000000" w:themeColor="text1"/>
          <w:lang w:val="en-GB"/>
        </w:rPr>
        <w:t xml:space="preserve">with other forms of violence </w:t>
      </w:r>
      <w:r w:rsidR="00116217">
        <w:rPr>
          <w:color w:val="000000" w:themeColor="text1"/>
          <w:lang w:val="en-GB"/>
        </w:rPr>
        <w:t>that</w:t>
      </w:r>
      <w:r w:rsidR="001E6B9F" w:rsidRPr="000811BF">
        <w:rPr>
          <w:color w:val="000000" w:themeColor="text1"/>
          <w:lang w:val="en-GB"/>
        </w:rPr>
        <w:t xml:space="preserve"> also constitute torture or cruel, inhuman or degrading treatment, particularly kicking, </w:t>
      </w:r>
      <w:r w:rsidR="00116217">
        <w:rPr>
          <w:color w:val="000000" w:themeColor="text1"/>
          <w:lang w:val="en-GB"/>
        </w:rPr>
        <w:t>beating</w:t>
      </w:r>
      <w:r w:rsidR="00EA6189" w:rsidRPr="000811BF">
        <w:rPr>
          <w:color w:val="000000" w:themeColor="text1"/>
          <w:lang w:val="en-GB"/>
        </w:rPr>
        <w:t xml:space="preserve"> with </w:t>
      </w:r>
      <w:r w:rsidR="001E6B9F" w:rsidRPr="000811BF">
        <w:rPr>
          <w:color w:val="000000" w:themeColor="text1"/>
          <w:lang w:val="en-GB"/>
        </w:rPr>
        <w:t>sticks</w:t>
      </w:r>
      <w:r w:rsidR="007220CD">
        <w:rPr>
          <w:color w:val="000000" w:themeColor="text1"/>
          <w:lang w:val="en-GB"/>
        </w:rPr>
        <w:t>, truncheons</w:t>
      </w:r>
      <w:r w:rsidR="00EA6189" w:rsidRPr="000811BF">
        <w:rPr>
          <w:color w:val="000000" w:themeColor="text1"/>
          <w:lang w:val="en-GB"/>
        </w:rPr>
        <w:t xml:space="preserve"> </w:t>
      </w:r>
      <w:r w:rsidR="001E6B9F" w:rsidRPr="000811BF">
        <w:rPr>
          <w:color w:val="000000" w:themeColor="text1"/>
          <w:lang w:val="en-GB"/>
        </w:rPr>
        <w:t xml:space="preserve">or even with the butt of a gun or electric cables. </w:t>
      </w:r>
      <w:r w:rsidR="00EA6189" w:rsidRPr="000811BF">
        <w:rPr>
          <w:color w:val="000000" w:themeColor="text1"/>
          <w:lang w:val="en-GB"/>
        </w:rPr>
        <w:t>It</w:t>
      </w:r>
      <w:r w:rsidR="001E6B9F" w:rsidRPr="000811BF">
        <w:rPr>
          <w:color w:val="000000" w:themeColor="text1"/>
          <w:lang w:val="en-GB"/>
        </w:rPr>
        <w:t xml:space="preserve"> </w:t>
      </w:r>
      <w:r w:rsidR="00EA6189" w:rsidRPr="000811BF">
        <w:rPr>
          <w:color w:val="000000" w:themeColor="text1"/>
          <w:lang w:val="en-GB"/>
        </w:rPr>
        <w:t>was</w:t>
      </w:r>
      <w:r w:rsidR="001E6B9F" w:rsidRPr="000811BF">
        <w:rPr>
          <w:color w:val="000000" w:themeColor="text1"/>
          <w:lang w:val="en-GB"/>
        </w:rPr>
        <w:t xml:space="preserve"> also accompanied by death threats, mock execution</w:t>
      </w:r>
      <w:r w:rsidR="00090725" w:rsidRPr="000811BF">
        <w:rPr>
          <w:color w:val="000000" w:themeColor="text1"/>
          <w:lang w:val="en-GB"/>
        </w:rPr>
        <w:t>s</w:t>
      </w:r>
      <w:r w:rsidR="001E6B9F" w:rsidRPr="000811BF">
        <w:rPr>
          <w:color w:val="000000" w:themeColor="text1"/>
          <w:lang w:val="en-GB"/>
        </w:rPr>
        <w:t xml:space="preserve">, and victims </w:t>
      </w:r>
      <w:r w:rsidR="00EA6189" w:rsidRPr="000811BF">
        <w:rPr>
          <w:color w:val="000000" w:themeColor="text1"/>
          <w:lang w:val="en-GB"/>
        </w:rPr>
        <w:t>were</w:t>
      </w:r>
      <w:r w:rsidR="001E6B9F" w:rsidRPr="000811BF">
        <w:rPr>
          <w:color w:val="000000" w:themeColor="text1"/>
          <w:lang w:val="en-GB"/>
        </w:rPr>
        <w:t xml:space="preserve"> forced to witness the torture or execution of others.</w:t>
      </w:r>
    </w:p>
    <w:p w14:paraId="39CCA8AD" w14:textId="4A86E465" w:rsidR="001E6B9F" w:rsidRPr="000811BF" w:rsidRDefault="00BF7902" w:rsidP="001E6B9F">
      <w:pPr>
        <w:pStyle w:val="SingleTxtG"/>
        <w:rPr>
          <w:color w:val="000000" w:themeColor="text1"/>
          <w:lang w:val="en-GB"/>
        </w:rPr>
      </w:pPr>
      <w:r>
        <w:rPr>
          <w:color w:val="000000" w:themeColor="text1"/>
          <w:lang w:val="en-GB"/>
        </w:rPr>
        <w:t xml:space="preserve">456. </w:t>
      </w:r>
      <w:r w:rsidR="001E6B9F" w:rsidRPr="000811BF">
        <w:rPr>
          <w:color w:val="000000" w:themeColor="text1"/>
          <w:lang w:val="en-GB"/>
        </w:rPr>
        <w:t>Certain acts of violence, particularly th</w:t>
      </w:r>
      <w:r w:rsidR="006F1A55" w:rsidRPr="000811BF">
        <w:rPr>
          <w:color w:val="000000" w:themeColor="text1"/>
          <w:lang w:val="en-GB"/>
        </w:rPr>
        <w:t>ose</w:t>
      </w:r>
      <w:r w:rsidR="001E6B9F" w:rsidRPr="000811BF">
        <w:rPr>
          <w:color w:val="000000" w:themeColor="text1"/>
          <w:lang w:val="en-GB"/>
        </w:rPr>
        <w:t xml:space="preserve"> targeting genitals and rape, have been committed with the intention of inflicting severe mental or physical suffering on the victim</w:t>
      </w:r>
      <w:r w:rsidR="007220CD">
        <w:rPr>
          <w:color w:val="000000" w:themeColor="text1"/>
          <w:lang w:val="en-GB"/>
        </w:rPr>
        <w:t>s</w:t>
      </w:r>
      <w:r w:rsidR="001E6B9F" w:rsidRPr="000811BF">
        <w:rPr>
          <w:color w:val="000000" w:themeColor="text1"/>
          <w:lang w:val="en-GB"/>
        </w:rPr>
        <w:t xml:space="preserve"> with the aim of punishing them or extracting a confession, and are therefore </w:t>
      </w:r>
      <w:r w:rsidR="001E6B9F" w:rsidRPr="000811BF">
        <w:rPr>
          <w:color w:val="000000" w:themeColor="text1"/>
          <w:lang w:val="en-GB"/>
        </w:rPr>
        <w:lastRenderedPageBreak/>
        <w:t>constitutive of torture. Others, such as forced nudity and insults, which were clearly intended to humiliate or intimidate victims, amount to inhuman or degrading treatment.</w:t>
      </w:r>
    </w:p>
    <w:p w14:paraId="7B6FB50F" w14:textId="5D0FC4DF" w:rsidR="001E6B9F" w:rsidRPr="000811BF" w:rsidRDefault="00BF7902" w:rsidP="00B94580">
      <w:pPr>
        <w:pStyle w:val="SingleTxtG"/>
        <w:rPr>
          <w:color w:val="000000" w:themeColor="text1"/>
          <w:lang w:val="en-GB"/>
        </w:rPr>
      </w:pPr>
      <w:r>
        <w:rPr>
          <w:color w:val="000000" w:themeColor="text1"/>
          <w:lang w:val="en-GB"/>
        </w:rPr>
        <w:t xml:space="preserve">457. </w:t>
      </w:r>
      <w:r w:rsidR="00DC0BDB" w:rsidRPr="000811BF">
        <w:rPr>
          <w:color w:val="000000" w:themeColor="text1"/>
          <w:lang w:val="en-GB"/>
        </w:rPr>
        <w:t>The a</w:t>
      </w:r>
      <w:r w:rsidR="001E6B9F" w:rsidRPr="000811BF">
        <w:rPr>
          <w:color w:val="000000" w:themeColor="text1"/>
          <w:lang w:val="en-GB"/>
        </w:rPr>
        <w:t xml:space="preserve">nalysis of the modus operandi of this sexual violence reveals that the sexual organs and sexuality of men were strategically and deliberately targeted, and several </w:t>
      </w:r>
      <w:r w:rsidR="008D4764" w:rsidRPr="000811BF">
        <w:rPr>
          <w:color w:val="000000" w:themeColor="text1"/>
          <w:lang w:val="en-GB"/>
        </w:rPr>
        <w:t>witness accounts</w:t>
      </w:r>
      <w:r w:rsidR="001E6B9F" w:rsidRPr="000811BF">
        <w:rPr>
          <w:color w:val="000000" w:themeColor="text1"/>
          <w:lang w:val="en-GB"/>
        </w:rPr>
        <w:t xml:space="preserve"> suggest that the choice of torture methods to be applied </w:t>
      </w:r>
      <w:r w:rsidR="00EA6189" w:rsidRPr="000811BF">
        <w:rPr>
          <w:color w:val="000000" w:themeColor="text1"/>
          <w:lang w:val="en-GB"/>
        </w:rPr>
        <w:t>on</w:t>
      </w:r>
      <w:r w:rsidR="001E6B9F" w:rsidRPr="000811BF">
        <w:rPr>
          <w:color w:val="000000" w:themeColor="text1"/>
          <w:lang w:val="en-GB"/>
        </w:rPr>
        <w:t xml:space="preserve"> a detainee was not </w:t>
      </w:r>
      <w:r w:rsidR="00EA6189" w:rsidRPr="000811BF">
        <w:rPr>
          <w:color w:val="000000" w:themeColor="text1"/>
          <w:lang w:val="en-GB"/>
        </w:rPr>
        <w:t xml:space="preserve">intuitively decided by </w:t>
      </w:r>
      <w:r w:rsidR="001E6B9F" w:rsidRPr="000811BF">
        <w:rPr>
          <w:color w:val="000000" w:themeColor="text1"/>
          <w:lang w:val="en-GB"/>
        </w:rPr>
        <w:t xml:space="preserve">the </w:t>
      </w:r>
      <w:r w:rsidR="00EA6189" w:rsidRPr="000811BF">
        <w:rPr>
          <w:color w:val="000000" w:themeColor="text1"/>
          <w:lang w:val="en-GB"/>
        </w:rPr>
        <w:t xml:space="preserve">questioning </w:t>
      </w:r>
      <w:r w:rsidR="001E6B9F" w:rsidRPr="000811BF">
        <w:rPr>
          <w:color w:val="000000" w:themeColor="text1"/>
          <w:lang w:val="en-GB"/>
        </w:rPr>
        <w:t>agen</w:t>
      </w:r>
      <w:r w:rsidR="00EA6189" w:rsidRPr="000811BF">
        <w:rPr>
          <w:color w:val="000000" w:themeColor="text1"/>
          <w:lang w:val="en-GB"/>
        </w:rPr>
        <w:t>t</w:t>
      </w:r>
      <w:r w:rsidR="00C32E74">
        <w:rPr>
          <w:color w:val="000000" w:themeColor="text1"/>
          <w:lang w:val="en-GB"/>
        </w:rPr>
        <w:t>.</w:t>
      </w:r>
      <w:r w:rsidR="00EA6189" w:rsidRPr="00C32E74">
        <w:rPr>
          <w:rStyle w:val="FootnoteReference"/>
          <w:color w:val="000000" w:themeColor="text1"/>
          <w:sz w:val="20"/>
          <w:lang w:val="en-GB"/>
        </w:rPr>
        <w:footnoteReference w:id="31"/>
      </w:r>
    </w:p>
    <w:p w14:paraId="0781F3D8" w14:textId="1F1B8506" w:rsidR="00962FCD" w:rsidRPr="000811BF" w:rsidRDefault="00BF7902" w:rsidP="00962FCD">
      <w:pPr>
        <w:pStyle w:val="SingleTxtG"/>
        <w:rPr>
          <w:color w:val="000000" w:themeColor="text1"/>
          <w:lang w:val="en-GB"/>
        </w:rPr>
      </w:pPr>
      <w:r>
        <w:rPr>
          <w:color w:val="000000" w:themeColor="text1"/>
          <w:lang w:val="en-GB"/>
        </w:rPr>
        <w:t xml:space="preserve">458. </w:t>
      </w:r>
      <w:r w:rsidR="00962FCD" w:rsidRPr="000811BF">
        <w:rPr>
          <w:color w:val="000000" w:themeColor="text1"/>
          <w:lang w:val="en-GB"/>
        </w:rPr>
        <w:t>In some cases, senior SNR officers were present during torture sessions and they either participated in interrogations or left the scene after leaving instructions</w:t>
      </w:r>
      <w:r w:rsidR="00C32E74">
        <w:rPr>
          <w:color w:val="000000" w:themeColor="text1"/>
          <w:lang w:val="en-GB"/>
        </w:rPr>
        <w:t>.</w:t>
      </w:r>
      <w:r w:rsidR="00962FCD" w:rsidRPr="00513276">
        <w:rPr>
          <w:rStyle w:val="FootnoteReference"/>
          <w:color w:val="000000" w:themeColor="text1"/>
          <w:sz w:val="20"/>
          <w:lang w:val="en-GB"/>
        </w:rPr>
        <w:footnoteReference w:id="32"/>
      </w:r>
    </w:p>
    <w:p w14:paraId="1F744E75" w14:textId="21D054BE" w:rsidR="00962FCD" w:rsidRPr="000811BF" w:rsidRDefault="00962FCD" w:rsidP="005F6908">
      <w:pPr>
        <w:pStyle w:val="SingleTxtG"/>
        <w:ind w:left="1701"/>
        <w:rPr>
          <w:color w:val="000000" w:themeColor="text1"/>
          <w:lang w:val="en-GB"/>
        </w:rPr>
      </w:pPr>
      <w:r w:rsidRPr="00513276">
        <w:rPr>
          <w:i/>
          <w:color w:val="000000" w:themeColor="text1"/>
          <w:lang w:val="en-GB"/>
        </w:rPr>
        <w:t>“</w:t>
      </w:r>
      <w:r w:rsidRPr="00513276">
        <w:rPr>
          <w:i/>
          <w:iCs/>
          <w:color w:val="000000" w:themeColor="text1"/>
          <w:lang w:val="en-GB"/>
        </w:rPr>
        <w:t xml:space="preserve">He then told me to stand up and walk with the can […] [a SNR official] said, </w:t>
      </w:r>
      <w:r w:rsidR="00513276" w:rsidRPr="00513276">
        <w:rPr>
          <w:i/>
          <w:iCs/>
          <w:color w:val="000000" w:themeColor="text1"/>
          <w:lang w:val="en-GB"/>
        </w:rPr>
        <w:t>‘</w:t>
      </w:r>
      <w:r w:rsidRPr="00513276">
        <w:rPr>
          <w:i/>
          <w:iCs/>
          <w:color w:val="000000" w:themeColor="text1"/>
          <w:lang w:val="en-GB"/>
        </w:rPr>
        <w:t>this bastard of a Tutsi does</w:t>
      </w:r>
      <w:r w:rsidR="008D4764" w:rsidRPr="00513276">
        <w:rPr>
          <w:i/>
          <w:iCs/>
          <w:color w:val="000000" w:themeColor="text1"/>
          <w:lang w:val="en-GB"/>
        </w:rPr>
        <w:t xml:space="preserve"> not</w:t>
      </w:r>
      <w:r w:rsidRPr="00513276">
        <w:rPr>
          <w:i/>
          <w:iCs/>
          <w:color w:val="000000" w:themeColor="text1"/>
          <w:lang w:val="en-GB"/>
        </w:rPr>
        <w:t xml:space="preserve"> want to talk. He</w:t>
      </w:r>
      <w:r w:rsidR="008D4764" w:rsidRPr="00513276">
        <w:rPr>
          <w:i/>
          <w:iCs/>
          <w:color w:val="000000" w:themeColor="text1"/>
          <w:lang w:val="en-GB"/>
        </w:rPr>
        <w:t xml:space="preserve"> is</w:t>
      </w:r>
      <w:r w:rsidRPr="00513276">
        <w:rPr>
          <w:i/>
          <w:iCs/>
          <w:color w:val="000000" w:themeColor="text1"/>
          <w:lang w:val="en-GB"/>
        </w:rPr>
        <w:t xml:space="preserve"> going to talk whether he wants </w:t>
      </w:r>
      <w:r w:rsidR="008D4764" w:rsidRPr="00513276">
        <w:rPr>
          <w:i/>
          <w:iCs/>
          <w:color w:val="000000" w:themeColor="text1"/>
          <w:lang w:val="en-GB"/>
        </w:rPr>
        <w:t xml:space="preserve">to </w:t>
      </w:r>
      <w:r w:rsidRPr="00513276">
        <w:rPr>
          <w:i/>
          <w:iCs/>
          <w:color w:val="000000" w:themeColor="text1"/>
          <w:lang w:val="en-GB"/>
        </w:rPr>
        <w:t>or not</w:t>
      </w:r>
      <w:r w:rsidR="00513276" w:rsidRPr="00513276">
        <w:rPr>
          <w:i/>
          <w:iCs/>
          <w:color w:val="000000" w:themeColor="text1"/>
          <w:lang w:val="en-GB"/>
        </w:rPr>
        <w:t>’</w:t>
      </w:r>
      <w:r w:rsidRPr="00513276">
        <w:rPr>
          <w:i/>
          <w:iCs/>
          <w:color w:val="000000" w:themeColor="text1"/>
          <w:lang w:val="en-GB"/>
        </w:rPr>
        <w:t>. He ordered the [officers] to do the job</w:t>
      </w:r>
      <w:r w:rsidR="005F6908">
        <w:rPr>
          <w:i/>
          <w:iCs/>
          <w:color w:val="000000" w:themeColor="text1"/>
          <w:lang w:val="en-GB"/>
        </w:rPr>
        <w:t>”</w:t>
      </w:r>
      <w:r w:rsidR="00513276">
        <w:rPr>
          <w:i/>
          <w:color w:val="000000" w:themeColor="text1"/>
          <w:lang w:val="en-GB"/>
        </w:rPr>
        <w:t>.</w:t>
      </w:r>
      <w:r w:rsidRPr="00513276">
        <w:rPr>
          <w:rStyle w:val="FootnoteReference"/>
          <w:i/>
          <w:color w:val="000000" w:themeColor="text1"/>
          <w:sz w:val="20"/>
          <w:lang w:val="en-GB"/>
        </w:rPr>
        <w:footnoteReference w:id="33"/>
      </w:r>
    </w:p>
    <w:p w14:paraId="4BF29FB1" w14:textId="1069E871" w:rsidR="001E6B9F" w:rsidRPr="000811BF" w:rsidRDefault="00BF7902" w:rsidP="001E6B9F">
      <w:pPr>
        <w:pStyle w:val="SingleTxtG"/>
        <w:rPr>
          <w:color w:val="000000" w:themeColor="text1"/>
          <w:lang w:val="en-GB"/>
        </w:rPr>
      </w:pPr>
      <w:r>
        <w:rPr>
          <w:color w:val="000000" w:themeColor="text1"/>
          <w:lang w:val="en-GB"/>
        </w:rPr>
        <w:t xml:space="preserve">459. </w:t>
      </w:r>
      <w:r w:rsidR="001E6B9F" w:rsidRPr="000811BF">
        <w:rPr>
          <w:color w:val="000000" w:themeColor="text1"/>
          <w:lang w:val="en-GB"/>
        </w:rPr>
        <w:t xml:space="preserve">In addition, several </w:t>
      </w:r>
      <w:r w:rsidR="008D4764" w:rsidRPr="000811BF">
        <w:rPr>
          <w:color w:val="000000" w:themeColor="text1"/>
          <w:lang w:val="en-GB"/>
        </w:rPr>
        <w:t>witness accounts</w:t>
      </w:r>
      <w:r w:rsidR="001E6B9F" w:rsidRPr="000811BF">
        <w:rPr>
          <w:color w:val="000000" w:themeColor="text1"/>
          <w:lang w:val="en-GB"/>
        </w:rPr>
        <w:t xml:space="preserve"> indicate that there w</w:t>
      </w:r>
      <w:r w:rsidR="008D4764" w:rsidRPr="000811BF">
        <w:rPr>
          <w:color w:val="000000" w:themeColor="text1"/>
          <w:lang w:val="en-GB"/>
        </w:rPr>
        <w:t>ere</w:t>
      </w:r>
      <w:r w:rsidR="001E6B9F" w:rsidRPr="000811BF">
        <w:rPr>
          <w:color w:val="000000" w:themeColor="text1"/>
          <w:lang w:val="en-GB"/>
        </w:rPr>
        <w:t xml:space="preserve"> </w:t>
      </w:r>
      <w:r w:rsidR="008D4764" w:rsidRPr="000811BF">
        <w:rPr>
          <w:color w:val="000000" w:themeColor="text1"/>
          <w:lang w:val="en-GB"/>
        </w:rPr>
        <w:t>tools</w:t>
      </w:r>
      <w:r w:rsidR="001E6B9F" w:rsidRPr="000811BF">
        <w:rPr>
          <w:color w:val="000000" w:themeColor="text1"/>
          <w:lang w:val="en-GB"/>
        </w:rPr>
        <w:t xml:space="preserve"> dedicated to torture, including th</w:t>
      </w:r>
      <w:r w:rsidR="008D4764" w:rsidRPr="000811BF">
        <w:rPr>
          <w:color w:val="000000" w:themeColor="text1"/>
          <w:lang w:val="en-GB"/>
        </w:rPr>
        <w:t>ose</w:t>
      </w:r>
      <w:r w:rsidR="001E6B9F" w:rsidRPr="000811BF">
        <w:rPr>
          <w:color w:val="000000" w:themeColor="text1"/>
          <w:lang w:val="en-GB"/>
        </w:rPr>
        <w:t xml:space="preserve"> targeting genitals, and that </w:t>
      </w:r>
      <w:r w:rsidR="00DE32BA" w:rsidRPr="000811BF">
        <w:rPr>
          <w:color w:val="000000" w:themeColor="text1"/>
          <w:lang w:val="en-GB"/>
        </w:rPr>
        <w:t xml:space="preserve">the </w:t>
      </w:r>
      <w:r w:rsidR="008D4764" w:rsidRPr="000811BF">
        <w:rPr>
          <w:color w:val="000000" w:themeColor="text1"/>
          <w:lang w:val="en-GB"/>
        </w:rPr>
        <w:t xml:space="preserve">tools </w:t>
      </w:r>
      <w:r w:rsidR="001E6B9F" w:rsidRPr="000811BF">
        <w:rPr>
          <w:color w:val="000000" w:themeColor="text1"/>
          <w:lang w:val="en-GB"/>
        </w:rPr>
        <w:t>was stored in a specific location at the SNR headquarters in Bujumbura</w:t>
      </w:r>
      <w:r w:rsidR="00C32E74">
        <w:rPr>
          <w:color w:val="000000" w:themeColor="text1"/>
          <w:lang w:val="en-GB"/>
        </w:rPr>
        <w:t>.</w:t>
      </w:r>
      <w:r w:rsidR="00717965">
        <w:rPr>
          <w:rStyle w:val="FootnoteReference"/>
          <w:color w:val="000000" w:themeColor="text1"/>
          <w:lang w:val="en-GB"/>
        </w:rPr>
        <w:footnoteReference w:id="34"/>
      </w:r>
      <w:r w:rsidR="001E6B9F" w:rsidRPr="000811BF">
        <w:rPr>
          <w:color w:val="000000" w:themeColor="text1"/>
          <w:lang w:val="en-GB"/>
        </w:rPr>
        <w:t xml:space="preserve"> Some detainees found the </w:t>
      </w:r>
      <w:r w:rsidR="00B24147" w:rsidRPr="000811BF">
        <w:rPr>
          <w:color w:val="000000" w:themeColor="text1"/>
          <w:lang w:val="en-GB"/>
        </w:rPr>
        <w:t xml:space="preserve">tools </w:t>
      </w:r>
      <w:r w:rsidR="001E6B9F" w:rsidRPr="000811BF">
        <w:rPr>
          <w:color w:val="000000" w:themeColor="text1"/>
          <w:lang w:val="en-GB"/>
        </w:rPr>
        <w:t xml:space="preserve">already </w:t>
      </w:r>
      <w:r w:rsidR="00DE32BA" w:rsidRPr="000811BF">
        <w:rPr>
          <w:color w:val="000000" w:themeColor="text1"/>
          <w:lang w:val="en-GB"/>
        </w:rPr>
        <w:t>set up</w:t>
      </w:r>
      <w:r w:rsidR="001E6B9F" w:rsidRPr="000811BF">
        <w:rPr>
          <w:color w:val="000000" w:themeColor="text1"/>
          <w:lang w:val="en-GB"/>
        </w:rPr>
        <w:t xml:space="preserve"> in the room where they were questioned</w:t>
      </w:r>
      <w:r w:rsidR="005F6908">
        <w:rPr>
          <w:color w:val="000000" w:themeColor="text1"/>
          <w:lang w:val="en-GB"/>
        </w:rPr>
        <w:t>.</w:t>
      </w:r>
      <w:r w:rsidR="00DE32BA" w:rsidRPr="005F6908">
        <w:rPr>
          <w:rStyle w:val="FootnoteReference"/>
          <w:color w:val="000000" w:themeColor="text1"/>
          <w:sz w:val="20"/>
          <w:lang w:val="en-GB"/>
        </w:rPr>
        <w:footnoteReference w:id="35"/>
      </w:r>
    </w:p>
    <w:p w14:paraId="4EF39404" w14:textId="77777777" w:rsidR="00C32E74" w:rsidRDefault="00BF7902" w:rsidP="001E6B9F">
      <w:pPr>
        <w:pStyle w:val="SingleTxtG"/>
        <w:rPr>
          <w:color w:val="000000" w:themeColor="text1"/>
          <w:lang w:val="en-GB"/>
        </w:rPr>
      </w:pPr>
      <w:r>
        <w:rPr>
          <w:color w:val="000000" w:themeColor="text1"/>
          <w:lang w:val="en-GB"/>
        </w:rPr>
        <w:t xml:space="preserve">460. </w:t>
      </w:r>
      <w:r w:rsidR="001E6B9F" w:rsidRPr="000811BF">
        <w:rPr>
          <w:color w:val="000000" w:themeColor="text1"/>
          <w:lang w:val="en-GB"/>
        </w:rPr>
        <w:t xml:space="preserve">One man described his arrival </w:t>
      </w:r>
      <w:r w:rsidR="00DE32BA" w:rsidRPr="000811BF">
        <w:rPr>
          <w:color w:val="000000" w:themeColor="text1"/>
          <w:lang w:val="en-GB"/>
        </w:rPr>
        <w:t>at</w:t>
      </w:r>
      <w:r w:rsidR="001E6B9F" w:rsidRPr="000811BF">
        <w:rPr>
          <w:color w:val="000000" w:themeColor="text1"/>
          <w:lang w:val="en-GB"/>
        </w:rPr>
        <w:t xml:space="preserve"> SNR</w:t>
      </w:r>
      <w:r w:rsidR="00DE32BA" w:rsidRPr="000811BF">
        <w:rPr>
          <w:color w:val="000000" w:themeColor="text1"/>
          <w:lang w:val="en-GB"/>
        </w:rPr>
        <w:t>’s</w:t>
      </w:r>
      <w:r w:rsidR="001E6B9F" w:rsidRPr="000811BF">
        <w:rPr>
          <w:color w:val="000000" w:themeColor="text1"/>
          <w:lang w:val="en-GB"/>
        </w:rPr>
        <w:t xml:space="preserve"> detention</w:t>
      </w:r>
      <w:r w:rsidR="00DE32BA" w:rsidRPr="000811BF">
        <w:rPr>
          <w:color w:val="000000" w:themeColor="text1"/>
          <w:lang w:val="en-GB"/>
        </w:rPr>
        <w:t xml:space="preserve"> </w:t>
      </w:r>
      <w:proofErr w:type="spellStart"/>
      <w:r w:rsidR="00DE32BA" w:rsidRPr="000811BF">
        <w:rPr>
          <w:color w:val="000000" w:themeColor="text1"/>
          <w:lang w:val="en-GB"/>
        </w:rPr>
        <w:t>center</w:t>
      </w:r>
      <w:proofErr w:type="spellEnd"/>
      <w:r w:rsidR="001E6B9F" w:rsidRPr="000811BF">
        <w:rPr>
          <w:color w:val="000000" w:themeColor="text1"/>
          <w:lang w:val="en-GB"/>
        </w:rPr>
        <w:t xml:space="preserve"> as follows: </w:t>
      </w:r>
    </w:p>
    <w:p w14:paraId="35E52431" w14:textId="6898F4C8" w:rsidR="001E6B9F" w:rsidRPr="000811BF" w:rsidRDefault="001E6B9F" w:rsidP="00C32E74">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They undressed me […] because my hands were still [tied</w:t>
      </w:r>
      <w:r w:rsidR="00D3355E" w:rsidRPr="000811BF">
        <w:rPr>
          <w:i/>
          <w:iCs/>
          <w:color w:val="000000" w:themeColor="text1"/>
          <w:lang w:val="en-GB"/>
        </w:rPr>
        <w:t xml:space="preserve"> up</w:t>
      </w:r>
      <w:r w:rsidRPr="000811BF">
        <w:rPr>
          <w:i/>
          <w:iCs/>
          <w:color w:val="000000" w:themeColor="text1"/>
          <w:lang w:val="en-GB"/>
        </w:rPr>
        <w:t xml:space="preserve">]. Then they […] tied my testicles […] and the rope was </w:t>
      </w:r>
      <w:r w:rsidR="00D3355E" w:rsidRPr="000811BF">
        <w:rPr>
          <w:i/>
          <w:iCs/>
          <w:color w:val="000000" w:themeColor="text1"/>
          <w:lang w:val="en-GB"/>
        </w:rPr>
        <w:t>attached</w:t>
      </w:r>
      <w:r w:rsidRPr="000811BF">
        <w:rPr>
          <w:i/>
          <w:iCs/>
          <w:color w:val="000000" w:themeColor="text1"/>
          <w:lang w:val="en-GB"/>
        </w:rPr>
        <w:t xml:space="preserve"> to a can filled with sand. […] The can and the rope </w:t>
      </w:r>
      <w:r w:rsidR="00B24147" w:rsidRPr="000811BF">
        <w:rPr>
          <w:i/>
          <w:iCs/>
          <w:color w:val="000000" w:themeColor="text1"/>
          <w:lang w:val="en-GB"/>
        </w:rPr>
        <w:t>were</w:t>
      </w:r>
      <w:r w:rsidRPr="000811BF">
        <w:rPr>
          <w:i/>
          <w:iCs/>
          <w:color w:val="000000" w:themeColor="text1"/>
          <w:lang w:val="en-GB"/>
        </w:rPr>
        <w:t xml:space="preserve"> in the room</w:t>
      </w:r>
      <w:r w:rsidR="00DE32BA" w:rsidRPr="000811BF">
        <w:rPr>
          <w:i/>
          <w:iCs/>
          <w:color w:val="000000" w:themeColor="text1"/>
          <w:lang w:val="en-GB"/>
        </w:rPr>
        <w:t xml:space="preserve"> already</w:t>
      </w:r>
      <w:r w:rsidRPr="000811BF">
        <w:rPr>
          <w:color w:val="000000" w:themeColor="text1"/>
          <w:lang w:val="en-GB"/>
        </w:rPr>
        <w:t>”</w:t>
      </w:r>
      <w:r w:rsidR="005F6908">
        <w:rPr>
          <w:color w:val="000000" w:themeColor="text1"/>
          <w:lang w:val="en-GB"/>
        </w:rPr>
        <w:t>.</w:t>
      </w:r>
      <w:r w:rsidR="00D3355E" w:rsidRPr="005F6908">
        <w:rPr>
          <w:rStyle w:val="FootnoteReference"/>
          <w:color w:val="000000" w:themeColor="text1"/>
          <w:sz w:val="20"/>
          <w:lang w:val="en-GB"/>
        </w:rPr>
        <w:footnoteReference w:id="36"/>
      </w:r>
    </w:p>
    <w:p w14:paraId="32AA2BF1" w14:textId="53828652" w:rsidR="00B94580" w:rsidRPr="000811BF" w:rsidRDefault="00B90CB6" w:rsidP="00B94580">
      <w:pPr>
        <w:pStyle w:val="H23G"/>
        <w:rPr>
          <w:color w:val="000000" w:themeColor="text1"/>
          <w:lang w:val="en-GB"/>
        </w:rPr>
      </w:pPr>
      <w:r>
        <w:rPr>
          <w:color w:val="000000" w:themeColor="text1"/>
          <w:lang w:val="en-GB"/>
        </w:rPr>
        <w:tab/>
      </w:r>
      <w:r>
        <w:rPr>
          <w:color w:val="000000" w:themeColor="text1"/>
          <w:lang w:val="en-GB"/>
        </w:rPr>
        <w:tab/>
      </w:r>
      <w:r w:rsidR="00B94580" w:rsidRPr="000811BF">
        <w:rPr>
          <w:color w:val="000000" w:themeColor="text1"/>
          <w:lang w:val="en-GB"/>
        </w:rPr>
        <w:t xml:space="preserve">a) Violence </w:t>
      </w:r>
      <w:r w:rsidR="00D3355E" w:rsidRPr="000811BF">
        <w:rPr>
          <w:color w:val="000000" w:themeColor="text1"/>
          <w:lang w:val="en-GB"/>
        </w:rPr>
        <w:t>target</w:t>
      </w:r>
      <w:r w:rsidR="00B24147" w:rsidRPr="000811BF">
        <w:rPr>
          <w:color w:val="000000" w:themeColor="text1"/>
          <w:lang w:val="en-GB"/>
        </w:rPr>
        <w:t>ing</w:t>
      </w:r>
      <w:r w:rsidR="00D3355E" w:rsidRPr="000811BF">
        <w:rPr>
          <w:color w:val="000000" w:themeColor="text1"/>
          <w:lang w:val="en-GB"/>
        </w:rPr>
        <w:t xml:space="preserve"> genitals</w:t>
      </w:r>
    </w:p>
    <w:p w14:paraId="4564829C" w14:textId="226B203F" w:rsidR="00D3355E" w:rsidRPr="000811BF" w:rsidRDefault="00BF7902" w:rsidP="00D3355E">
      <w:pPr>
        <w:pStyle w:val="SingleTxtG"/>
        <w:rPr>
          <w:color w:val="000000" w:themeColor="text1"/>
          <w:lang w:val="en-GB"/>
        </w:rPr>
      </w:pPr>
      <w:r>
        <w:rPr>
          <w:color w:val="000000" w:themeColor="text1"/>
          <w:lang w:val="en-GB"/>
        </w:rPr>
        <w:t xml:space="preserve">461. </w:t>
      </w:r>
      <w:r w:rsidR="00D3355E" w:rsidRPr="000811BF">
        <w:rPr>
          <w:color w:val="000000" w:themeColor="text1"/>
          <w:lang w:val="en-GB"/>
        </w:rPr>
        <w:t>One of the most common forms of sexual violence inflicted upon men and boys in detention involves tying up their genitals – testicles in most cases, to a ballast, most often a water or sand-filled container – and forcing the victim to stand up and walk, or suspend the victim in the air with their feet not touching the ground, in order for the weight of the container to pull down their testicles, for a timeframe ranging from a few minutes to several hours</w:t>
      </w:r>
      <w:r w:rsidR="005F6908">
        <w:rPr>
          <w:color w:val="000000" w:themeColor="text1"/>
          <w:lang w:val="en-GB"/>
        </w:rPr>
        <w:t>.</w:t>
      </w:r>
      <w:r w:rsidR="00D3355E" w:rsidRPr="005F6908">
        <w:rPr>
          <w:rStyle w:val="FootnoteReference"/>
          <w:color w:val="000000" w:themeColor="text1"/>
          <w:sz w:val="20"/>
          <w:lang w:val="en-GB"/>
        </w:rPr>
        <w:footnoteReference w:id="37"/>
      </w:r>
      <w:r w:rsidR="00D3355E" w:rsidRPr="000811BF">
        <w:rPr>
          <w:color w:val="000000" w:themeColor="text1"/>
          <w:lang w:val="en-GB"/>
        </w:rPr>
        <w:t xml:space="preserve"> This practice already existed at the SNR before the 2015 political crisis, but several sources indicated that the security forces have used it more systematically since 2015</w:t>
      </w:r>
      <w:r w:rsidR="005F6908">
        <w:rPr>
          <w:color w:val="000000" w:themeColor="text1"/>
          <w:lang w:val="en-GB"/>
        </w:rPr>
        <w:t>.</w:t>
      </w:r>
      <w:r w:rsidR="00D3355E" w:rsidRPr="005F6908">
        <w:rPr>
          <w:rStyle w:val="FootnoteReference"/>
          <w:color w:val="000000" w:themeColor="text1"/>
          <w:sz w:val="20"/>
          <w:lang w:val="en-GB"/>
        </w:rPr>
        <w:footnoteReference w:id="38"/>
      </w:r>
    </w:p>
    <w:p w14:paraId="3BF36E24" w14:textId="4F6783C6" w:rsidR="00D3355E" w:rsidRPr="000811BF" w:rsidRDefault="00BF7902" w:rsidP="00D3355E">
      <w:pPr>
        <w:pStyle w:val="SingleTxtG"/>
        <w:rPr>
          <w:color w:val="000000" w:themeColor="text1"/>
          <w:lang w:val="en-GB"/>
        </w:rPr>
      </w:pPr>
      <w:r>
        <w:rPr>
          <w:color w:val="000000" w:themeColor="text1"/>
          <w:lang w:val="en-GB"/>
        </w:rPr>
        <w:t xml:space="preserve">462. </w:t>
      </w:r>
      <w:r w:rsidR="00D3355E" w:rsidRPr="000811BF">
        <w:rPr>
          <w:color w:val="000000" w:themeColor="text1"/>
          <w:lang w:val="en-GB"/>
        </w:rPr>
        <w:t xml:space="preserve">This method, </w:t>
      </w:r>
      <w:r w:rsidR="00456209" w:rsidRPr="000811BF">
        <w:rPr>
          <w:color w:val="000000" w:themeColor="text1"/>
          <w:lang w:val="en-GB"/>
        </w:rPr>
        <w:t>commonly</w:t>
      </w:r>
      <w:r w:rsidR="00D3355E" w:rsidRPr="000811BF">
        <w:rPr>
          <w:color w:val="000000" w:themeColor="text1"/>
          <w:lang w:val="en-GB"/>
        </w:rPr>
        <w:t xml:space="preserve"> referred to as the </w:t>
      </w:r>
      <w:r w:rsidR="00D3355E" w:rsidRPr="000811BF">
        <w:rPr>
          <w:i/>
          <w:iCs/>
          <w:color w:val="000000" w:themeColor="text1"/>
          <w:lang w:val="en-GB"/>
        </w:rPr>
        <w:t>canister technique</w:t>
      </w:r>
      <w:r w:rsidR="00D3355E" w:rsidRPr="000811BF">
        <w:rPr>
          <w:color w:val="000000" w:themeColor="text1"/>
          <w:lang w:val="en-GB"/>
        </w:rPr>
        <w:t xml:space="preserve">, which aims </w:t>
      </w:r>
      <w:r w:rsidR="00456209" w:rsidRPr="000811BF">
        <w:rPr>
          <w:color w:val="000000" w:themeColor="text1"/>
          <w:lang w:val="en-GB"/>
        </w:rPr>
        <w:t>at</w:t>
      </w:r>
      <w:r w:rsidR="00D3355E" w:rsidRPr="000811BF">
        <w:rPr>
          <w:color w:val="000000" w:themeColor="text1"/>
          <w:lang w:val="en-GB"/>
        </w:rPr>
        <w:t xml:space="preserve"> inflict</w:t>
      </w:r>
      <w:r w:rsidR="00456209" w:rsidRPr="000811BF">
        <w:rPr>
          <w:color w:val="000000" w:themeColor="text1"/>
          <w:lang w:val="en-GB"/>
        </w:rPr>
        <w:t>in</w:t>
      </w:r>
      <w:r w:rsidR="00EE2B3E" w:rsidRPr="000811BF">
        <w:rPr>
          <w:color w:val="000000" w:themeColor="text1"/>
          <w:lang w:val="en-GB"/>
        </w:rPr>
        <w:t>g</w:t>
      </w:r>
      <w:r w:rsidR="00D3355E" w:rsidRPr="000811BF">
        <w:rPr>
          <w:color w:val="000000" w:themeColor="text1"/>
          <w:lang w:val="en-GB"/>
        </w:rPr>
        <w:t xml:space="preserve"> severe pain, has been used during interrogations to force victims to give information they may have, particularly on </w:t>
      </w:r>
      <w:r w:rsidR="00EE2B3E" w:rsidRPr="000811BF">
        <w:rPr>
          <w:color w:val="000000" w:themeColor="text1"/>
          <w:lang w:val="en-GB"/>
        </w:rPr>
        <w:t xml:space="preserve">hidden </w:t>
      </w:r>
      <w:r w:rsidR="00D3355E" w:rsidRPr="000811BF">
        <w:rPr>
          <w:color w:val="000000" w:themeColor="text1"/>
          <w:lang w:val="en-GB"/>
        </w:rPr>
        <w:t>weapons caches or armed groups</w:t>
      </w:r>
      <w:r w:rsidR="00EE2B3E" w:rsidRPr="000811BF">
        <w:rPr>
          <w:color w:val="000000" w:themeColor="text1"/>
          <w:lang w:val="en-GB"/>
        </w:rPr>
        <w:t xml:space="preserve"> activities</w:t>
      </w:r>
      <w:r w:rsidR="00D3355E" w:rsidRPr="000811BF">
        <w:rPr>
          <w:color w:val="000000" w:themeColor="text1"/>
          <w:lang w:val="en-GB"/>
        </w:rPr>
        <w:t xml:space="preserve"> or </w:t>
      </w:r>
      <w:r w:rsidR="00EE2B3E" w:rsidRPr="000811BF">
        <w:rPr>
          <w:color w:val="000000" w:themeColor="text1"/>
          <w:lang w:val="en-GB"/>
        </w:rPr>
        <w:t xml:space="preserve">to </w:t>
      </w:r>
      <w:r w:rsidR="00D3355E" w:rsidRPr="000811BF">
        <w:rPr>
          <w:color w:val="000000" w:themeColor="text1"/>
          <w:lang w:val="en-GB"/>
        </w:rPr>
        <w:t>punish them for acts they allegedly committed</w:t>
      </w:r>
      <w:r w:rsidR="005F6908">
        <w:rPr>
          <w:color w:val="000000" w:themeColor="text1"/>
          <w:lang w:val="en-GB"/>
        </w:rPr>
        <w:t>.</w:t>
      </w:r>
      <w:r w:rsidR="00EE2B3E" w:rsidRPr="005F6908">
        <w:rPr>
          <w:rStyle w:val="FootnoteReference"/>
          <w:color w:val="000000" w:themeColor="text1"/>
          <w:sz w:val="20"/>
          <w:lang w:val="en-GB"/>
        </w:rPr>
        <w:footnoteReference w:id="39"/>
      </w:r>
    </w:p>
    <w:p w14:paraId="04D54242" w14:textId="4151ED36" w:rsidR="00D3355E" w:rsidRPr="000811BF" w:rsidRDefault="00D3355E" w:rsidP="005F6908">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 xml:space="preserve">This technique was used against anyone accused of being against the Government. The </w:t>
      </w:r>
      <w:r w:rsidR="00EE2B3E" w:rsidRPr="000811BF">
        <w:rPr>
          <w:i/>
          <w:iCs/>
          <w:color w:val="000000" w:themeColor="text1"/>
          <w:lang w:val="en-GB"/>
        </w:rPr>
        <w:t>goal</w:t>
      </w:r>
      <w:r w:rsidRPr="000811BF">
        <w:rPr>
          <w:i/>
          <w:iCs/>
          <w:color w:val="000000" w:themeColor="text1"/>
          <w:lang w:val="en-GB"/>
        </w:rPr>
        <w:t xml:space="preserve"> was to inflict as much pain as possible</w:t>
      </w:r>
      <w:r w:rsidR="00EE2B3E" w:rsidRPr="000811BF">
        <w:rPr>
          <w:i/>
          <w:iCs/>
          <w:color w:val="000000" w:themeColor="text1"/>
          <w:lang w:val="en-GB"/>
        </w:rPr>
        <w:t>, often in order</w:t>
      </w:r>
      <w:r w:rsidRPr="000811BF">
        <w:rPr>
          <w:i/>
          <w:iCs/>
          <w:color w:val="000000" w:themeColor="text1"/>
          <w:lang w:val="en-GB"/>
        </w:rPr>
        <w:t xml:space="preserve"> to make </w:t>
      </w:r>
      <w:r w:rsidR="00EE2B3E" w:rsidRPr="000811BF">
        <w:rPr>
          <w:i/>
          <w:iCs/>
          <w:color w:val="000000" w:themeColor="text1"/>
          <w:lang w:val="en-GB"/>
        </w:rPr>
        <w:t>one</w:t>
      </w:r>
      <w:r w:rsidRPr="000811BF">
        <w:rPr>
          <w:i/>
          <w:iCs/>
          <w:color w:val="000000" w:themeColor="text1"/>
          <w:lang w:val="en-GB"/>
        </w:rPr>
        <w:t xml:space="preserve"> confess</w:t>
      </w:r>
      <w:r w:rsidR="00EE2B3E" w:rsidRPr="000811BF">
        <w:rPr>
          <w:i/>
          <w:iCs/>
          <w:color w:val="000000" w:themeColor="text1"/>
          <w:lang w:val="en-GB"/>
        </w:rPr>
        <w:t xml:space="preserve"> doing things</w:t>
      </w:r>
      <w:r w:rsidRPr="000811BF">
        <w:rPr>
          <w:i/>
          <w:iCs/>
          <w:color w:val="000000" w:themeColor="text1"/>
          <w:lang w:val="en-GB"/>
        </w:rPr>
        <w:t xml:space="preserve"> </w:t>
      </w:r>
      <w:r w:rsidR="00EE2B3E" w:rsidRPr="000811BF">
        <w:rPr>
          <w:i/>
          <w:iCs/>
          <w:color w:val="000000" w:themeColor="text1"/>
          <w:lang w:val="en-GB"/>
        </w:rPr>
        <w:t>they</w:t>
      </w:r>
      <w:r w:rsidRPr="000811BF">
        <w:rPr>
          <w:i/>
          <w:iCs/>
          <w:color w:val="000000" w:themeColor="text1"/>
          <w:lang w:val="en-GB"/>
        </w:rPr>
        <w:t xml:space="preserve"> had not done </w:t>
      </w:r>
      <w:r w:rsidR="00EE2B3E" w:rsidRPr="000811BF">
        <w:rPr>
          <w:i/>
          <w:iCs/>
          <w:color w:val="000000" w:themeColor="text1"/>
          <w:lang w:val="en-GB"/>
        </w:rPr>
        <w:t>and</w:t>
      </w:r>
      <w:r w:rsidRPr="000811BF">
        <w:rPr>
          <w:i/>
          <w:iCs/>
          <w:color w:val="000000" w:themeColor="text1"/>
          <w:lang w:val="en-GB"/>
        </w:rPr>
        <w:t xml:space="preserve"> have a</w:t>
      </w:r>
      <w:r w:rsidR="00EE2B3E" w:rsidRPr="000811BF">
        <w:rPr>
          <w:i/>
          <w:iCs/>
          <w:color w:val="000000" w:themeColor="text1"/>
          <w:lang w:val="en-GB"/>
        </w:rPr>
        <w:t>n excuse for</w:t>
      </w:r>
      <w:r w:rsidRPr="000811BF">
        <w:rPr>
          <w:i/>
          <w:iCs/>
          <w:color w:val="000000" w:themeColor="text1"/>
          <w:lang w:val="en-GB"/>
        </w:rPr>
        <w:t xml:space="preserve"> send</w:t>
      </w:r>
      <w:r w:rsidR="00EE2B3E" w:rsidRPr="000811BF">
        <w:rPr>
          <w:i/>
          <w:iCs/>
          <w:color w:val="000000" w:themeColor="text1"/>
          <w:lang w:val="en-GB"/>
        </w:rPr>
        <w:t>ing</w:t>
      </w:r>
      <w:r w:rsidRPr="000811BF">
        <w:rPr>
          <w:i/>
          <w:iCs/>
          <w:color w:val="000000" w:themeColor="text1"/>
          <w:lang w:val="en-GB"/>
        </w:rPr>
        <w:t xml:space="preserve"> </w:t>
      </w:r>
      <w:r w:rsidR="00EE2B3E" w:rsidRPr="000811BF">
        <w:rPr>
          <w:i/>
          <w:iCs/>
          <w:color w:val="000000" w:themeColor="text1"/>
          <w:lang w:val="en-GB"/>
        </w:rPr>
        <w:t>them</w:t>
      </w:r>
      <w:r w:rsidRPr="000811BF">
        <w:rPr>
          <w:i/>
          <w:iCs/>
          <w:color w:val="000000" w:themeColor="text1"/>
          <w:lang w:val="en-GB"/>
        </w:rPr>
        <w:t xml:space="preserve"> to prison […] these </w:t>
      </w:r>
      <w:r w:rsidR="00EE2B3E" w:rsidRPr="000811BF">
        <w:rPr>
          <w:i/>
          <w:iCs/>
          <w:color w:val="000000" w:themeColor="text1"/>
          <w:lang w:val="en-GB"/>
        </w:rPr>
        <w:t xml:space="preserve">same </w:t>
      </w:r>
      <w:r w:rsidRPr="000811BF">
        <w:rPr>
          <w:i/>
          <w:iCs/>
          <w:color w:val="000000" w:themeColor="text1"/>
          <w:lang w:val="en-GB"/>
        </w:rPr>
        <w:t xml:space="preserve">confessions were used to bring people to court […] [or to] </w:t>
      </w:r>
      <w:r w:rsidR="00B24147" w:rsidRPr="000811BF">
        <w:rPr>
          <w:i/>
          <w:iCs/>
          <w:color w:val="000000" w:themeColor="text1"/>
          <w:lang w:val="en-GB"/>
        </w:rPr>
        <w:t xml:space="preserve">extract </w:t>
      </w:r>
      <w:r w:rsidRPr="000811BF">
        <w:rPr>
          <w:i/>
          <w:iCs/>
          <w:color w:val="000000" w:themeColor="text1"/>
          <w:lang w:val="en-GB"/>
        </w:rPr>
        <w:t>confessions against [other persons]</w:t>
      </w:r>
      <w:r w:rsidRPr="000811BF">
        <w:rPr>
          <w:color w:val="000000" w:themeColor="text1"/>
          <w:lang w:val="en-GB"/>
        </w:rPr>
        <w:t>”</w:t>
      </w:r>
      <w:r w:rsidR="005F6908">
        <w:rPr>
          <w:color w:val="000000" w:themeColor="text1"/>
          <w:lang w:val="en-GB"/>
        </w:rPr>
        <w:t>.</w:t>
      </w:r>
      <w:r w:rsidR="00EE2B3E" w:rsidRPr="005F6908">
        <w:rPr>
          <w:rStyle w:val="FootnoteReference"/>
          <w:color w:val="000000" w:themeColor="text1"/>
          <w:sz w:val="20"/>
          <w:lang w:val="en-GB"/>
        </w:rPr>
        <w:footnoteReference w:id="40"/>
      </w:r>
    </w:p>
    <w:p w14:paraId="3C5D9B84" w14:textId="77777777" w:rsidR="00C32E74" w:rsidRDefault="00BF7902" w:rsidP="00B94580">
      <w:pPr>
        <w:pStyle w:val="SingleTxtG"/>
        <w:rPr>
          <w:color w:val="000000" w:themeColor="text1"/>
          <w:lang w:val="en-GB"/>
        </w:rPr>
      </w:pPr>
      <w:r>
        <w:rPr>
          <w:color w:val="000000" w:themeColor="text1"/>
          <w:lang w:val="en-GB"/>
        </w:rPr>
        <w:lastRenderedPageBreak/>
        <w:t xml:space="preserve">463. </w:t>
      </w:r>
      <w:r w:rsidR="00D3355E" w:rsidRPr="000811BF">
        <w:rPr>
          <w:color w:val="000000" w:themeColor="text1"/>
          <w:lang w:val="en-GB"/>
        </w:rPr>
        <w:t xml:space="preserve">One man recounted how the individuals who tortured him hung him from the ceiling before attaching a weight to his penis and testicles: </w:t>
      </w:r>
    </w:p>
    <w:p w14:paraId="045B9607" w14:textId="3B40B49C" w:rsidR="00D3355E" w:rsidRPr="000811BF" w:rsidRDefault="00D3355E" w:rsidP="00C32E74">
      <w:pPr>
        <w:pStyle w:val="SingleTxtG"/>
        <w:ind w:left="1701"/>
        <w:rPr>
          <w:color w:val="000000" w:themeColor="text1"/>
          <w:lang w:val="en-GB"/>
        </w:rPr>
      </w:pPr>
      <w:r w:rsidRPr="001E67E2">
        <w:rPr>
          <w:i/>
          <w:color w:val="000000" w:themeColor="text1"/>
          <w:lang w:val="en-GB"/>
        </w:rPr>
        <w:t>“</w:t>
      </w:r>
      <w:r w:rsidRPr="000811BF">
        <w:rPr>
          <w:i/>
          <w:iCs/>
          <w:color w:val="000000" w:themeColor="text1"/>
          <w:lang w:val="en-GB"/>
        </w:rPr>
        <w:t xml:space="preserve">They took a canister […] filled with sand mixed with water and tied it to my genitals. […] I felt </w:t>
      </w:r>
      <w:r w:rsidR="00456209" w:rsidRPr="000811BF">
        <w:rPr>
          <w:i/>
          <w:iCs/>
          <w:color w:val="000000" w:themeColor="text1"/>
          <w:lang w:val="en-GB"/>
        </w:rPr>
        <w:t>unspeakable</w:t>
      </w:r>
      <w:r w:rsidRPr="000811BF">
        <w:rPr>
          <w:i/>
          <w:iCs/>
          <w:color w:val="000000" w:themeColor="text1"/>
          <w:lang w:val="en-GB"/>
        </w:rPr>
        <w:t xml:space="preserve"> pain because it was my genitals that carried the canister. […] They left it </w:t>
      </w:r>
      <w:r w:rsidR="00456209" w:rsidRPr="000811BF">
        <w:rPr>
          <w:i/>
          <w:iCs/>
          <w:color w:val="000000" w:themeColor="text1"/>
          <w:lang w:val="en-GB"/>
        </w:rPr>
        <w:t>there</w:t>
      </w:r>
      <w:r w:rsidRPr="000811BF">
        <w:rPr>
          <w:i/>
          <w:iCs/>
          <w:color w:val="000000" w:themeColor="text1"/>
          <w:lang w:val="en-GB"/>
        </w:rPr>
        <w:t xml:space="preserve"> for at least ten minutes. Then I was brought down. […] They kept telling</w:t>
      </w:r>
      <w:r w:rsidR="001E67E2">
        <w:rPr>
          <w:i/>
          <w:iCs/>
          <w:color w:val="000000" w:themeColor="text1"/>
          <w:lang w:val="en-GB"/>
        </w:rPr>
        <w:t xml:space="preserve"> me […] ‘</w:t>
      </w:r>
      <w:r w:rsidRPr="000811BF">
        <w:rPr>
          <w:i/>
          <w:iCs/>
          <w:color w:val="000000" w:themeColor="text1"/>
          <w:lang w:val="en-GB"/>
        </w:rPr>
        <w:t>why do you</w:t>
      </w:r>
      <w:r w:rsidR="00B24147">
        <w:rPr>
          <w:i/>
          <w:iCs/>
          <w:color w:val="000000" w:themeColor="text1"/>
          <w:lang w:val="en-GB"/>
        </w:rPr>
        <w:t xml:space="preserve"> not</w:t>
      </w:r>
      <w:r w:rsidRPr="000811BF">
        <w:rPr>
          <w:i/>
          <w:iCs/>
          <w:color w:val="000000" w:themeColor="text1"/>
          <w:lang w:val="en-GB"/>
        </w:rPr>
        <w:t xml:space="preserve"> contribute to the </w:t>
      </w:r>
      <w:r w:rsidR="00456209" w:rsidRPr="000811BF">
        <w:rPr>
          <w:i/>
          <w:iCs/>
          <w:color w:val="000000" w:themeColor="text1"/>
          <w:lang w:val="en-GB"/>
        </w:rPr>
        <w:t xml:space="preserve">leading </w:t>
      </w:r>
      <w:r w:rsidRPr="000811BF">
        <w:rPr>
          <w:i/>
          <w:iCs/>
          <w:color w:val="000000" w:themeColor="text1"/>
          <w:lang w:val="en-GB"/>
        </w:rPr>
        <w:t>party?</w:t>
      </w:r>
      <w:r w:rsidR="001E67E2">
        <w:rPr>
          <w:color w:val="000000" w:themeColor="text1"/>
          <w:lang w:val="en-GB"/>
        </w:rPr>
        <w:t>’</w:t>
      </w:r>
      <w:r w:rsidRPr="000811BF">
        <w:rPr>
          <w:color w:val="000000" w:themeColor="text1"/>
          <w:lang w:val="en-GB"/>
        </w:rPr>
        <w:t xml:space="preserve">, </w:t>
      </w:r>
      <w:r w:rsidR="00B24147">
        <w:rPr>
          <w:i/>
          <w:iCs/>
          <w:color w:val="000000" w:themeColor="text1"/>
          <w:lang w:val="en-GB"/>
        </w:rPr>
        <w:t>t</w:t>
      </w:r>
      <w:r w:rsidRPr="000811BF">
        <w:rPr>
          <w:i/>
          <w:iCs/>
          <w:color w:val="000000" w:themeColor="text1"/>
          <w:lang w:val="en-GB"/>
        </w:rPr>
        <w:t>hat I am</w:t>
      </w:r>
      <w:r w:rsidR="00456209" w:rsidRPr="000811BF">
        <w:rPr>
          <w:i/>
          <w:iCs/>
          <w:color w:val="000000" w:themeColor="text1"/>
          <w:lang w:val="en-GB"/>
        </w:rPr>
        <w:t xml:space="preserve"> a </w:t>
      </w:r>
      <w:r w:rsidRPr="000811BF">
        <w:rPr>
          <w:i/>
          <w:iCs/>
          <w:color w:val="000000" w:themeColor="text1"/>
          <w:lang w:val="en-GB"/>
        </w:rPr>
        <w:t xml:space="preserve">spy </w:t>
      </w:r>
      <w:r w:rsidR="00456209" w:rsidRPr="000811BF">
        <w:rPr>
          <w:i/>
          <w:iCs/>
          <w:color w:val="000000" w:themeColor="text1"/>
          <w:lang w:val="en-GB"/>
        </w:rPr>
        <w:t>for the</w:t>
      </w:r>
      <w:r w:rsidRPr="000811BF">
        <w:rPr>
          <w:i/>
          <w:iCs/>
          <w:color w:val="000000" w:themeColor="text1"/>
          <w:lang w:val="en-GB"/>
        </w:rPr>
        <w:t xml:space="preserve"> civil society</w:t>
      </w:r>
      <w:r w:rsidR="001E67E2">
        <w:rPr>
          <w:i/>
          <w:iCs/>
          <w:color w:val="000000" w:themeColor="text1"/>
          <w:lang w:val="en-GB"/>
        </w:rPr>
        <w:t>”.</w:t>
      </w:r>
      <w:r w:rsidR="00EE2B3E" w:rsidRPr="001E67E2">
        <w:rPr>
          <w:rStyle w:val="FootnoteReference"/>
          <w:color w:val="000000" w:themeColor="text1"/>
          <w:sz w:val="20"/>
          <w:lang w:val="en-GB"/>
        </w:rPr>
        <w:footnoteReference w:id="41"/>
      </w:r>
    </w:p>
    <w:p w14:paraId="40E5629E" w14:textId="77777777" w:rsidR="0083649E" w:rsidRDefault="00BF7902" w:rsidP="00EE2B3E">
      <w:pPr>
        <w:pStyle w:val="SingleTxtG"/>
        <w:rPr>
          <w:color w:val="000000" w:themeColor="text1"/>
          <w:lang w:val="en-GB"/>
        </w:rPr>
      </w:pPr>
      <w:r>
        <w:rPr>
          <w:color w:val="000000" w:themeColor="text1"/>
          <w:lang w:val="en-GB"/>
        </w:rPr>
        <w:t xml:space="preserve">464. </w:t>
      </w:r>
      <w:r w:rsidR="00EE2B3E" w:rsidRPr="000811BF">
        <w:rPr>
          <w:color w:val="000000" w:themeColor="text1"/>
          <w:lang w:val="en-GB"/>
        </w:rPr>
        <w:t xml:space="preserve">The same man testified that after several days </w:t>
      </w:r>
      <w:r w:rsidR="00267ED8" w:rsidRPr="000811BF">
        <w:rPr>
          <w:color w:val="000000" w:themeColor="text1"/>
          <w:lang w:val="en-GB"/>
        </w:rPr>
        <w:t>in</w:t>
      </w:r>
      <w:r w:rsidR="00EE2B3E" w:rsidRPr="000811BF">
        <w:rPr>
          <w:color w:val="000000" w:themeColor="text1"/>
          <w:lang w:val="en-GB"/>
        </w:rPr>
        <w:t xml:space="preserve"> detention during which he was subjected to various forms of torture, including on his genitals</w:t>
      </w:r>
      <w:r w:rsidR="00267ED8" w:rsidRPr="000811BF">
        <w:rPr>
          <w:color w:val="000000" w:themeColor="text1"/>
          <w:lang w:val="en-GB"/>
        </w:rPr>
        <w:t>, h</w:t>
      </w:r>
      <w:r w:rsidR="00EE2B3E" w:rsidRPr="000811BF">
        <w:rPr>
          <w:color w:val="000000" w:themeColor="text1"/>
          <w:lang w:val="en-GB"/>
        </w:rPr>
        <w:t xml:space="preserve">e ended up </w:t>
      </w:r>
      <w:r w:rsidR="00D76ACC" w:rsidRPr="000811BF">
        <w:rPr>
          <w:color w:val="000000" w:themeColor="text1"/>
          <w:lang w:val="en-GB"/>
        </w:rPr>
        <w:t>acknowledging everything he was accused</w:t>
      </w:r>
      <w:r w:rsidR="00EE2B3E" w:rsidRPr="000811BF">
        <w:rPr>
          <w:color w:val="000000" w:themeColor="text1"/>
          <w:lang w:val="en-GB"/>
        </w:rPr>
        <w:t xml:space="preserve">: </w:t>
      </w:r>
    </w:p>
    <w:p w14:paraId="489738EC" w14:textId="0BCB77A5" w:rsidR="00EE2B3E" w:rsidRPr="000811BF" w:rsidRDefault="00C32E74" w:rsidP="00C32E74">
      <w:pPr>
        <w:pStyle w:val="SingleTxtG"/>
        <w:ind w:left="1701"/>
        <w:rPr>
          <w:color w:val="000000" w:themeColor="text1"/>
          <w:lang w:val="en-GB"/>
        </w:rPr>
      </w:pPr>
      <w:r>
        <w:rPr>
          <w:i/>
          <w:iCs/>
          <w:color w:val="000000" w:themeColor="text1"/>
          <w:lang w:val="en-GB"/>
        </w:rPr>
        <w:t>“</w:t>
      </w:r>
      <w:r w:rsidR="00D76ACC" w:rsidRPr="000811BF">
        <w:rPr>
          <w:i/>
          <w:iCs/>
          <w:color w:val="000000" w:themeColor="text1"/>
          <w:lang w:val="en-GB"/>
        </w:rPr>
        <w:t>Begging</w:t>
      </w:r>
      <w:r w:rsidR="00EE2B3E" w:rsidRPr="000811BF">
        <w:rPr>
          <w:i/>
          <w:iCs/>
          <w:color w:val="000000" w:themeColor="text1"/>
          <w:lang w:val="en-GB"/>
        </w:rPr>
        <w:t xml:space="preserve"> for forgiveness, I was in so much pain, I accepted all </w:t>
      </w:r>
      <w:r w:rsidR="00D76ACC" w:rsidRPr="000811BF">
        <w:rPr>
          <w:i/>
          <w:iCs/>
          <w:color w:val="000000" w:themeColor="text1"/>
          <w:lang w:val="en-GB"/>
        </w:rPr>
        <w:t xml:space="preserve">of </w:t>
      </w:r>
      <w:r w:rsidR="00EE2B3E" w:rsidRPr="000811BF">
        <w:rPr>
          <w:i/>
          <w:iCs/>
          <w:color w:val="000000" w:themeColor="text1"/>
          <w:lang w:val="en-GB"/>
        </w:rPr>
        <w:t>the</w:t>
      </w:r>
      <w:r w:rsidR="00D76ACC" w:rsidRPr="000811BF">
        <w:rPr>
          <w:i/>
          <w:iCs/>
          <w:color w:val="000000" w:themeColor="text1"/>
          <w:lang w:val="en-GB"/>
        </w:rPr>
        <w:t>ir</w:t>
      </w:r>
      <w:r w:rsidR="00EE2B3E" w:rsidRPr="000811BF">
        <w:rPr>
          <w:i/>
          <w:iCs/>
          <w:color w:val="000000" w:themeColor="text1"/>
          <w:lang w:val="en-GB"/>
        </w:rPr>
        <w:t xml:space="preserve"> accusations when in reality I am not in contact with any of </w:t>
      </w:r>
      <w:r w:rsidR="00D76ACC" w:rsidRPr="000811BF">
        <w:rPr>
          <w:i/>
          <w:iCs/>
          <w:color w:val="000000" w:themeColor="text1"/>
          <w:lang w:val="en-GB"/>
        </w:rPr>
        <w:t>the people whose names they mentioned</w:t>
      </w:r>
      <w:r w:rsidR="00EE2B3E" w:rsidRPr="00C32E74">
        <w:rPr>
          <w:i/>
          <w:color w:val="000000" w:themeColor="text1"/>
          <w:lang w:val="en-GB"/>
        </w:rPr>
        <w:t>”</w:t>
      </w:r>
      <w:r w:rsidR="001E67E2">
        <w:rPr>
          <w:color w:val="000000" w:themeColor="text1"/>
          <w:lang w:val="en-GB"/>
        </w:rPr>
        <w:t>.</w:t>
      </w:r>
      <w:r w:rsidR="00D76ACC" w:rsidRPr="001E67E2">
        <w:rPr>
          <w:rStyle w:val="FootnoteReference"/>
          <w:color w:val="000000" w:themeColor="text1"/>
          <w:sz w:val="20"/>
          <w:lang w:val="en-GB"/>
        </w:rPr>
        <w:footnoteReference w:id="42"/>
      </w:r>
    </w:p>
    <w:p w14:paraId="6C6FA048" w14:textId="4110016A" w:rsidR="00EE2B3E" w:rsidRPr="000811BF" w:rsidRDefault="00BF7902" w:rsidP="00EE2B3E">
      <w:pPr>
        <w:pStyle w:val="SingleTxtG"/>
        <w:rPr>
          <w:color w:val="000000" w:themeColor="text1"/>
          <w:lang w:val="en-GB"/>
        </w:rPr>
      </w:pPr>
      <w:r>
        <w:rPr>
          <w:color w:val="000000" w:themeColor="text1"/>
          <w:lang w:val="en-GB"/>
        </w:rPr>
        <w:t xml:space="preserve">465. </w:t>
      </w:r>
      <w:r w:rsidR="008D4764" w:rsidRPr="000811BF">
        <w:rPr>
          <w:color w:val="000000" w:themeColor="text1"/>
          <w:lang w:val="en-GB"/>
        </w:rPr>
        <w:t>Witness accounts</w:t>
      </w:r>
      <w:r w:rsidR="00EE2B3E" w:rsidRPr="000811BF">
        <w:rPr>
          <w:color w:val="000000" w:themeColor="text1"/>
          <w:lang w:val="en-GB"/>
        </w:rPr>
        <w:t xml:space="preserve"> collected by the Commission describe certain variations of this technique</w:t>
      </w:r>
      <w:r w:rsidR="001E67E2">
        <w:rPr>
          <w:color w:val="000000" w:themeColor="text1"/>
          <w:lang w:val="en-GB"/>
        </w:rPr>
        <w:t>,</w:t>
      </w:r>
      <w:r w:rsidR="00D76ACC" w:rsidRPr="001E67E2">
        <w:rPr>
          <w:rStyle w:val="FootnoteReference"/>
          <w:color w:val="000000" w:themeColor="text1"/>
          <w:sz w:val="20"/>
          <w:lang w:val="en-GB"/>
        </w:rPr>
        <w:footnoteReference w:id="43"/>
      </w:r>
      <w:r w:rsidR="00EE2B3E" w:rsidRPr="000811BF">
        <w:rPr>
          <w:color w:val="000000" w:themeColor="text1"/>
          <w:lang w:val="en-GB"/>
        </w:rPr>
        <w:t xml:space="preserve"> such as the replacement of the container by a system of </w:t>
      </w:r>
      <w:r w:rsidR="00116217">
        <w:rPr>
          <w:color w:val="000000" w:themeColor="text1"/>
          <w:lang w:val="en-GB"/>
        </w:rPr>
        <w:t xml:space="preserve">cords or </w:t>
      </w:r>
      <w:r w:rsidR="00EE2B3E" w:rsidRPr="000811BF">
        <w:rPr>
          <w:color w:val="000000" w:themeColor="text1"/>
          <w:lang w:val="en-GB"/>
        </w:rPr>
        <w:t>ty</w:t>
      </w:r>
      <w:r w:rsidR="00D76ACC" w:rsidRPr="000811BF">
        <w:rPr>
          <w:color w:val="000000" w:themeColor="text1"/>
          <w:lang w:val="en-GB"/>
        </w:rPr>
        <w:t>ing up</w:t>
      </w:r>
      <w:r w:rsidR="00EE2B3E" w:rsidRPr="000811BF">
        <w:rPr>
          <w:color w:val="000000" w:themeColor="text1"/>
          <w:lang w:val="en-GB"/>
        </w:rPr>
        <w:t xml:space="preserve"> bags filled with </w:t>
      </w:r>
      <w:r w:rsidR="00D76ACC" w:rsidRPr="000811BF">
        <w:rPr>
          <w:color w:val="000000" w:themeColor="text1"/>
          <w:lang w:val="en-GB"/>
        </w:rPr>
        <w:t>mud</w:t>
      </w:r>
      <w:r w:rsidR="00EE2B3E" w:rsidRPr="000811BF">
        <w:rPr>
          <w:color w:val="000000" w:themeColor="text1"/>
          <w:lang w:val="en-GB"/>
        </w:rPr>
        <w:t xml:space="preserve"> or </w:t>
      </w:r>
      <w:r w:rsidR="00D14830">
        <w:rPr>
          <w:color w:val="000000" w:themeColor="text1"/>
          <w:lang w:val="en-GB"/>
        </w:rPr>
        <w:t xml:space="preserve">applying this system to </w:t>
      </w:r>
      <w:r w:rsidR="00EE2B3E" w:rsidRPr="000811BF">
        <w:rPr>
          <w:color w:val="000000" w:themeColor="text1"/>
          <w:lang w:val="en-GB"/>
        </w:rPr>
        <w:t xml:space="preserve">several </w:t>
      </w:r>
      <w:r w:rsidR="00D14830" w:rsidRPr="000811BF">
        <w:rPr>
          <w:color w:val="000000" w:themeColor="text1"/>
          <w:lang w:val="en-GB"/>
        </w:rPr>
        <w:t>detainees</w:t>
      </w:r>
      <w:r w:rsidR="00D76ACC" w:rsidRPr="000811BF">
        <w:rPr>
          <w:color w:val="000000" w:themeColor="text1"/>
          <w:lang w:val="en-GB"/>
        </w:rPr>
        <w:t xml:space="preserve"> concurrently</w:t>
      </w:r>
      <w:r w:rsidR="00EE2B3E" w:rsidRPr="000811BF">
        <w:rPr>
          <w:color w:val="000000" w:themeColor="text1"/>
          <w:lang w:val="en-GB"/>
        </w:rPr>
        <w:t xml:space="preserve">, </w:t>
      </w:r>
      <w:r w:rsidR="00D76ACC" w:rsidRPr="000811BF">
        <w:rPr>
          <w:color w:val="000000" w:themeColor="text1"/>
          <w:lang w:val="en-GB"/>
        </w:rPr>
        <w:t xml:space="preserve">for </w:t>
      </w:r>
      <w:r w:rsidR="00D14830">
        <w:rPr>
          <w:color w:val="000000" w:themeColor="text1"/>
          <w:lang w:val="en-GB"/>
        </w:rPr>
        <w:t>added</w:t>
      </w:r>
      <w:r w:rsidR="00EE2B3E" w:rsidRPr="000811BF">
        <w:rPr>
          <w:color w:val="000000" w:themeColor="text1"/>
          <w:lang w:val="en-GB"/>
        </w:rPr>
        <w:t xml:space="preserve"> humiliat</w:t>
      </w:r>
      <w:r w:rsidR="00D76ACC" w:rsidRPr="000811BF">
        <w:rPr>
          <w:color w:val="000000" w:themeColor="text1"/>
          <w:lang w:val="en-GB"/>
        </w:rPr>
        <w:t>ion</w:t>
      </w:r>
      <w:r w:rsidR="001E67E2">
        <w:rPr>
          <w:color w:val="000000" w:themeColor="text1"/>
          <w:lang w:val="en-GB"/>
        </w:rPr>
        <w:t>.</w:t>
      </w:r>
      <w:r w:rsidR="00D76ACC" w:rsidRPr="001E67E2">
        <w:rPr>
          <w:rStyle w:val="FootnoteReference"/>
          <w:color w:val="000000" w:themeColor="text1"/>
          <w:sz w:val="20"/>
          <w:lang w:val="en-GB"/>
        </w:rPr>
        <w:footnoteReference w:id="44"/>
      </w:r>
    </w:p>
    <w:p w14:paraId="1164CF3D" w14:textId="7570408D" w:rsidR="00D76ACC" w:rsidRPr="000811BF" w:rsidRDefault="00BF7902" w:rsidP="00B94580">
      <w:pPr>
        <w:pStyle w:val="SingleTxtG"/>
        <w:rPr>
          <w:color w:val="000000" w:themeColor="text1"/>
          <w:lang w:val="en-GB"/>
        </w:rPr>
      </w:pPr>
      <w:r>
        <w:rPr>
          <w:color w:val="000000" w:themeColor="text1"/>
          <w:lang w:val="en-GB"/>
        </w:rPr>
        <w:t xml:space="preserve">466. </w:t>
      </w:r>
      <w:r w:rsidR="00D76ACC" w:rsidRPr="000811BF">
        <w:rPr>
          <w:color w:val="000000" w:themeColor="text1"/>
          <w:lang w:val="en-GB"/>
        </w:rPr>
        <w:t>Several men detained at SNR were subjected to injections of unidentified fluid into their testicles</w:t>
      </w:r>
      <w:r w:rsidR="001E67E2">
        <w:rPr>
          <w:color w:val="000000" w:themeColor="text1"/>
          <w:lang w:val="en-GB"/>
        </w:rPr>
        <w:t>.</w:t>
      </w:r>
      <w:r w:rsidR="002310D8" w:rsidRPr="001E67E2">
        <w:rPr>
          <w:rStyle w:val="FootnoteReference"/>
          <w:color w:val="000000" w:themeColor="text1"/>
          <w:sz w:val="20"/>
          <w:lang w:val="en-GB"/>
        </w:rPr>
        <w:footnoteReference w:id="45"/>
      </w:r>
      <w:r w:rsidR="00D76ACC" w:rsidRPr="000811BF">
        <w:rPr>
          <w:color w:val="000000" w:themeColor="text1"/>
          <w:lang w:val="en-GB"/>
        </w:rPr>
        <w:t xml:space="preserve"> These injections caused a burning sensation, severe pain and dizziness, sometimes fainting. A man also reported being badly burned from boiling water poured over his penis, which SNR agents lifted with sticks</w:t>
      </w:r>
      <w:r w:rsidR="001E67E2">
        <w:rPr>
          <w:color w:val="000000" w:themeColor="text1"/>
          <w:lang w:val="en-GB"/>
        </w:rPr>
        <w:t>.</w:t>
      </w:r>
      <w:r w:rsidR="002310D8" w:rsidRPr="001E67E2">
        <w:rPr>
          <w:rStyle w:val="FootnoteReference"/>
          <w:color w:val="000000" w:themeColor="text1"/>
          <w:sz w:val="20"/>
          <w:lang w:val="en-GB"/>
        </w:rPr>
        <w:footnoteReference w:id="46"/>
      </w:r>
      <w:r w:rsidR="00D76ACC" w:rsidRPr="000811BF">
        <w:rPr>
          <w:color w:val="000000" w:themeColor="text1"/>
          <w:lang w:val="en-GB"/>
        </w:rPr>
        <w:t xml:space="preserve"> Another </w:t>
      </w:r>
      <w:r w:rsidR="002310D8" w:rsidRPr="000811BF">
        <w:rPr>
          <w:color w:val="000000" w:themeColor="text1"/>
          <w:lang w:val="en-GB"/>
        </w:rPr>
        <w:t xml:space="preserve">man reported that </w:t>
      </w:r>
      <w:r w:rsidR="00D76ACC" w:rsidRPr="000811BF">
        <w:rPr>
          <w:color w:val="000000" w:themeColor="text1"/>
          <w:lang w:val="en-GB"/>
        </w:rPr>
        <w:t>his testicles were pinched and injured with pliers</w:t>
      </w:r>
      <w:r w:rsidR="001E67E2">
        <w:rPr>
          <w:color w:val="000000" w:themeColor="text1"/>
          <w:lang w:val="en-GB"/>
        </w:rPr>
        <w:t>.</w:t>
      </w:r>
      <w:r w:rsidR="002310D8" w:rsidRPr="001E67E2">
        <w:rPr>
          <w:rStyle w:val="FootnoteReference"/>
          <w:color w:val="000000" w:themeColor="text1"/>
          <w:sz w:val="20"/>
          <w:lang w:val="en-GB"/>
        </w:rPr>
        <w:footnoteReference w:id="47"/>
      </w:r>
    </w:p>
    <w:p w14:paraId="636F0BFC" w14:textId="669F822F" w:rsidR="00055525" w:rsidRPr="000811BF" w:rsidRDefault="00BF7902" w:rsidP="00055525">
      <w:pPr>
        <w:pStyle w:val="SingleTxtG"/>
        <w:rPr>
          <w:color w:val="000000" w:themeColor="text1"/>
          <w:lang w:val="en-GB"/>
        </w:rPr>
      </w:pPr>
      <w:r>
        <w:rPr>
          <w:color w:val="000000" w:themeColor="text1"/>
          <w:lang w:val="en-GB"/>
        </w:rPr>
        <w:t xml:space="preserve">467. </w:t>
      </w:r>
      <w:r w:rsidR="00055525" w:rsidRPr="000811BF">
        <w:rPr>
          <w:color w:val="000000" w:themeColor="text1"/>
          <w:lang w:val="en-GB"/>
        </w:rPr>
        <w:t>Several men reported being kick</w:t>
      </w:r>
      <w:r w:rsidR="002310D8" w:rsidRPr="000811BF">
        <w:rPr>
          <w:color w:val="000000" w:themeColor="text1"/>
          <w:lang w:val="en-GB"/>
        </w:rPr>
        <w:t>ed</w:t>
      </w:r>
      <w:r w:rsidR="00116217">
        <w:rPr>
          <w:color w:val="000000" w:themeColor="text1"/>
          <w:lang w:val="en-GB"/>
        </w:rPr>
        <w:t>, including</w:t>
      </w:r>
      <w:r w:rsidR="002310D8" w:rsidRPr="000811BF">
        <w:rPr>
          <w:color w:val="000000" w:themeColor="text1"/>
          <w:lang w:val="en-GB"/>
        </w:rPr>
        <w:t xml:space="preserve"> with</w:t>
      </w:r>
      <w:r w:rsidR="00055525" w:rsidRPr="000811BF">
        <w:rPr>
          <w:color w:val="000000" w:themeColor="text1"/>
          <w:lang w:val="en-GB"/>
        </w:rPr>
        <w:t xml:space="preserve"> boots</w:t>
      </w:r>
      <w:r w:rsidR="001E67E2">
        <w:rPr>
          <w:color w:val="000000" w:themeColor="text1"/>
          <w:lang w:val="en-GB"/>
        </w:rPr>
        <w:t>,</w:t>
      </w:r>
      <w:r w:rsidR="002310D8" w:rsidRPr="001E67E2">
        <w:rPr>
          <w:rStyle w:val="FootnoteReference"/>
          <w:color w:val="000000" w:themeColor="text1"/>
          <w:sz w:val="20"/>
          <w:lang w:val="en-GB"/>
        </w:rPr>
        <w:footnoteReference w:id="48"/>
      </w:r>
      <w:proofErr w:type="gramStart"/>
      <w:r w:rsidR="00116217">
        <w:rPr>
          <w:color w:val="000000" w:themeColor="text1"/>
          <w:lang w:val="en-GB"/>
        </w:rPr>
        <w:t>,</w:t>
      </w:r>
      <w:proofErr w:type="gramEnd"/>
      <w:r w:rsidR="00116217">
        <w:rPr>
          <w:color w:val="000000" w:themeColor="text1"/>
          <w:lang w:val="en-GB"/>
        </w:rPr>
        <w:t xml:space="preserve"> beaten with</w:t>
      </w:r>
      <w:r w:rsidR="002310D8" w:rsidRPr="000811BF">
        <w:rPr>
          <w:color w:val="000000" w:themeColor="text1"/>
          <w:lang w:val="en-GB"/>
        </w:rPr>
        <w:t xml:space="preserve"> </w:t>
      </w:r>
      <w:r w:rsidR="00055525" w:rsidRPr="000811BF">
        <w:rPr>
          <w:color w:val="000000" w:themeColor="text1"/>
          <w:lang w:val="en-GB"/>
        </w:rPr>
        <w:t>sticks</w:t>
      </w:r>
      <w:r w:rsidR="002310D8" w:rsidRPr="001E67E2">
        <w:rPr>
          <w:rStyle w:val="FootnoteReference"/>
          <w:color w:val="000000" w:themeColor="text1"/>
          <w:sz w:val="20"/>
          <w:lang w:val="en-GB"/>
        </w:rPr>
        <w:footnoteReference w:id="49"/>
      </w:r>
      <w:r w:rsidR="00055525" w:rsidRPr="000811BF">
        <w:rPr>
          <w:color w:val="000000" w:themeColor="text1"/>
          <w:lang w:val="en-GB"/>
        </w:rPr>
        <w:t xml:space="preserve"> or </w:t>
      </w:r>
      <w:r w:rsidR="002310D8" w:rsidRPr="000811BF">
        <w:rPr>
          <w:color w:val="000000" w:themeColor="text1"/>
          <w:lang w:val="en-GB"/>
        </w:rPr>
        <w:t>hard</w:t>
      </w:r>
      <w:r w:rsidR="00055525" w:rsidRPr="000811BF">
        <w:rPr>
          <w:color w:val="000000" w:themeColor="text1"/>
          <w:lang w:val="en-GB"/>
        </w:rPr>
        <w:t xml:space="preserve">wire </w:t>
      </w:r>
      <w:r w:rsidR="002310D8" w:rsidRPr="000811BF">
        <w:rPr>
          <w:color w:val="000000" w:themeColor="text1"/>
          <w:lang w:val="en-GB"/>
        </w:rPr>
        <w:t>or metal cables</w:t>
      </w:r>
      <w:r w:rsidR="001E67E2">
        <w:rPr>
          <w:color w:val="000000" w:themeColor="text1"/>
          <w:lang w:val="en-GB"/>
        </w:rPr>
        <w:t>,</w:t>
      </w:r>
      <w:r w:rsidR="002310D8" w:rsidRPr="001E67E2">
        <w:rPr>
          <w:rStyle w:val="FootnoteReference"/>
          <w:color w:val="000000" w:themeColor="text1"/>
          <w:sz w:val="20"/>
          <w:lang w:val="en-GB"/>
        </w:rPr>
        <w:footnoteReference w:id="50"/>
      </w:r>
      <w:r w:rsidR="00055525" w:rsidRPr="000811BF">
        <w:rPr>
          <w:color w:val="000000" w:themeColor="text1"/>
          <w:lang w:val="en-GB"/>
        </w:rPr>
        <w:t xml:space="preserve"> and explained how the beating specifically targeted their genitals.</w:t>
      </w:r>
    </w:p>
    <w:p w14:paraId="362B9E8F" w14:textId="366ED010" w:rsidR="00D76ACC" w:rsidRPr="000811BF" w:rsidRDefault="00D76ACC" w:rsidP="001E67E2">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 xml:space="preserve">They also kicked me on the chest, [in] the ribs, on my genitals […] </w:t>
      </w:r>
      <w:proofErr w:type="gramStart"/>
      <w:r w:rsidRPr="000811BF">
        <w:rPr>
          <w:i/>
          <w:iCs/>
          <w:color w:val="000000" w:themeColor="text1"/>
          <w:lang w:val="en-GB"/>
        </w:rPr>
        <w:t>The</w:t>
      </w:r>
      <w:proofErr w:type="gramEnd"/>
      <w:r w:rsidRPr="000811BF">
        <w:rPr>
          <w:i/>
          <w:iCs/>
          <w:color w:val="000000" w:themeColor="text1"/>
          <w:lang w:val="en-GB"/>
        </w:rPr>
        <w:t xml:space="preserve"> blows on the genitals, they </w:t>
      </w:r>
      <w:r w:rsidR="00BE7091" w:rsidRPr="000811BF">
        <w:rPr>
          <w:i/>
          <w:iCs/>
          <w:color w:val="000000" w:themeColor="text1"/>
          <w:lang w:val="en-GB"/>
        </w:rPr>
        <w:t>were</w:t>
      </w:r>
      <w:r w:rsidRPr="000811BF">
        <w:rPr>
          <w:i/>
          <w:iCs/>
          <w:color w:val="000000" w:themeColor="text1"/>
          <w:lang w:val="en-GB"/>
        </w:rPr>
        <w:t xml:space="preserve"> precise</w:t>
      </w:r>
      <w:r w:rsidR="00FC50A5" w:rsidRPr="000811BF">
        <w:rPr>
          <w:i/>
          <w:iCs/>
          <w:color w:val="000000" w:themeColor="text1"/>
          <w:lang w:val="en-GB"/>
        </w:rPr>
        <w:t xml:space="preserve">; </w:t>
      </w:r>
      <w:r w:rsidRPr="000811BF">
        <w:rPr>
          <w:i/>
          <w:iCs/>
          <w:color w:val="000000" w:themeColor="text1"/>
          <w:lang w:val="en-GB"/>
        </w:rPr>
        <w:t xml:space="preserve">they </w:t>
      </w:r>
      <w:r w:rsidR="007E213B">
        <w:rPr>
          <w:i/>
          <w:iCs/>
          <w:color w:val="000000" w:themeColor="text1"/>
          <w:lang w:val="en-GB"/>
        </w:rPr>
        <w:t>forcibly</w:t>
      </w:r>
      <w:r w:rsidR="00D14830">
        <w:rPr>
          <w:i/>
          <w:iCs/>
          <w:color w:val="000000" w:themeColor="text1"/>
          <w:lang w:val="en-GB"/>
        </w:rPr>
        <w:t xml:space="preserve"> </w:t>
      </w:r>
      <w:r w:rsidR="00BE7091" w:rsidRPr="000811BF">
        <w:rPr>
          <w:i/>
          <w:iCs/>
          <w:color w:val="000000" w:themeColor="text1"/>
          <w:lang w:val="en-GB"/>
        </w:rPr>
        <w:t xml:space="preserve">spread my </w:t>
      </w:r>
      <w:r w:rsidRPr="000811BF">
        <w:rPr>
          <w:i/>
          <w:iCs/>
          <w:color w:val="000000" w:themeColor="text1"/>
          <w:lang w:val="en-GB"/>
        </w:rPr>
        <w:t xml:space="preserve">legs </w:t>
      </w:r>
      <w:r w:rsidR="00FC50A5" w:rsidRPr="000811BF">
        <w:rPr>
          <w:i/>
          <w:iCs/>
          <w:color w:val="000000" w:themeColor="text1"/>
          <w:lang w:val="en-GB"/>
        </w:rPr>
        <w:t>and then they</w:t>
      </w:r>
      <w:r w:rsidRPr="000811BF">
        <w:rPr>
          <w:i/>
          <w:iCs/>
          <w:color w:val="000000" w:themeColor="text1"/>
          <w:lang w:val="en-GB"/>
        </w:rPr>
        <w:t xml:space="preserve"> kick</w:t>
      </w:r>
      <w:r w:rsidR="00FC50A5" w:rsidRPr="000811BF">
        <w:rPr>
          <w:i/>
          <w:iCs/>
          <w:color w:val="000000" w:themeColor="text1"/>
          <w:lang w:val="en-GB"/>
        </w:rPr>
        <w:t>ed me</w:t>
      </w:r>
      <w:r w:rsidRPr="000811BF">
        <w:rPr>
          <w:i/>
          <w:iCs/>
          <w:color w:val="000000" w:themeColor="text1"/>
          <w:lang w:val="en-GB"/>
        </w:rPr>
        <w:t xml:space="preserve"> […]</w:t>
      </w:r>
      <w:r w:rsidR="00BE7091" w:rsidRPr="000811BF">
        <w:rPr>
          <w:i/>
          <w:iCs/>
          <w:color w:val="000000" w:themeColor="text1"/>
          <w:lang w:val="en-GB"/>
        </w:rPr>
        <w:t xml:space="preserve"> </w:t>
      </w:r>
      <w:r w:rsidRPr="000811BF">
        <w:rPr>
          <w:i/>
          <w:iCs/>
          <w:color w:val="000000" w:themeColor="text1"/>
          <w:lang w:val="en-GB"/>
        </w:rPr>
        <w:t xml:space="preserve">the </w:t>
      </w:r>
      <w:r w:rsidR="007E213B">
        <w:rPr>
          <w:i/>
          <w:iCs/>
          <w:color w:val="000000" w:themeColor="text1"/>
          <w:lang w:val="en-GB"/>
        </w:rPr>
        <w:t>beating</w:t>
      </w:r>
      <w:r w:rsidRPr="000811BF">
        <w:rPr>
          <w:i/>
          <w:iCs/>
          <w:color w:val="000000" w:themeColor="text1"/>
          <w:lang w:val="en-GB"/>
        </w:rPr>
        <w:t xml:space="preserve"> lasted about 30 minutes</w:t>
      </w:r>
      <w:r w:rsidRPr="000811BF">
        <w:rPr>
          <w:color w:val="000000" w:themeColor="text1"/>
          <w:lang w:val="en-GB"/>
        </w:rPr>
        <w:t>”</w:t>
      </w:r>
      <w:r w:rsidR="001E67E2">
        <w:rPr>
          <w:color w:val="000000" w:themeColor="text1"/>
          <w:lang w:val="en-GB"/>
        </w:rPr>
        <w:t>.</w:t>
      </w:r>
      <w:r w:rsidR="00BE7091" w:rsidRPr="001E67E2">
        <w:rPr>
          <w:rStyle w:val="FootnoteReference"/>
          <w:color w:val="000000" w:themeColor="text1"/>
          <w:sz w:val="20"/>
          <w:lang w:val="en-GB"/>
        </w:rPr>
        <w:footnoteReference w:id="51"/>
      </w:r>
    </w:p>
    <w:p w14:paraId="426EAFE3" w14:textId="58E88A11" w:rsidR="00D76ACC" w:rsidRPr="000811BF" w:rsidRDefault="00BF7902" w:rsidP="00D76ACC">
      <w:pPr>
        <w:pStyle w:val="SingleTxtG"/>
        <w:rPr>
          <w:color w:val="000000" w:themeColor="text1"/>
          <w:lang w:val="en-GB"/>
        </w:rPr>
      </w:pPr>
      <w:r>
        <w:rPr>
          <w:color w:val="000000" w:themeColor="text1"/>
          <w:lang w:val="en-GB"/>
        </w:rPr>
        <w:t xml:space="preserve">468. </w:t>
      </w:r>
      <w:r w:rsidR="00D76ACC" w:rsidRPr="000811BF">
        <w:rPr>
          <w:color w:val="000000" w:themeColor="text1"/>
          <w:lang w:val="en-GB"/>
        </w:rPr>
        <w:t>In some cases, detained victims were taken into the forest or the bush by SNR agents,</w:t>
      </w:r>
      <w:r w:rsidR="000811BF">
        <w:rPr>
          <w:color w:val="000000" w:themeColor="text1"/>
          <w:lang w:val="en-GB"/>
        </w:rPr>
        <w:t xml:space="preserve"> </w:t>
      </w:r>
      <w:r w:rsidR="00D76ACC" w:rsidRPr="000811BF">
        <w:rPr>
          <w:color w:val="000000" w:themeColor="text1"/>
          <w:lang w:val="en-GB"/>
        </w:rPr>
        <w:t xml:space="preserve">with </w:t>
      </w:r>
      <w:r w:rsidR="00AC3AE7" w:rsidRPr="000811BF">
        <w:rPr>
          <w:color w:val="000000" w:themeColor="text1"/>
          <w:lang w:val="en-GB"/>
        </w:rPr>
        <w:t xml:space="preserve">or without </w:t>
      </w:r>
      <w:proofErr w:type="spellStart"/>
      <w:r w:rsidR="00D76ACC" w:rsidRPr="000811BF">
        <w:rPr>
          <w:color w:val="000000" w:themeColor="text1"/>
          <w:lang w:val="en-GB"/>
        </w:rPr>
        <w:t>Imbonerakure</w:t>
      </w:r>
      <w:proofErr w:type="spellEnd"/>
      <w:r w:rsidR="00D76ACC" w:rsidRPr="000811BF">
        <w:rPr>
          <w:color w:val="000000" w:themeColor="text1"/>
          <w:lang w:val="en-GB"/>
        </w:rPr>
        <w:t>, where they were subjected to sexual violence and other forms of violence</w:t>
      </w:r>
      <w:r w:rsidR="001E67E2">
        <w:rPr>
          <w:color w:val="000000" w:themeColor="text1"/>
          <w:lang w:val="en-GB"/>
        </w:rPr>
        <w:t>:</w:t>
      </w:r>
      <w:r w:rsidR="00AC3AE7" w:rsidRPr="001E67E2">
        <w:rPr>
          <w:rStyle w:val="FootnoteReference"/>
          <w:color w:val="000000" w:themeColor="text1"/>
          <w:sz w:val="20"/>
          <w:lang w:val="en-GB"/>
        </w:rPr>
        <w:footnoteReference w:id="52"/>
      </w:r>
    </w:p>
    <w:p w14:paraId="2B5E6C6F" w14:textId="7080A057" w:rsidR="00D76ACC" w:rsidRPr="000811BF" w:rsidRDefault="00D76ACC" w:rsidP="001E67E2">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After we got out [</w:t>
      </w:r>
      <w:r w:rsidR="00AC3AE7" w:rsidRPr="000811BF">
        <w:rPr>
          <w:i/>
          <w:iCs/>
          <w:color w:val="000000" w:themeColor="text1"/>
          <w:lang w:val="en-GB"/>
        </w:rPr>
        <w:t>of</w:t>
      </w:r>
      <w:r w:rsidRPr="000811BF">
        <w:rPr>
          <w:i/>
          <w:iCs/>
          <w:color w:val="000000" w:themeColor="text1"/>
          <w:lang w:val="en-GB"/>
        </w:rPr>
        <w:t xml:space="preserve"> the vehicle], we were beaten</w:t>
      </w:r>
      <w:r w:rsidR="000811BF">
        <w:rPr>
          <w:i/>
          <w:iCs/>
          <w:color w:val="000000" w:themeColor="text1"/>
          <w:lang w:val="en-GB"/>
        </w:rPr>
        <w:t>;</w:t>
      </w:r>
      <w:r w:rsidRPr="000811BF">
        <w:rPr>
          <w:i/>
          <w:iCs/>
          <w:color w:val="000000" w:themeColor="text1"/>
          <w:lang w:val="en-GB"/>
        </w:rPr>
        <w:t xml:space="preserve"> our pants </w:t>
      </w:r>
      <w:r w:rsidR="00AC3AE7" w:rsidRPr="000811BF">
        <w:rPr>
          <w:i/>
          <w:iCs/>
          <w:color w:val="000000" w:themeColor="text1"/>
          <w:lang w:val="en-GB"/>
        </w:rPr>
        <w:t xml:space="preserve">pulled </w:t>
      </w:r>
      <w:r w:rsidRPr="000811BF">
        <w:rPr>
          <w:i/>
          <w:iCs/>
          <w:color w:val="000000" w:themeColor="text1"/>
          <w:lang w:val="en-GB"/>
        </w:rPr>
        <w:t xml:space="preserve">down </w:t>
      </w:r>
      <w:r w:rsidR="00AC3AE7" w:rsidRPr="000811BF">
        <w:rPr>
          <w:i/>
          <w:iCs/>
          <w:color w:val="000000" w:themeColor="text1"/>
          <w:lang w:val="en-GB"/>
        </w:rPr>
        <w:t>and they</w:t>
      </w:r>
      <w:r w:rsidRPr="000811BF">
        <w:rPr>
          <w:i/>
          <w:iCs/>
          <w:color w:val="000000" w:themeColor="text1"/>
          <w:lang w:val="en-GB"/>
        </w:rPr>
        <w:t xml:space="preserve"> hit us on the genitals while asking who sent us [mandated]. It was they [members of the SNR] who lowered our pants. </w:t>
      </w:r>
      <w:r w:rsidR="00AC3AE7" w:rsidRPr="000811BF">
        <w:rPr>
          <w:i/>
          <w:iCs/>
          <w:color w:val="000000" w:themeColor="text1"/>
          <w:lang w:val="en-GB"/>
        </w:rPr>
        <w:t>To hit us, t</w:t>
      </w:r>
      <w:r w:rsidRPr="000811BF">
        <w:rPr>
          <w:i/>
          <w:iCs/>
          <w:color w:val="000000" w:themeColor="text1"/>
          <w:lang w:val="en-GB"/>
        </w:rPr>
        <w:t>hey used the</w:t>
      </w:r>
      <w:r w:rsidR="003E164F" w:rsidRPr="000811BF">
        <w:rPr>
          <w:i/>
          <w:iCs/>
          <w:color w:val="000000" w:themeColor="text1"/>
          <w:lang w:val="en-GB"/>
        </w:rPr>
        <w:t xml:space="preserve"> </w:t>
      </w:r>
      <w:r w:rsidR="007E213B">
        <w:rPr>
          <w:i/>
          <w:iCs/>
          <w:color w:val="000000" w:themeColor="text1"/>
          <w:lang w:val="en-GB"/>
        </w:rPr>
        <w:t xml:space="preserve">rod of the </w:t>
      </w:r>
      <w:r w:rsidR="003E164F" w:rsidRPr="000811BF">
        <w:rPr>
          <w:i/>
          <w:iCs/>
          <w:color w:val="000000" w:themeColor="text1"/>
          <w:lang w:val="en-GB"/>
        </w:rPr>
        <w:t>Kalashnikov rifles</w:t>
      </w:r>
      <w:r w:rsidRPr="000811BF">
        <w:rPr>
          <w:color w:val="000000" w:themeColor="text1"/>
          <w:lang w:val="en-GB"/>
        </w:rPr>
        <w:t>”</w:t>
      </w:r>
      <w:r w:rsidR="001E67E2">
        <w:rPr>
          <w:color w:val="000000" w:themeColor="text1"/>
          <w:lang w:val="en-GB"/>
        </w:rPr>
        <w:t>.</w:t>
      </w:r>
      <w:r w:rsidR="00AC3AE7" w:rsidRPr="001E67E2">
        <w:rPr>
          <w:rStyle w:val="FootnoteReference"/>
          <w:color w:val="000000" w:themeColor="text1"/>
          <w:sz w:val="20"/>
          <w:lang w:val="en-GB"/>
        </w:rPr>
        <w:footnoteReference w:id="53"/>
      </w:r>
    </w:p>
    <w:p w14:paraId="6072B76A" w14:textId="7F9845D7" w:rsidR="00B94580" w:rsidRPr="000811BF" w:rsidRDefault="00B94580" w:rsidP="00B94580">
      <w:pPr>
        <w:pStyle w:val="H23G"/>
        <w:rPr>
          <w:color w:val="000000" w:themeColor="text1"/>
          <w:lang w:val="en-GB"/>
        </w:rPr>
      </w:pPr>
      <w:r w:rsidRPr="000811BF">
        <w:rPr>
          <w:color w:val="000000" w:themeColor="text1"/>
          <w:lang w:val="en-GB"/>
        </w:rPr>
        <w:lastRenderedPageBreak/>
        <w:tab/>
      </w:r>
      <w:r w:rsidR="00B90CB6">
        <w:rPr>
          <w:color w:val="000000" w:themeColor="text1"/>
          <w:lang w:val="en-GB"/>
        </w:rPr>
        <w:tab/>
      </w:r>
      <w:r w:rsidRPr="000811BF">
        <w:rPr>
          <w:color w:val="000000" w:themeColor="text1"/>
          <w:lang w:val="en-GB"/>
        </w:rPr>
        <w:t xml:space="preserve">b) </w:t>
      </w:r>
      <w:r w:rsidR="005B6A08" w:rsidRPr="000811BF">
        <w:rPr>
          <w:color w:val="000000" w:themeColor="text1"/>
          <w:lang w:val="en-GB"/>
        </w:rPr>
        <w:t>Rape</w:t>
      </w:r>
    </w:p>
    <w:p w14:paraId="2BF33639" w14:textId="6BC089F7" w:rsidR="008E2E40" w:rsidRPr="000811BF" w:rsidRDefault="00BF7902" w:rsidP="00B94580">
      <w:pPr>
        <w:pStyle w:val="SingleTxtG"/>
        <w:rPr>
          <w:color w:val="000000" w:themeColor="text1"/>
          <w:lang w:val="en-GB"/>
        </w:rPr>
      </w:pPr>
      <w:r>
        <w:rPr>
          <w:color w:val="000000" w:themeColor="text1"/>
          <w:lang w:val="en-GB"/>
        </w:rPr>
        <w:t xml:space="preserve">469. </w:t>
      </w:r>
      <w:r w:rsidR="008E2E40" w:rsidRPr="000811BF">
        <w:rPr>
          <w:color w:val="000000" w:themeColor="text1"/>
          <w:lang w:val="en-GB"/>
        </w:rPr>
        <w:t xml:space="preserve">In the course of their detention under SNR responsibility, men were raped by SNR agents or </w:t>
      </w:r>
      <w:proofErr w:type="spellStart"/>
      <w:r w:rsidR="008E2E40" w:rsidRPr="000811BF">
        <w:rPr>
          <w:color w:val="000000" w:themeColor="text1"/>
          <w:lang w:val="en-GB"/>
        </w:rPr>
        <w:t>Imbonerakure</w:t>
      </w:r>
      <w:proofErr w:type="spellEnd"/>
      <w:r w:rsidR="008E2E40" w:rsidRPr="000811BF">
        <w:rPr>
          <w:color w:val="000000" w:themeColor="text1"/>
          <w:lang w:val="en-GB"/>
        </w:rPr>
        <w:t>, or forced under threat to have sex with other men or women detainees.</w:t>
      </w:r>
    </w:p>
    <w:p w14:paraId="2AF7868E" w14:textId="77777777" w:rsidR="001D3E41" w:rsidRDefault="00BF7902" w:rsidP="00B94580">
      <w:pPr>
        <w:pStyle w:val="SingleTxtG"/>
        <w:rPr>
          <w:color w:val="000000" w:themeColor="text1"/>
          <w:lang w:val="en-GB"/>
        </w:rPr>
      </w:pPr>
      <w:r>
        <w:rPr>
          <w:color w:val="000000" w:themeColor="text1"/>
          <w:lang w:val="en-GB"/>
        </w:rPr>
        <w:t xml:space="preserve">470. </w:t>
      </w:r>
      <w:r w:rsidR="008E2E40" w:rsidRPr="000811BF">
        <w:rPr>
          <w:color w:val="000000" w:themeColor="text1"/>
          <w:lang w:val="en-GB"/>
        </w:rPr>
        <w:t xml:space="preserve">Literature on sexual violence against men in conflict </w:t>
      </w:r>
      <w:r w:rsidR="000811BF">
        <w:rPr>
          <w:color w:val="000000" w:themeColor="text1"/>
          <w:lang w:val="en-GB"/>
        </w:rPr>
        <w:t xml:space="preserve">situations </w:t>
      </w:r>
      <w:r w:rsidR="008E2E40" w:rsidRPr="000811BF">
        <w:rPr>
          <w:color w:val="000000" w:themeColor="text1"/>
          <w:lang w:val="en-GB"/>
        </w:rPr>
        <w:t xml:space="preserve">recognizes that men can be affected by different forms of rape that have not yet been specifically qualified, including situations in which a man is forced to have sex with another victim, male or female, </w:t>
      </w:r>
      <w:r w:rsidR="007B2D74" w:rsidRPr="000811BF">
        <w:rPr>
          <w:color w:val="000000" w:themeColor="text1"/>
          <w:lang w:val="en-GB"/>
        </w:rPr>
        <w:t xml:space="preserve">including someone </w:t>
      </w:r>
      <w:r w:rsidR="008E2E40" w:rsidRPr="000811BF">
        <w:rPr>
          <w:color w:val="000000" w:themeColor="text1"/>
          <w:lang w:val="en-GB"/>
        </w:rPr>
        <w:t>who may be a family member</w:t>
      </w:r>
      <w:r w:rsidR="001D3E41">
        <w:rPr>
          <w:color w:val="000000" w:themeColor="text1"/>
          <w:lang w:val="en-GB"/>
        </w:rPr>
        <w:t>.</w:t>
      </w:r>
      <w:r w:rsidR="008E2E40" w:rsidRPr="000811BF">
        <w:rPr>
          <w:rStyle w:val="FootnoteReference"/>
          <w:color w:val="000000" w:themeColor="text1"/>
          <w:lang w:val="en-GB"/>
        </w:rPr>
        <w:footnoteReference w:id="54"/>
      </w:r>
    </w:p>
    <w:p w14:paraId="4E0D254C" w14:textId="5DBD8B76" w:rsidR="00342E63" w:rsidRPr="000811BF" w:rsidRDefault="00BF7902" w:rsidP="0083649E">
      <w:pPr>
        <w:pStyle w:val="SingleTxtG"/>
        <w:rPr>
          <w:color w:val="000000" w:themeColor="text1"/>
          <w:lang w:val="en-GB"/>
        </w:rPr>
      </w:pPr>
      <w:r>
        <w:rPr>
          <w:color w:val="000000" w:themeColor="text1"/>
          <w:lang w:val="en-GB"/>
        </w:rPr>
        <w:t xml:space="preserve">471. </w:t>
      </w:r>
      <w:r w:rsidR="00342E63" w:rsidRPr="000811BF">
        <w:rPr>
          <w:color w:val="000000" w:themeColor="text1"/>
          <w:lang w:val="en-GB"/>
        </w:rPr>
        <w:t xml:space="preserve">More than </w:t>
      </w:r>
      <w:r w:rsidR="000811BF">
        <w:rPr>
          <w:color w:val="000000" w:themeColor="text1"/>
          <w:lang w:val="en-GB"/>
        </w:rPr>
        <w:t>any</w:t>
      </w:r>
      <w:r w:rsidR="00342E63" w:rsidRPr="000811BF">
        <w:rPr>
          <w:color w:val="000000" w:themeColor="text1"/>
          <w:lang w:val="en-GB"/>
        </w:rPr>
        <w:t>, t</w:t>
      </w:r>
      <w:r w:rsidR="007B2D74" w:rsidRPr="000811BF">
        <w:rPr>
          <w:color w:val="000000" w:themeColor="text1"/>
          <w:lang w:val="en-GB"/>
        </w:rPr>
        <w:t>his type of sexual violence touches on taboos o</w:t>
      </w:r>
      <w:r w:rsidR="00342E63" w:rsidRPr="000811BF">
        <w:rPr>
          <w:color w:val="000000" w:themeColor="text1"/>
          <w:lang w:val="en-GB"/>
        </w:rPr>
        <w:t>n</w:t>
      </w:r>
      <w:r w:rsidR="007B2D74" w:rsidRPr="000811BF">
        <w:rPr>
          <w:color w:val="000000" w:themeColor="text1"/>
          <w:lang w:val="en-GB"/>
        </w:rPr>
        <w:t xml:space="preserve"> sexuality and the morality of the society</w:t>
      </w:r>
      <w:r w:rsidR="000811BF">
        <w:rPr>
          <w:color w:val="000000" w:themeColor="text1"/>
          <w:lang w:val="en-GB"/>
        </w:rPr>
        <w:t>;</w:t>
      </w:r>
      <w:r w:rsidR="007B2D74" w:rsidRPr="000811BF">
        <w:rPr>
          <w:color w:val="000000" w:themeColor="text1"/>
          <w:lang w:val="en-GB"/>
        </w:rPr>
        <w:t xml:space="preserve"> and is therefore much more difficult for the victims or the witnesses to denounce. It is therefore likely that many victims refuse to tell anyone about what happened to them.</w:t>
      </w:r>
      <w:r w:rsidR="0083649E">
        <w:rPr>
          <w:color w:val="000000" w:themeColor="text1"/>
          <w:lang w:val="en-GB"/>
        </w:rPr>
        <w:t xml:space="preserve"> </w:t>
      </w:r>
      <w:r w:rsidR="00342E63" w:rsidRPr="000811BF">
        <w:rPr>
          <w:color w:val="000000" w:themeColor="text1"/>
          <w:lang w:val="en-GB"/>
        </w:rPr>
        <w:t>One victim explained:</w:t>
      </w:r>
    </w:p>
    <w:p w14:paraId="695CAEE5" w14:textId="7E91B75F" w:rsidR="00342E63" w:rsidRPr="000811BF" w:rsidRDefault="00342E63" w:rsidP="001D3E41">
      <w:pPr>
        <w:pStyle w:val="SingleTxtG"/>
        <w:ind w:left="1701"/>
        <w:rPr>
          <w:color w:val="000000" w:themeColor="text1"/>
          <w:lang w:val="en-GB"/>
        </w:rPr>
      </w:pPr>
      <w:r w:rsidRPr="00C32E74">
        <w:rPr>
          <w:i/>
          <w:color w:val="000000" w:themeColor="text1"/>
          <w:lang w:val="en-GB"/>
        </w:rPr>
        <w:t>“</w:t>
      </w:r>
      <w:r w:rsidRPr="000811BF">
        <w:rPr>
          <w:i/>
          <w:iCs/>
          <w:color w:val="000000" w:themeColor="text1"/>
          <w:lang w:val="en-GB"/>
        </w:rPr>
        <w:t xml:space="preserve">After forcing me to sleep with [X] they laughed a lot. Reflecting on what I had done, I wondered why they made me do it. Maybe to make a fool of me, maybe to hurt me. […]. What has happened to me has happened to other people even though people do not talk about it a lot […] </w:t>
      </w:r>
      <w:proofErr w:type="gramStart"/>
      <w:r w:rsidRPr="000811BF">
        <w:rPr>
          <w:i/>
          <w:iCs/>
          <w:color w:val="000000" w:themeColor="text1"/>
          <w:lang w:val="en-GB"/>
        </w:rPr>
        <w:t>There</w:t>
      </w:r>
      <w:proofErr w:type="gramEnd"/>
      <w:r w:rsidRPr="000811BF">
        <w:rPr>
          <w:i/>
          <w:iCs/>
          <w:color w:val="000000" w:themeColor="text1"/>
          <w:lang w:val="en-GB"/>
        </w:rPr>
        <w:t xml:space="preserve"> are people who cannot talk about it for mental reasons. Some are relieved to talk about it while </w:t>
      </w:r>
      <w:r w:rsidR="000811BF">
        <w:rPr>
          <w:i/>
          <w:iCs/>
          <w:color w:val="000000" w:themeColor="text1"/>
          <w:lang w:val="en-GB"/>
        </w:rPr>
        <w:t xml:space="preserve">others </w:t>
      </w:r>
      <w:r w:rsidRPr="000811BF">
        <w:rPr>
          <w:i/>
          <w:iCs/>
          <w:color w:val="000000" w:themeColor="text1"/>
          <w:lang w:val="en-GB"/>
        </w:rPr>
        <w:t>are so troubled, they cannot talk about it</w:t>
      </w:r>
      <w:r w:rsidR="001D3E41">
        <w:rPr>
          <w:i/>
          <w:iCs/>
          <w:color w:val="000000" w:themeColor="text1"/>
          <w:lang w:val="en-GB"/>
        </w:rPr>
        <w:t>”</w:t>
      </w:r>
      <w:r w:rsidRPr="000811BF">
        <w:rPr>
          <w:color w:val="000000" w:themeColor="text1"/>
          <w:lang w:val="en-GB"/>
        </w:rPr>
        <w:t>.</w:t>
      </w:r>
      <w:r w:rsidRPr="000811BF">
        <w:rPr>
          <w:iCs/>
          <w:color w:val="000000" w:themeColor="text1"/>
          <w:vertAlign w:val="superscript"/>
          <w:lang w:val="en-GB"/>
        </w:rPr>
        <w:footnoteReference w:id="55"/>
      </w:r>
    </w:p>
    <w:p w14:paraId="23AE82AD" w14:textId="483344F7" w:rsidR="007F4634" w:rsidRPr="000811BF" w:rsidRDefault="00BF7902" w:rsidP="00B94580">
      <w:pPr>
        <w:pStyle w:val="SingleTxtG"/>
        <w:rPr>
          <w:color w:val="000000" w:themeColor="text1"/>
          <w:lang w:val="en-GB"/>
        </w:rPr>
      </w:pPr>
      <w:r>
        <w:rPr>
          <w:color w:val="000000" w:themeColor="text1"/>
          <w:lang w:val="en-GB"/>
        </w:rPr>
        <w:t xml:space="preserve">472. </w:t>
      </w:r>
      <w:r w:rsidR="007F4634" w:rsidRPr="000811BF">
        <w:rPr>
          <w:color w:val="000000" w:themeColor="text1"/>
          <w:lang w:val="en-GB"/>
        </w:rPr>
        <w:t xml:space="preserve">Men detained by the SNR were coerced into having vaginal sex with a woman detainee also under threat of death if they did not do so; </w:t>
      </w:r>
      <w:r w:rsidR="00C8563C">
        <w:rPr>
          <w:color w:val="000000" w:themeColor="text1"/>
          <w:lang w:val="en-GB"/>
        </w:rPr>
        <w:t xml:space="preserve">act </w:t>
      </w:r>
      <w:r w:rsidR="007F4634" w:rsidRPr="000811BF">
        <w:rPr>
          <w:color w:val="000000" w:themeColor="text1"/>
          <w:lang w:val="en-GB"/>
        </w:rPr>
        <w:t>which constitutes both the rape of the detainee and the rape of these men, in the presence of the officers who had ordered them to do so</w:t>
      </w:r>
      <w:r w:rsidR="001D3E41">
        <w:rPr>
          <w:color w:val="000000" w:themeColor="text1"/>
          <w:lang w:val="en-GB"/>
        </w:rPr>
        <w:t>.</w:t>
      </w:r>
      <w:r w:rsidR="007F4634" w:rsidRPr="001D3E41">
        <w:rPr>
          <w:rStyle w:val="FootnoteReference"/>
          <w:color w:val="000000" w:themeColor="text1"/>
          <w:sz w:val="20"/>
          <w:lang w:val="en-GB"/>
        </w:rPr>
        <w:footnoteReference w:id="56"/>
      </w:r>
    </w:p>
    <w:p w14:paraId="78D7E782" w14:textId="15BD241A" w:rsidR="007F4634" w:rsidRPr="000811BF" w:rsidRDefault="00BF7902" w:rsidP="007F4634">
      <w:pPr>
        <w:pStyle w:val="SingleTxtG"/>
        <w:rPr>
          <w:color w:val="000000" w:themeColor="text1"/>
          <w:lang w:val="en-GB"/>
        </w:rPr>
      </w:pPr>
      <w:r>
        <w:rPr>
          <w:color w:val="000000" w:themeColor="text1"/>
          <w:lang w:val="en-GB"/>
        </w:rPr>
        <w:t xml:space="preserve">473. </w:t>
      </w:r>
      <w:r w:rsidR="007F4634" w:rsidRPr="000811BF">
        <w:rPr>
          <w:color w:val="000000" w:themeColor="text1"/>
          <w:lang w:val="en-GB"/>
        </w:rPr>
        <w:t xml:space="preserve">Men have been forced by SNR members to have anal sex with fellow </w:t>
      </w:r>
      <w:r w:rsidR="001656D5" w:rsidRPr="000811BF">
        <w:rPr>
          <w:color w:val="000000" w:themeColor="text1"/>
          <w:lang w:val="en-GB"/>
        </w:rPr>
        <w:t xml:space="preserve">men </w:t>
      </w:r>
      <w:r w:rsidR="007F4634" w:rsidRPr="000811BF">
        <w:rPr>
          <w:color w:val="000000" w:themeColor="text1"/>
          <w:lang w:val="en-GB"/>
        </w:rPr>
        <w:t>detainees. I</w:t>
      </w:r>
      <w:r w:rsidR="001656D5" w:rsidRPr="000811BF">
        <w:rPr>
          <w:color w:val="000000" w:themeColor="text1"/>
          <w:lang w:val="en-GB"/>
        </w:rPr>
        <w:t>n case of</w:t>
      </w:r>
      <w:r w:rsidR="007F4634" w:rsidRPr="000811BF">
        <w:rPr>
          <w:color w:val="000000" w:themeColor="text1"/>
          <w:lang w:val="en-GB"/>
        </w:rPr>
        <w:t xml:space="preserve"> refus</w:t>
      </w:r>
      <w:r w:rsidR="001656D5" w:rsidRPr="000811BF">
        <w:rPr>
          <w:color w:val="000000" w:themeColor="text1"/>
          <w:lang w:val="en-GB"/>
        </w:rPr>
        <w:t>al</w:t>
      </w:r>
      <w:r w:rsidR="007F4634" w:rsidRPr="000811BF">
        <w:rPr>
          <w:color w:val="000000" w:themeColor="text1"/>
          <w:lang w:val="en-GB"/>
        </w:rPr>
        <w:t>, they were severely beaten or subjected to other painful treatment</w:t>
      </w:r>
      <w:r w:rsidR="00C8563C">
        <w:rPr>
          <w:color w:val="000000" w:themeColor="text1"/>
          <w:lang w:val="en-GB"/>
        </w:rPr>
        <w:t>s</w:t>
      </w:r>
      <w:r w:rsidR="007F4634" w:rsidRPr="000811BF">
        <w:rPr>
          <w:color w:val="000000" w:themeColor="text1"/>
          <w:lang w:val="en-GB"/>
        </w:rPr>
        <w:t>. While they were complying, SNR members laughed at them and humiliated them with insults</w:t>
      </w:r>
      <w:r w:rsidR="001D3E41">
        <w:rPr>
          <w:color w:val="000000" w:themeColor="text1"/>
          <w:lang w:val="en-GB"/>
        </w:rPr>
        <w:t>.</w:t>
      </w:r>
      <w:r w:rsidR="001656D5" w:rsidRPr="001D3E41">
        <w:rPr>
          <w:rStyle w:val="FootnoteReference"/>
          <w:color w:val="000000" w:themeColor="text1"/>
          <w:sz w:val="20"/>
          <w:lang w:val="en-GB"/>
        </w:rPr>
        <w:footnoteReference w:id="57"/>
      </w:r>
    </w:p>
    <w:p w14:paraId="0DD95D11" w14:textId="31C9E069" w:rsidR="007F4634" w:rsidRPr="000811BF" w:rsidRDefault="007F4634" w:rsidP="001D3E41">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We were forced to do anal penetrations. We were told that we are friends, that we can [do anything]</w:t>
      </w:r>
      <w:r w:rsidRPr="000811BF">
        <w:rPr>
          <w:color w:val="000000" w:themeColor="text1"/>
          <w:lang w:val="en-GB"/>
        </w:rPr>
        <w:t>”</w:t>
      </w:r>
      <w:r w:rsidR="001D3E41">
        <w:rPr>
          <w:color w:val="000000" w:themeColor="text1"/>
          <w:lang w:val="en-GB"/>
        </w:rPr>
        <w:t>.</w:t>
      </w:r>
      <w:r w:rsidR="001656D5" w:rsidRPr="001D3E41">
        <w:rPr>
          <w:rStyle w:val="FootnoteReference"/>
          <w:color w:val="000000" w:themeColor="text1"/>
          <w:sz w:val="20"/>
          <w:lang w:val="en-GB"/>
        </w:rPr>
        <w:footnoteReference w:id="58"/>
      </w:r>
    </w:p>
    <w:p w14:paraId="66D40BF2" w14:textId="4FC8F350" w:rsidR="001656D5" w:rsidRPr="000811BF" w:rsidRDefault="001656D5" w:rsidP="001D3E41">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They took a young man who was next to [me], told him to lie down on the ground and told me to go inside him. Then we reversed. […] During that time, the police were t</w:t>
      </w:r>
      <w:r w:rsidR="001D3E41">
        <w:rPr>
          <w:i/>
          <w:iCs/>
          <w:color w:val="000000" w:themeColor="text1"/>
          <w:lang w:val="en-GB"/>
        </w:rPr>
        <w:t>here laughing, hitting, saying ‘</w:t>
      </w:r>
      <w:r w:rsidRPr="000811BF">
        <w:rPr>
          <w:i/>
          <w:iCs/>
          <w:color w:val="000000" w:themeColor="text1"/>
          <w:lang w:val="en-GB"/>
        </w:rPr>
        <w:t xml:space="preserve">these </w:t>
      </w:r>
      <w:r w:rsidRPr="000C7C69">
        <w:rPr>
          <w:i/>
          <w:iCs/>
          <w:color w:val="000000" w:themeColor="text1"/>
          <w:lang w:val="en-GB"/>
        </w:rPr>
        <w:t>Tutsi dogs</w:t>
      </w:r>
      <w:r w:rsidRPr="000811BF">
        <w:rPr>
          <w:i/>
          <w:iCs/>
          <w:color w:val="000000" w:themeColor="text1"/>
          <w:lang w:val="en-GB"/>
        </w:rPr>
        <w:t>, go back to where you come from</w:t>
      </w:r>
      <w:r w:rsidR="001D3E41">
        <w:rPr>
          <w:i/>
          <w:iCs/>
          <w:color w:val="000000" w:themeColor="text1"/>
          <w:lang w:val="en-GB"/>
        </w:rPr>
        <w:t>’.</w:t>
      </w:r>
      <w:r w:rsidRPr="000811BF">
        <w:rPr>
          <w:color w:val="000000" w:themeColor="text1"/>
          <w:lang w:val="en-GB"/>
        </w:rPr>
        <w:t>”</w:t>
      </w:r>
      <w:r w:rsidRPr="001D3E41">
        <w:rPr>
          <w:rStyle w:val="FootnoteReference"/>
          <w:color w:val="000000" w:themeColor="text1"/>
          <w:sz w:val="20"/>
          <w:lang w:val="en-GB"/>
        </w:rPr>
        <w:footnoteReference w:id="59"/>
      </w:r>
    </w:p>
    <w:p w14:paraId="65AEF128" w14:textId="612609E7" w:rsidR="00C8563C" w:rsidRDefault="00BF7902" w:rsidP="00B94580">
      <w:pPr>
        <w:pStyle w:val="SingleTxtG"/>
        <w:rPr>
          <w:color w:val="000000" w:themeColor="text1"/>
          <w:lang w:val="en-GB"/>
        </w:rPr>
      </w:pPr>
      <w:r>
        <w:rPr>
          <w:color w:val="000000" w:themeColor="text1"/>
          <w:lang w:val="en-GB"/>
        </w:rPr>
        <w:t xml:space="preserve">474. </w:t>
      </w:r>
      <w:r w:rsidR="000811BF">
        <w:rPr>
          <w:color w:val="000000" w:themeColor="text1"/>
          <w:lang w:val="en-GB"/>
        </w:rPr>
        <w:t xml:space="preserve">In addition, </w:t>
      </w:r>
      <w:r w:rsidR="001656D5" w:rsidRPr="000811BF">
        <w:rPr>
          <w:color w:val="000000" w:themeColor="text1"/>
          <w:lang w:val="en-GB"/>
        </w:rPr>
        <w:t xml:space="preserve">at SNR, a man was raped by a man he identified as an </w:t>
      </w:r>
      <w:proofErr w:type="spellStart"/>
      <w:r w:rsidR="001656D5" w:rsidRPr="000811BF">
        <w:rPr>
          <w:color w:val="000000" w:themeColor="text1"/>
          <w:lang w:val="en-GB"/>
        </w:rPr>
        <w:t>Imbonerakure</w:t>
      </w:r>
      <w:proofErr w:type="spellEnd"/>
      <w:r w:rsidR="001D3E41">
        <w:rPr>
          <w:color w:val="000000" w:themeColor="text1"/>
          <w:lang w:val="en-GB"/>
        </w:rPr>
        <w:t>.</w:t>
      </w:r>
      <w:r w:rsidR="001656D5" w:rsidRPr="001D3E41">
        <w:rPr>
          <w:rStyle w:val="FootnoteReference"/>
          <w:color w:val="000000" w:themeColor="text1"/>
          <w:sz w:val="20"/>
          <w:lang w:val="en-GB"/>
        </w:rPr>
        <w:footnoteReference w:id="60"/>
      </w:r>
    </w:p>
    <w:p w14:paraId="4865D62F" w14:textId="18919DB0" w:rsidR="001656D5" w:rsidRPr="000811BF" w:rsidRDefault="00BF7902" w:rsidP="00FC50A5">
      <w:pPr>
        <w:pStyle w:val="SingleTxtG"/>
        <w:rPr>
          <w:color w:val="000000" w:themeColor="text1"/>
          <w:lang w:val="en-GB"/>
        </w:rPr>
      </w:pPr>
      <w:r>
        <w:rPr>
          <w:color w:val="000000" w:themeColor="text1"/>
          <w:lang w:val="en-GB"/>
        </w:rPr>
        <w:t xml:space="preserve">475. </w:t>
      </w:r>
      <w:r w:rsidR="001656D5" w:rsidRPr="000811BF">
        <w:rPr>
          <w:color w:val="000000" w:themeColor="text1"/>
          <w:lang w:val="en-GB"/>
        </w:rPr>
        <w:t xml:space="preserve">Anal penetration, whether consensual or not, is taboo in </w:t>
      </w:r>
      <w:r w:rsidR="003911E4" w:rsidRPr="000811BF">
        <w:rPr>
          <w:color w:val="000000" w:themeColor="text1"/>
          <w:lang w:val="en-GB"/>
        </w:rPr>
        <w:t xml:space="preserve">the </w:t>
      </w:r>
      <w:r w:rsidR="001656D5" w:rsidRPr="000811BF">
        <w:rPr>
          <w:color w:val="000000" w:themeColor="text1"/>
          <w:lang w:val="en-GB"/>
        </w:rPr>
        <w:t>Burundian society. For men, it represents the opposite of a virile, socially valued sexual relationship, and therefore constitutes a factor of stigma. In addition, it should be remembered that sexual relations</w:t>
      </w:r>
      <w:r w:rsidR="003911E4" w:rsidRPr="000811BF">
        <w:rPr>
          <w:color w:val="000000" w:themeColor="text1"/>
          <w:lang w:val="en-GB"/>
        </w:rPr>
        <w:t>hips</w:t>
      </w:r>
      <w:r w:rsidR="001656D5" w:rsidRPr="000811BF">
        <w:rPr>
          <w:color w:val="000000" w:themeColor="text1"/>
          <w:lang w:val="en-GB"/>
        </w:rPr>
        <w:t xml:space="preserve"> </w:t>
      </w:r>
      <w:r w:rsidR="003911E4" w:rsidRPr="000811BF">
        <w:rPr>
          <w:color w:val="000000" w:themeColor="text1"/>
          <w:lang w:val="en-GB"/>
        </w:rPr>
        <w:t>between persons</w:t>
      </w:r>
      <w:r w:rsidR="001656D5" w:rsidRPr="000811BF">
        <w:rPr>
          <w:color w:val="000000" w:themeColor="text1"/>
          <w:lang w:val="en-GB"/>
        </w:rPr>
        <w:t xml:space="preserve"> of the same </w:t>
      </w:r>
      <w:r w:rsidR="003911E4" w:rsidRPr="000811BF">
        <w:rPr>
          <w:color w:val="000000" w:themeColor="text1"/>
          <w:lang w:val="en-GB"/>
        </w:rPr>
        <w:t>gender</w:t>
      </w:r>
      <w:r w:rsidR="001656D5" w:rsidRPr="000811BF">
        <w:rPr>
          <w:color w:val="000000" w:themeColor="text1"/>
          <w:lang w:val="en-GB"/>
        </w:rPr>
        <w:t xml:space="preserve"> are criminalized under Burundian law.</w:t>
      </w:r>
    </w:p>
    <w:p w14:paraId="05D6A7DD" w14:textId="3C58DA8E" w:rsidR="00B94580" w:rsidRPr="000811BF" w:rsidRDefault="00B90CB6" w:rsidP="00B94580">
      <w:pPr>
        <w:pStyle w:val="H23G"/>
        <w:rPr>
          <w:color w:val="000000" w:themeColor="text1"/>
          <w:lang w:val="en-GB"/>
        </w:rPr>
      </w:pPr>
      <w:r>
        <w:rPr>
          <w:color w:val="000000" w:themeColor="text1"/>
          <w:lang w:val="en-GB"/>
        </w:rPr>
        <w:lastRenderedPageBreak/>
        <w:tab/>
      </w:r>
      <w:r>
        <w:rPr>
          <w:color w:val="000000" w:themeColor="text1"/>
          <w:lang w:val="en-GB"/>
        </w:rPr>
        <w:tab/>
      </w:r>
      <w:r w:rsidR="00B94580" w:rsidRPr="000811BF">
        <w:rPr>
          <w:color w:val="000000" w:themeColor="text1"/>
          <w:lang w:val="en-GB"/>
        </w:rPr>
        <w:t xml:space="preserve">d) </w:t>
      </w:r>
      <w:r w:rsidR="00D61251">
        <w:rPr>
          <w:color w:val="000000" w:themeColor="text1"/>
          <w:lang w:val="en-GB"/>
        </w:rPr>
        <w:t>Coerced nudity</w:t>
      </w:r>
      <w:r w:rsidR="001656D5" w:rsidRPr="000811BF">
        <w:rPr>
          <w:color w:val="000000" w:themeColor="text1"/>
          <w:lang w:val="en-GB"/>
        </w:rPr>
        <w:t xml:space="preserve"> </w:t>
      </w:r>
    </w:p>
    <w:p w14:paraId="16F27426" w14:textId="3153F32D" w:rsidR="001656D5" w:rsidRPr="000811BF" w:rsidRDefault="001F55FC" w:rsidP="00B94580">
      <w:pPr>
        <w:pStyle w:val="SingleTxtG"/>
        <w:rPr>
          <w:color w:val="000000" w:themeColor="text1"/>
          <w:lang w:val="en-GB"/>
        </w:rPr>
      </w:pPr>
      <w:r>
        <w:rPr>
          <w:color w:val="000000" w:themeColor="text1"/>
          <w:lang w:val="en-GB"/>
        </w:rPr>
        <w:t xml:space="preserve">476. </w:t>
      </w:r>
      <w:r w:rsidR="001656D5" w:rsidRPr="000811BF">
        <w:rPr>
          <w:color w:val="000000" w:themeColor="text1"/>
          <w:lang w:val="en-GB"/>
        </w:rPr>
        <w:t xml:space="preserve">Many men were subjected to forced nudity </w:t>
      </w:r>
      <w:r w:rsidR="000538D8" w:rsidRPr="000811BF">
        <w:rPr>
          <w:color w:val="000000" w:themeColor="text1"/>
          <w:lang w:val="en-GB"/>
        </w:rPr>
        <w:t>during</w:t>
      </w:r>
      <w:r w:rsidR="001656D5" w:rsidRPr="000811BF">
        <w:rPr>
          <w:color w:val="000000" w:themeColor="text1"/>
          <w:lang w:val="en-GB"/>
        </w:rPr>
        <w:t xml:space="preserve"> their detention</w:t>
      </w:r>
      <w:r w:rsidR="001D3E41">
        <w:rPr>
          <w:color w:val="000000" w:themeColor="text1"/>
          <w:lang w:val="en-GB"/>
        </w:rPr>
        <w:t>.</w:t>
      </w:r>
      <w:r w:rsidR="00FC50A5" w:rsidRPr="001D3E41">
        <w:rPr>
          <w:rStyle w:val="FootnoteReference"/>
          <w:color w:val="000000" w:themeColor="text1"/>
          <w:sz w:val="20"/>
          <w:lang w:val="en-GB"/>
        </w:rPr>
        <w:footnoteReference w:id="61"/>
      </w:r>
      <w:r w:rsidR="001D3E41">
        <w:rPr>
          <w:color w:val="000000" w:themeColor="text1"/>
          <w:lang w:val="en-GB"/>
        </w:rPr>
        <w:t xml:space="preserve"> T</w:t>
      </w:r>
      <w:r w:rsidR="001656D5" w:rsidRPr="000811BF">
        <w:rPr>
          <w:color w:val="000000" w:themeColor="text1"/>
          <w:lang w:val="en-GB"/>
        </w:rPr>
        <w:t xml:space="preserve">hey were forcibly stripped </w:t>
      </w:r>
      <w:r w:rsidR="000538D8" w:rsidRPr="000811BF">
        <w:rPr>
          <w:color w:val="000000" w:themeColor="text1"/>
          <w:lang w:val="en-GB"/>
        </w:rPr>
        <w:t xml:space="preserve">of their clothes </w:t>
      </w:r>
      <w:r w:rsidR="001656D5" w:rsidRPr="000811BF">
        <w:rPr>
          <w:color w:val="000000" w:themeColor="text1"/>
          <w:lang w:val="en-GB"/>
        </w:rPr>
        <w:t xml:space="preserve">or forced to undress, usually prior to an interrogation session during which they were </w:t>
      </w:r>
      <w:r w:rsidR="000538D8" w:rsidRPr="000811BF">
        <w:rPr>
          <w:color w:val="000000" w:themeColor="text1"/>
          <w:lang w:val="en-GB"/>
        </w:rPr>
        <w:t>in the presence</w:t>
      </w:r>
      <w:r w:rsidR="001656D5" w:rsidRPr="000811BF">
        <w:rPr>
          <w:color w:val="000000" w:themeColor="text1"/>
          <w:lang w:val="en-GB"/>
        </w:rPr>
        <w:t xml:space="preserve"> of several other dressed men, and during which they were subjected to various forms of physical</w:t>
      </w:r>
      <w:r w:rsidR="00204CB6" w:rsidRPr="000811BF">
        <w:rPr>
          <w:color w:val="000000" w:themeColor="text1"/>
          <w:lang w:val="en-GB"/>
        </w:rPr>
        <w:t xml:space="preserve"> or </w:t>
      </w:r>
      <w:r w:rsidR="003E164F" w:rsidRPr="000C7C69">
        <w:rPr>
          <w:color w:val="000000" w:themeColor="text1"/>
          <w:lang w:val="en-GB"/>
        </w:rPr>
        <w:t>psychological</w:t>
      </w:r>
      <w:r w:rsidR="001656D5" w:rsidRPr="000811BF">
        <w:rPr>
          <w:color w:val="000000" w:themeColor="text1"/>
          <w:lang w:val="en-GB"/>
        </w:rPr>
        <w:t xml:space="preserve"> violenc</w:t>
      </w:r>
      <w:r w:rsidR="00204CB6" w:rsidRPr="000811BF">
        <w:rPr>
          <w:color w:val="000000" w:themeColor="text1"/>
          <w:lang w:val="en-GB"/>
        </w:rPr>
        <w:t>e</w:t>
      </w:r>
      <w:r w:rsidR="001656D5" w:rsidRPr="000811BF">
        <w:rPr>
          <w:color w:val="000000" w:themeColor="text1"/>
          <w:lang w:val="en-GB"/>
        </w:rPr>
        <w:t xml:space="preserve">. This forced nudity served both to </w:t>
      </w:r>
      <w:r w:rsidR="003E164F" w:rsidRPr="000811BF">
        <w:rPr>
          <w:color w:val="000000" w:themeColor="text1"/>
          <w:lang w:val="en-GB"/>
        </w:rPr>
        <w:t>intensify</w:t>
      </w:r>
      <w:r w:rsidR="001656D5" w:rsidRPr="000811BF">
        <w:rPr>
          <w:color w:val="000000" w:themeColor="text1"/>
          <w:lang w:val="en-GB"/>
        </w:rPr>
        <w:t xml:space="preserve"> the pain of other forms of violence</w:t>
      </w:r>
      <w:r w:rsidR="001C093E">
        <w:rPr>
          <w:color w:val="000000" w:themeColor="text1"/>
          <w:lang w:val="en-GB"/>
        </w:rPr>
        <w:t>,</w:t>
      </w:r>
      <w:r w:rsidR="003E164F" w:rsidRPr="001C093E">
        <w:rPr>
          <w:rStyle w:val="FootnoteReference"/>
          <w:color w:val="000000" w:themeColor="text1"/>
          <w:sz w:val="20"/>
          <w:lang w:val="en-GB"/>
        </w:rPr>
        <w:footnoteReference w:id="62"/>
      </w:r>
      <w:r>
        <w:rPr>
          <w:color w:val="000000" w:themeColor="text1"/>
          <w:lang w:val="en-GB"/>
        </w:rPr>
        <w:t xml:space="preserve"> as well as the victim</w:t>
      </w:r>
      <w:r w:rsidR="001656D5" w:rsidRPr="000811BF">
        <w:rPr>
          <w:color w:val="000000" w:themeColor="text1"/>
          <w:lang w:val="en-GB"/>
        </w:rPr>
        <w:t>s</w:t>
      </w:r>
      <w:r>
        <w:rPr>
          <w:color w:val="000000" w:themeColor="text1"/>
          <w:lang w:val="en-GB"/>
        </w:rPr>
        <w:t>’</w:t>
      </w:r>
      <w:r w:rsidR="001656D5" w:rsidRPr="000811BF">
        <w:rPr>
          <w:color w:val="000000" w:themeColor="text1"/>
          <w:lang w:val="en-GB"/>
        </w:rPr>
        <w:t xml:space="preserve"> humiliation and sense of vulnerability, particularly </w:t>
      </w:r>
      <w:r w:rsidR="003E164F" w:rsidRPr="000811BF">
        <w:rPr>
          <w:color w:val="000000" w:themeColor="text1"/>
          <w:lang w:val="en-GB"/>
        </w:rPr>
        <w:t xml:space="preserve">because that caused </w:t>
      </w:r>
      <w:r>
        <w:rPr>
          <w:color w:val="000000" w:themeColor="text1"/>
          <w:lang w:val="en-GB"/>
        </w:rPr>
        <w:t>them</w:t>
      </w:r>
      <w:r w:rsidR="003E164F" w:rsidRPr="000811BF">
        <w:rPr>
          <w:color w:val="000000" w:themeColor="text1"/>
          <w:lang w:val="en-GB"/>
        </w:rPr>
        <w:t xml:space="preserve"> to expect</w:t>
      </w:r>
      <w:r w:rsidR="001656D5" w:rsidRPr="000811BF">
        <w:rPr>
          <w:color w:val="000000" w:themeColor="text1"/>
          <w:lang w:val="en-GB"/>
        </w:rPr>
        <w:t xml:space="preserve"> further sexual violence</w:t>
      </w:r>
      <w:r w:rsidR="001C093E">
        <w:rPr>
          <w:color w:val="000000" w:themeColor="text1"/>
          <w:lang w:val="en-GB"/>
        </w:rPr>
        <w:t>.</w:t>
      </w:r>
      <w:r w:rsidR="003E164F" w:rsidRPr="001C093E">
        <w:rPr>
          <w:rStyle w:val="FootnoteReference"/>
          <w:color w:val="000000" w:themeColor="text1"/>
          <w:sz w:val="20"/>
          <w:lang w:val="en-GB"/>
        </w:rPr>
        <w:footnoteReference w:id="63"/>
      </w:r>
    </w:p>
    <w:p w14:paraId="3FDE6C7A" w14:textId="77777777" w:rsidR="0083649E" w:rsidRDefault="001F55FC" w:rsidP="00B94580">
      <w:pPr>
        <w:pStyle w:val="SingleTxtG"/>
        <w:rPr>
          <w:color w:val="000000" w:themeColor="text1"/>
          <w:lang w:val="en-GB"/>
        </w:rPr>
      </w:pPr>
      <w:r>
        <w:rPr>
          <w:color w:val="000000" w:themeColor="text1"/>
          <w:lang w:val="en-GB"/>
        </w:rPr>
        <w:t xml:space="preserve">477. </w:t>
      </w:r>
      <w:r w:rsidR="0040299C" w:rsidRPr="000811BF">
        <w:rPr>
          <w:color w:val="000000" w:themeColor="text1"/>
          <w:lang w:val="en-GB"/>
        </w:rPr>
        <w:t xml:space="preserve">A man detained by SNR police officers reported that he was stripped naked before being </w:t>
      </w:r>
      <w:r w:rsidR="003E164F" w:rsidRPr="000811BF">
        <w:rPr>
          <w:color w:val="000000" w:themeColor="text1"/>
          <w:lang w:val="en-GB"/>
        </w:rPr>
        <w:t xml:space="preserve">kicked as well as beaten up with </w:t>
      </w:r>
      <w:r w:rsidR="0040299C" w:rsidRPr="000811BF">
        <w:rPr>
          <w:color w:val="000000" w:themeColor="text1"/>
          <w:lang w:val="en-GB"/>
        </w:rPr>
        <w:t>sticks</w:t>
      </w:r>
      <w:r w:rsidR="003E164F" w:rsidRPr="000811BF">
        <w:rPr>
          <w:color w:val="000000" w:themeColor="text1"/>
          <w:lang w:val="en-GB"/>
        </w:rPr>
        <w:t xml:space="preserve"> </w:t>
      </w:r>
      <w:r w:rsidR="0040299C" w:rsidRPr="000811BF">
        <w:rPr>
          <w:color w:val="000000" w:themeColor="text1"/>
          <w:lang w:val="en-GB"/>
        </w:rPr>
        <w:t xml:space="preserve">and rifle butts. </w:t>
      </w:r>
      <w:r w:rsidR="003E164F" w:rsidRPr="000811BF">
        <w:rPr>
          <w:color w:val="000000" w:themeColor="text1"/>
          <w:lang w:val="en-GB"/>
        </w:rPr>
        <w:t>P</w:t>
      </w:r>
      <w:r w:rsidR="0040299C" w:rsidRPr="000811BF">
        <w:rPr>
          <w:color w:val="000000" w:themeColor="text1"/>
          <w:lang w:val="en-GB"/>
        </w:rPr>
        <w:t>olice</w:t>
      </w:r>
      <w:r w:rsidR="003E164F" w:rsidRPr="000811BF">
        <w:rPr>
          <w:color w:val="000000" w:themeColor="text1"/>
          <w:lang w:val="en-GB"/>
        </w:rPr>
        <w:t>men</w:t>
      </w:r>
      <w:r w:rsidR="0040299C" w:rsidRPr="000811BF">
        <w:rPr>
          <w:color w:val="000000" w:themeColor="text1"/>
          <w:lang w:val="en-GB"/>
        </w:rPr>
        <w:t xml:space="preserve"> threatened to cut</w:t>
      </w:r>
      <w:r w:rsidR="003E164F" w:rsidRPr="000811BF">
        <w:rPr>
          <w:color w:val="000000" w:themeColor="text1"/>
          <w:lang w:val="en-GB"/>
        </w:rPr>
        <w:t xml:space="preserve"> off</w:t>
      </w:r>
      <w:r w:rsidR="0040299C" w:rsidRPr="000811BF">
        <w:rPr>
          <w:color w:val="000000" w:themeColor="text1"/>
          <w:lang w:val="en-GB"/>
        </w:rPr>
        <w:t xml:space="preserve"> his penis</w:t>
      </w:r>
      <w:r w:rsidR="001C093E">
        <w:rPr>
          <w:color w:val="000000" w:themeColor="text1"/>
          <w:lang w:val="en-GB"/>
        </w:rPr>
        <w:t>.</w:t>
      </w:r>
      <w:r w:rsidR="003E164F" w:rsidRPr="001C093E">
        <w:rPr>
          <w:rStyle w:val="FootnoteReference"/>
          <w:color w:val="000000" w:themeColor="text1"/>
          <w:sz w:val="20"/>
          <w:lang w:val="en-GB"/>
        </w:rPr>
        <w:footnoteReference w:id="64"/>
      </w:r>
      <w:r w:rsidR="0040299C" w:rsidRPr="000811BF">
        <w:rPr>
          <w:color w:val="000000" w:themeColor="text1"/>
          <w:lang w:val="en-GB"/>
        </w:rPr>
        <w:t xml:space="preserve"> Another, also held by the SNR, explained: </w:t>
      </w:r>
    </w:p>
    <w:p w14:paraId="6E5E8562" w14:textId="5450EE9A" w:rsidR="0040299C" w:rsidRPr="000811BF" w:rsidRDefault="0040299C" w:rsidP="0083649E">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We were naked, tha</w:t>
      </w:r>
      <w:r w:rsidR="003E164F" w:rsidRPr="000811BF">
        <w:rPr>
          <w:i/>
          <w:iCs/>
          <w:color w:val="000000" w:themeColor="text1"/>
          <w:lang w:val="en-GB"/>
        </w:rPr>
        <w:t>t i</w:t>
      </w:r>
      <w:r w:rsidRPr="000811BF">
        <w:rPr>
          <w:i/>
          <w:iCs/>
          <w:color w:val="000000" w:themeColor="text1"/>
          <w:lang w:val="en-GB"/>
        </w:rPr>
        <w:t>s how they got to our testicles. […] Every time [the police] entered the container, they would ask us to undress. It was systematic</w:t>
      </w:r>
      <w:r w:rsidRPr="000811BF">
        <w:rPr>
          <w:color w:val="000000" w:themeColor="text1"/>
          <w:lang w:val="en-GB"/>
        </w:rPr>
        <w:t>”</w:t>
      </w:r>
      <w:r w:rsidR="001C093E">
        <w:rPr>
          <w:color w:val="000000" w:themeColor="text1"/>
          <w:lang w:val="en-GB"/>
        </w:rPr>
        <w:t>.</w:t>
      </w:r>
      <w:r w:rsidR="003E164F" w:rsidRPr="001C093E">
        <w:rPr>
          <w:rStyle w:val="FootnoteReference"/>
          <w:color w:val="000000" w:themeColor="text1"/>
          <w:sz w:val="20"/>
          <w:lang w:val="en-GB"/>
        </w:rPr>
        <w:footnoteReference w:id="65"/>
      </w:r>
    </w:p>
    <w:p w14:paraId="3B2FE78E" w14:textId="71867D21" w:rsidR="0040299C" w:rsidRPr="000811BF" w:rsidRDefault="001F55FC" w:rsidP="00B94580">
      <w:pPr>
        <w:pStyle w:val="SingleTxtG"/>
        <w:rPr>
          <w:color w:val="000000" w:themeColor="text1"/>
          <w:lang w:val="en-GB"/>
        </w:rPr>
      </w:pPr>
      <w:r>
        <w:rPr>
          <w:color w:val="000000" w:themeColor="text1"/>
          <w:lang w:val="en-GB"/>
        </w:rPr>
        <w:t xml:space="preserve">478. </w:t>
      </w:r>
      <w:r w:rsidR="0040299C" w:rsidRPr="000811BF">
        <w:rPr>
          <w:color w:val="000000" w:themeColor="text1"/>
          <w:lang w:val="en-GB"/>
        </w:rPr>
        <w:t xml:space="preserve">Some have reported remaining naked for hours or even days </w:t>
      </w:r>
      <w:r w:rsidR="003E164F" w:rsidRPr="000811BF">
        <w:rPr>
          <w:color w:val="000000" w:themeColor="text1"/>
          <w:lang w:val="en-GB"/>
        </w:rPr>
        <w:t>among</w:t>
      </w:r>
      <w:r w:rsidR="0040299C" w:rsidRPr="000811BF">
        <w:rPr>
          <w:color w:val="000000" w:themeColor="text1"/>
          <w:lang w:val="en-GB"/>
        </w:rPr>
        <w:t xml:space="preserve"> fellow inmates, men and sometimes women, who </w:t>
      </w:r>
      <w:r w:rsidR="003E164F" w:rsidRPr="000811BF">
        <w:rPr>
          <w:color w:val="000000" w:themeColor="text1"/>
          <w:lang w:val="en-GB"/>
        </w:rPr>
        <w:t>were</w:t>
      </w:r>
      <w:r w:rsidR="0040299C" w:rsidRPr="000811BF">
        <w:rPr>
          <w:color w:val="000000" w:themeColor="text1"/>
          <w:lang w:val="en-GB"/>
        </w:rPr>
        <w:t xml:space="preserve"> also naked</w:t>
      </w:r>
      <w:r w:rsidR="001C093E">
        <w:rPr>
          <w:color w:val="000000" w:themeColor="text1"/>
          <w:lang w:val="en-GB"/>
        </w:rPr>
        <w:t>.</w:t>
      </w:r>
      <w:r w:rsidR="003E164F" w:rsidRPr="001C093E">
        <w:rPr>
          <w:rStyle w:val="FootnoteReference"/>
          <w:color w:val="000000" w:themeColor="text1"/>
          <w:sz w:val="20"/>
          <w:lang w:val="en-GB"/>
        </w:rPr>
        <w:footnoteReference w:id="66"/>
      </w:r>
    </w:p>
    <w:p w14:paraId="37D2FC3E" w14:textId="6BD2346B" w:rsidR="0040299C" w:rsidRPr="000811BF" w:rsidRDefault="0040299C" w:rsidP="001C093E">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 xml:space="preserve">In total we were 31 people imprisoned in a small cell […]. We remained naked for the duration of the detention there [a month and a half]. The girls had also been </w:t>
      </w:r>
      <w:r w:rsidR="003E164F" w:rsidRPr="000811BF">
        <w:rPr>
          <w:i/>
          <w:iCs/>
          <w:color w:val="000000" w:themeColor="text1"/>
          <w:lang w:val="en-GB"/>
        </w:rPr>
        <w:t>tortured;</w:t>
      </w:r>
      <w:r w:rsidRPr="000811BF">
        <w:rPr>
          <w:i/>
          <w:iCs/>
          <w:color w:val="000000" w:themeColor="text1"/>
          <w:lang w:val="en-GB"/>
        </w:rPr>
        <w:t xml:space="preserve"> we could see it on their bodies but we did not discuss the type of torture they suffered</w:t>
      </w:r>
      <w:r w:rsidRPr="000811BF">
        <w:rPr>
          <w:color w:val="000000" w:themeColor="text1"/>
          <w:lang w:val="en-GB"/>
        </w:rPr>
        <w:t>”</w:t>
      </w:r>
      <w:r w:rsidR="00C32E74">
        <w:rPr>
          <w:color w:val="000000" w:themeColor="text1"/>
          <w:lang w:val="en-GB"/>
        </w:rPr>
        <w:t>.</w:t>
      </w:r>
      <w:r w:rsidR="003E164F" w:rsidRPr="001C093E">
        <w:rPr>
          <w:rStyle w:val="FootnoteReference"/>
          <w:color w:val="000000" w:themeColor="text1"/>
          <w:sz w:val="20"/>
          <w:lang w:val="en-GB"/>
        </w:rPr>
        <w:footnoteReference w:id="67"/>
      </w:r>
    </w:p>
    <w:p w14:paraId="34239F34" w14:textId="33B5F895" w:rsidR="00B94580" w:rsidRPr="000811BF" w:rsidRDefault="00B90CB6" w:rsidP="00B94580">
      <w:pPr>
        <w:pStyle w:val="H23G"/>
        <w:rPr>
          <w:color w:val="000000" w:themeColor="text1"/>
          <w:lang w:val="en-GB"/>
        </w:rPr>
      </w:pPr>
      <w:r>
        <w:rPr>
          <w:color w:val="000000" w:themeColor="text1"/>
          <w:lang w:val="en-GB"/>
        </w:rPr>
        <w:tab/>
      </w:r>
      <w:r>
        <w:rPr>
          <w:color w:val="000000" w:themeColor="text1"/>
          <w:lang w:val="en-GB"/>
        </w:rPr>
        <w:tab/>
      </w:r>
      <w:r w:rsidR="00B94580" w:rsidRPr="000811BF">
        <w:rPr>
          <w:color w:val="000000" w:themeColor="text1"/>
          <w:lang w:val="en-GB"/>
        </w:rPr>
        <w:t xml:space="preserve">e) </w:t>
      </w:r>
      <w:r w:rsidR="0040299C" w:rsidRPr="000811BF">
        <w:rPr>
          <w:color w:val="000000" w:themeColor="text1"/>
          <w:lang w:val="en-GB"/>
        </w:rPr>
        <w:t xml:space="preserve">Insults </w:t>
      </w:r>
    </w:p>
    <w:p w14:paraId="559F6F12" w14:textId="1205188D" w:rsidR="0040299C" w:rsidRPr="000811BF" w:rsidRDefault="006329AF" w:rsidP="0040299C">
      <w:pPr>
        <w:pStyle w:val="SingleTxtG"/>
        <w:rPr>
          <w:color w:val="000000" w:themeColor="text1"/>
          <w:lang w:val="en-GB"/>
        </w:rPr>
      </w:pPr>
      <w:r>
        <w:rPr>
          <w:color w:val="000000" w:themeColor="text1"/>
          <w:lang w:val="en-GB"/>
        </w:rPr>
        <w:t xml:space="preserve">479. </w:t>
      </w:r>
      <w:r w:rsidR="0040299C" w:rsidRPr="000811BF">
        <w:rPr>
          <w:color w:val="000000" w:themeColor="text1"/>
          <w:lang w:val="en-GB"/>
        </w:rPr>
        <w:t xml:space="preserve">While subjected to sexual violence, several men were humiliated with </w:t>
      </w:r>
      <w:r w:rsidR="00D61251">
        <w:rPr>
          <w:color w:val="000000" w:themeColor="text1"/>
          <w:lang w:val="en-GB"/>
        </w:rPr>
        <w:t>insults</w:t>
      </w:r>
      <w:r w:rsidR="00D61251" w:rsidRPr="000811BF">
        <w:rPr>
          <w:color w:val="000000" w:themeColor="text1"/>
          <w:lang w:val="en-GB"/>
        </w:rPr>
        <w:t xml:space="preserve"> </w:t>
      </w:r>
      <w:r w:rsidR="0040299C" w:rsidRPr="000811BF">
        <w:rPr>
          <w:color w:val="000000" w:themeColor="text1"/>
          <w:lang w:val="en-GB"/>
        </w:rPr>
        <w:t>referring to their ethnicity</w:t>
      </w:r>
      <w:r w:rsidR="00465815" w:rsidRPr="00C32E74">
        <w:rPr>
          <w:rStyle w:val="FootnoteReference"/>
          <w:color w:val="000000" w:themeColor="text1"/>
          <w:sz w:val="20"/>
          <w:lang w:val="en-GB"/>
        </w:rPr>
        <w:footnoteReference w:id="68"/>
      </w:r>
      <w:r w:rsidR="0040299C" w:rsidRPr="000811BF">
        <w:rPr>
          <w:color w:val="000000" w:themeColor="text1"/>
          <w:lang w:val="en-GB"/>
        </w:rPr>
        <w:t xml:space="preserve"> or sexuality</w:t>
      </w:r>
      <w:r w:rsidR="00C32E74">
        <w:rPr>
          <w:color w:val="000000" w:themeColor="text1"/>
          <w:lang w:val="en-GB"/>
        </w:rPr>
        <w:t>.</w:t>
      </w:r>
      <w:r w:rsidR="00465815" w:rsidRPr="00C32E74">
        <w:rPr>
          <w:rStyle w:val="FootnoteReference"/>
          <w:color w:val="000000" w:themeColor="text1"/>
          <w:sz w:val="20"/>
          <w:lang w:val="en-GB"/>
        </w:rPr>
        <w:footnoteReference w:id="69"/>
      </w:r>
    </w:p>
    <w:p w14:paraId="28507E12" w14:textId="77777777" w:rsidR="0083649E" w:rsidRDefault="006329AF" w:rsidP="0040299C">
      <w:pPr>
        <w:pStyle w:val="SingleTxtG"/>
        <w:rPr>
          <w:color w:val="000000" w:themeColor="text1"/>
          <w:lang w:val="en-GB"/>
        </w:rPr>
      </w:pPr>
      <w:r>
        <w:rPr>
          <w:color w:val="000000" w:themeColor="text1"/>
          <w:lang w:val="en-GB"/>
        </w:rPr>
        <w:t xml:space="preserve">480. </w:t>
      </w:r>
      <w:r w:rsidR="0040299C" w:rsidRPr="000811BF">
        <w:rPr>
          <w:color w:val="000000" w:themeColor="text1"/>
          <w:lang w:val="en-GB"/>
        </w:rPr>
        <w:t xml:space="preserve">A man subjected to violence targeting his genitals declared: </w:t>
      </w:r>
    </w:p>
    <w:p w14:paraId="6074F5EE" w14:textId="63CC1BB9" w:rsidR="0040299C" w:rsidRPr="000811BF" w:rsidRDefault="00465815" w:rsidP="0083649E">
      <w:pPr>
        <w:pStyle w:val="SingleTxtG"/>
        <w:ind w:left="1701"/>
        <w:rPr>
          <w:color w:val="000000" w:themeColor="text1"/>
          <w:lang w:val="en-GB"/>
        </w:rPr>
      </w:pPr>
      <w:r w:rsidRPr="000811BF">
        <w:rPr>
          <w:color w:val="000000" w:themeColor="text1"/>
          <w:lang w:val="en-GB"/>
        </w:rPr>
        <w:t>“</w:t>
      </w:r>
      <w:r w:rsidR="0040299C" w:rsidRPr="000811BF">
        <w:rPr>
          <w:i/>
          <w:iCs/>
          <w:color w:val="000000" w:themeColor="text1"/>
          <w:lang w:val="en-GB"/>
        </w:rPr>
        <w:t>As soon as the [SNR agents] entered [the dungeon] they began to hurl insults at us, saying:</w:t>
      </w:r>
      <w:r w:rsidRPr="000811BF">
        <w:rPr>
          <w:i/>
          <w:iCs/>
          <w:color w:val="000000" w:themeColor="text1"/>
          <w:lang w:val="en-GB"/>
        </w:rPr>
        <w:t xml:space="preserve"> </w:t>
      </w:r>
      <w:r w:rsidR="0083649E">
        <w:rPr>
          <w:i/>
          <w:iCs/>
          <w:color w:val="000000" w:themeColor="text1"/>
          <w:lang w:val="en-GB"/>
        </w:rPr>
        <w:t>‘</w:t>
      </w:r>
      <w:r w:rsidR="0040299C" w:rsidRPr="000811BF">
        <w:rPr>
          <w:i/>
          <w:iCs/>
          <w:color w:val="000000" w:themeColor="text1"/>
          <w:lang w:val="en-GB"/>
        </w:rPr>
        <w:t xml:space="preserve">You Tutsis, you want us to return where we came from [the </w:t>
      </w:r>
      <w:r w:rsidR="00D61251">
        <w:rPr>
          <w:i/>
          <w:iCs/>
          <w:color w:val="000000" w:themeColor="text1"/>
          <w:lang w:val="en-GB"/>
        </w:rPr>
        <w:t>bush</w:t>
      </w:r>
      <w:r w:rsidR="0040299C" w:rsidRPr="000811BF">
        <w:rPr>
          <w:i/>
          <w:iCs/>
          <w:color w:val="000000" w:themeColor="text1"/>
          <w:lang w:val="en-GB"/>
        </w:rPr>
        <w:t>]. […] And now we</w:t>
      </w:r>
      <w:r w:rsidRPr="000811BF">
        <w:rPr>
          <w:i/>
          <w:iCs/>
          <w:color w:val="000000" w:themeColor="text1"/>
          <w:lang w:val="en-GB"/>
        </w:rPr>
        <w:t xml:space="preserve"> a</w:t>
      </w:r>
      <w:r w:rsidR="0040299C" w:rsidRPr="000811BF">
        <w:rPr>
          <w:i/>
          <w:iCs/>
          <w:color w:val="000000" w:themeColor="text1"/>
          <w:lang w:val="en-GB"/>
        </w:rPr>
        <w:t>re going to do something for you to make sure that you do</w:t>
      </w:r>
      <w:r w:rsidRPr="000811BF">
        <w:rPr>
          <w:i/>
          <w:iCs/>
          <w:color w:val="000000" w:themeColor="text1"/>
          <w:lang w:val="en-GB"/>
        </w:rPr>
        <w:t xml:space="preserve"> no</w:t>
      </w:r>
      <w:r w:rsidR="0040299C" w:rsidRPr="000811BF">
        <w:rPr>
          <w:i/>
          <w:iCs/>
          <w:color w:val="000000" w:themeColor="text1"/>
          <w:lang w:val="en-GB"/>
        </w:rPr>
        <w:t>t have children who are going to come and cause us problems. We</w:t>
      </w:r>
      <w:r w:rsidRPr="000811BF">
        <w:rPr>
          <w:i/>
          <w:iCs/>
          <w:color w:val="000000" w:themeColor="text1"/>
          <w:lang w:val="en-GB"/>
        </w:rPr>
        <w:t xml:space="preserve"> a</w:t>
      </w:r>
      <w:r w:rsidR="0040299C" w:rsidRPr="000811BF">
        <w:rPr>
          <w:i/>
          <w:iCs/>
          <w:color w:val="000000" w:themeColor="text1"/>
          <w:lang w:val="en-GB"/>
        </w:rPr>
        <w:t xml:space="preserve">re also going to </w:t>
      </w:r>
      <w:r w:rsidRPr="000811BF">
        <w:rPr>
          <w:i/>
          <w:iCs/>
          <w:color w:val="000000" w:themeColor="text1"/>
          <w:lang w:val="en-GB"/>
        </w:rPr>
        <w:t>en</w:t>
      </w:r>
      <w:r w:rsidR="0040299C" w:rsidRPr="000811BF">
        <w:rPr>
          <w:i/>
          <w:iCs/>
          <w:color w:val="000000" w:themeColor="text1"/>
          <w:lang w:val="en-GB"/>
        </w:rPr>
        <w:t>sure you</w:t>
      </w:r>
      <w:r w:rsidRPr="000811BF">
        <w:rPr>
          <w:i/>
          <w:iCs/>
          <w:color w:val="000000" w:themeColor="text1"/>
          <w:lang w:val="en-GB"/>
        </w:rPr>
        <w:t xml:space="preserve"> a</w:t>
      </w:r>
      <w:r w:rsidR="0040299C" w:rsidRPr="000811BF">
        <w:rPr>
          <w:i/>
          <w:iCs/>
          <w:color w:val="000000" w:themeColor="text1"/>
          <w:lang w:val="en-GB"/>
        </w:rPr>
        <w:t>re never going to wan</w:t>
      </w:r>
      <w:r w:rsidR="0083649E">
        <w:rPr>
          <w:i/>
          <w:iCs/>
          <w:color w:val="000000" w:themeColor="text1"/>
          <w:lang w:val="en-GB"/>
        </w:rPr>
        <w:t>t a girl’.</w:t>
      </w:r>
      <w:r w:rsidRPr="000811BF">
        <w:rPr>
          <w:i/>
          <w:iCs/>
          <w:color w:val="000000" w:themeColor="text1"/>
          <w:lang w:val="en-GB"/>
        </w:rPr>
        <w:t xml:space="preserve"> </w:t>
      </w:r>
      <w:r w:rsidR="0040299C" w:rsidRPr="000811BF">
        <w:rPr>
          <w:i/>
          <w:iCs/>
          <w:color w:val="000000" w:themeColor="text1"/>
          <w:lang w:val="en-GB"/>
        </w:rPr>
        <w:t xml:space="preserve">[…] </w:t>
      </w:r>
      <w:r w:rsidR="0041116A" w:rsidRPr="000811BF">
        <w:rPr>
          <w:i/>
          <w:iCs/>
          <w:color w:val="000000" w:themeColor="text1"/>
          <w:lang w:val="en-GB"/>
        </w:rPr>
        <w:t>Every one</w:t>
      </w:r>
      <w:r w:rsidRPr="000811BF">
        <w:rPr>
          <w:i/>
          <w:iCs/>
          <w:color w:val="000000" w:themeColor="text1"/>
          <w:lang w:val="en-GB"/>
        </w:rPr>
        <w:t xml:space="preserve"> of them</w:t>
      </w:r>
      <w:r w:rsidR="0040299C" w:rsidRPr="000811BF">
        <w:rPr>
          <w:i/>
          <w:iCs/>
          <w:color w:val="000000" w:themeColor="text1"/>
          <w:lang w:val="en-GB"/>
        </w:rPr>
        <w:t xml:space="preserve"> repeated the same thing every time</w:t>
      </w:r>
      <w:r w:rsidRPr="000811BF">
        <w:rPr>
          <w:color w:val="000000" w:themeColor="text1"/>
          <w:lang w:val="en-GB"/>
        </w:rPr>
        <w:t>”</w:t>
      </w:r>
      <w:r w:rsidR="0083649E">
        <w:rPr>
          <w:color w:val="000000" w:themeColor="text1"/>
          <w:lang w:val="en-GB"/>
        </w:rPr>
        <w:t>.</w:t>
      </w:r>
      <w:r w:rsidRPr="0083649E">
        <w:rPr>
          <w:rStyle w:val="FootnoteReference"/>
          <w:color w:val="000000" w:themeColor="text1"/>
          <w:sz w:val="20"/>
          <w:lang w:val="en-GB"/>
        </w:rPr>
        <w:footnoteReference w:id="70"/>
      </w:r>
    </w:p>
    <w:p w14:paraId="020B96FD" w14:textId="287BEAF9" w:rsidR="0040299C" w:rsidRPr="000811BF" w:rsidRDefault="006329AF" w:rsidP="00B94580">
      <w:pPr>
        <w:pStyle w:val="SingleTxtG"/>
        <w:rPr>
          <w:iCs/>
          <w:color w:val="000000" w:themeColor="text1"/>
          <w:lang w:val="en-GB"/>
        </w:rPr>
      </w:pPr>
      <w:r>
        <w:rPr>
          <w:iCs/>
          <w:color w:val="000000" w:themeColor="text1"/>
          <w:lang w:val="en-GB"/>
        </w:rPr>
        <w:t xml:space="preserve">481. </w:t>
      </w:r>
      <w:r w:rsidR="0040299C" w:rsidRPr="000811BF">
        <w:rPr>
          <w:iCs/>
          <w:color w:val="000000" w:themeColor="text1"/>
          <w:lang w:val="en-GB"/>
        </w:rPr>
        <w:t xml:space="preserve">Another man reported how, after being severely beaten, police officers </w:t>
      </w:r>
      <w:r w:rsidR="00465815" w:rsidRPr="000811BF">
        <w:rPr>
          <w:iCs/>
          <w:color w:val="000000" w:themeColor="text1"/>
          <w:lang w:val="en-GB"/>
        </w:rPr>
        <w:t xml:space="preserve">used their hands to </w:t>
      </w:r>
      <w:r w:rsidR="0040299C" w:rsidRPr="000811BF">
        <w:rPr>
          <w:iCs/>
          <w:color w:val="000000" w:themeColor="text1"/>
          <w:lang w:val="en-GB"/>
        </w:rPr>
        <w:t xml:space="preserve">crush the testicles of his fellow inmate, whose arms and legs were tied, saying, </w:t>
      </w:r>
      <w:r w:rsidR="00465815" w:rsidRPr="000811BF">
        <w:rPr>
          <w:iCs/>
          <w:color w:val="000000" w:themeColor="text1"/>
          <w:lang w:val="en-GB"/>
        </w:rPr>
        <w:t>“</w:t>
      </w:r>
      <w:r w:rsidR="0040299C" w:rsidRPr="000811BF">
        <w:rPr>
          <w:i/>
          <w:color w:val="000000" w:themeColor="text1"/>
          <w:lang w:val="en-GB"/>
        </w:rPr>
        <w:t xml:space="preserve">You little Hutu fool. </w:t>
      </w:r>
      <w:r w:rsidR="00465815" w:rsidRPr="000811BF">
        <w:rPr>
          <w:i/>
          <w:color w:val="000000" w:themeColor="text1"/>
          <w:lang w:val="en-GB"/>
        </w:rPr>
        <w:t>Are you</w:t>
      </w:r>
      <w:r w:rsidR="0040299C" w:rsidRPr="000811BF">
        <w:rPr>
          <w:i/>
          <w:color w:val="000000" w:themeColor="text1"/>
          <w:lang w:val="en-GB"/>
        </w:rPr>
        <w:t xml:space="preserve"> </w:t>
      </w:r>
      <w:r w:rsidR="00465815" w:rsidRPr="000811BF">
        <w:rPr>
          <w:i/>
          <w:color w:val="000000" w:themeColor="text1"/>
          <w:lang w:val="en-GB"/>
        </w:rPr>
        <w:t xml:space="preserve">the one to </w:t>
      </w:r>
      <w:r w:rsidR="0040299C" w:rsidRPr="000811BF">
        <w:rPr>
          <w:i/>
          <w:color w:val="000000" w:themeColor="text1"/>
          <w:lang w:val="en-GB"/>
        </w:rPr>
        <w:t>want to protest against the President when you are of the same ethnic group? Tutsis are deceiving you</w:t>
      </w:r>
      <w:r w:rsidR="0040299C" w:rsidRPr="000811BF">
        <w:rPr>
          <w:iCs/>
          <w:color w:val="000000" w:themeColor="text1"/>
          <w:lang w:val="en-GB"/>
        </w:rPr>
        <w:t>”</w:t>
      </w:r>
      <w:r w:rsidR="00C32E74">
        <w:rPr>
          <w:iCs/>
          <w:color w:val="000000" w:themeColor="text1"/>
          <w:lang w:val="en-GB"/>
        </w:rPr>
        <w:t>.</w:t>
      </w:r>
      <w:r w:rsidR="00465815" w:rsidRPr="00C32E74">
        <w:rPr>
          <w:rStyle w:val="FootnoteReference"/>
          <w:iCs/>
          <w:color w:val="000000" w:themeColor="text1"/>
          <w:sz w:val="20"/>
          <w:lang w:val="en-GB"/>
        </w:rPr>
        <w:footnoteReference w:id="71"/>
      </w:r>
    </w:p>
    <w:p w14:paraId="11AC0E20" w14:textId="670E41B2" w:rsidR="00B94580" w:rsidRPr="000811BF" w:rsidRDefault="006329AF" w:rsidP="00B90CB6">
      <w:pPr>
        <w:pStyle w:val="H23G"/>
        <w:ind w:hanging="283"/>
        <w:rPr>
          <w:color w:val="000000" w:themeColor="text1"/>
          <w:sz w:val="24"/>
          <w:szCs w:val="24"/>
          <w:lang w:val="en-GB"/>
        </w:rPr>
      </w:pPr>
      <w:r>
        <w:rPr>
          <w:color w:val="000000" w:themeColor="text1"/>
          <w:sz w:val="24"/>
          <w:szCs w:val="24"/>
          <w:lang w:val="en-GB"/>
        </w:rPr>
        <w:t>4</w:t>
      </w:r>
      <w:r w:rsidR="00B90CB6">
        <w:rPr>
          <w:color w:val="000000" w:themeColor="text1"/>
          <w:sz w:val="24"/>
          <w:szCs w:val="24"/>
          <w:lang w:val="en-GB"/>
        </w:rPr>
        <w:tab/>
      </w:r>
      <w:r w:rsidR="00B94580" w:rsidRPr="000811BF">
        <w:rPr>
          <w:color w:val="000000" w:themeColor="text1"/>
          <w:sz w:val="24"/>
          <w:szCs w:val="24"/>
          <w:lang w:val="en-GB"/>
        </w:rPr>
        <w:t xml:space="preserve">. </w:t>
      </w:r>
      <w:r w:rsidR="00FC50A5" w:rsidRPr="000811BF">
        <w:rPr>
          <w:color w:val="000000" w:themeColor="text1"/>
          <w:sz w:val="24"/>
          <w:szCs w:val="24"/>
          <w:lang w:val="en-GB"/>
        </w:rPr>
        <w:t xml:space="preserve">Rape and sexual violence targeting women at </w:t>
      </w:r>
      <w:r w:rsidR="00B94580" w:rsidRPr="000811BF">
        <w:rPr>
          <w:color w:val="000000" w:themeColor="text1"/>
          <w:sz w:val="24"/>
          <w:szCs w:val="24"/>
          <w:lang w:val="en-GB"/>
        </w:rPr>
        <w:t>SNR</w:t>
      </w:r>
    </w:p>
    <w:p w14:paraId="10A6AD88" w14:textId="7E9F9709" w:rsidR="0040299C" w:rsidRPr="000811BF" w:rsidRDefault="00B36A88" w:rsidP="00B94580">
      <w:pPr>
        <w:pStyle w:val="SingleTxtG"/>
        <w:rPr>
          <w:color w:val="000000" w:themeColor="text1"/>
          <w:lang w:val="en-GB"/>
        </w:rPr>
      </w:pPr>
      <w:r>
        <w:rPr>
          <w:color w:val="000000" w:themeColor="text1"/>
          <w:lang w:val="en-GB"/>
        </w:rPr>
        <w:t xml:space="preserve">482. </w:t>
      </w:r>
      <w:r w:rsidR="0040299C" w:rsidRPr="000811BF">
        <w:rPr>
          <w:color w:val="000000" w:themeColor="text1"/>
          <w:lang w:val="en-GB"/>
        </w:rPr>
        <w:t xml:space="preserve">During its investigations, the Commission also collected </w:t>
      </w:r>
      <w:r w:rsidR="008D4764" w:rsidRPr="000811BF">
        <w:rPr>
          <w:color w:val="000000" w:themeColor="text1"/>
          <w:lang w:val="en-GB"/>
        </w:rPr>
        <w:t>witness accounts</w:t>
      </w:r>
      <w:r w:rsidR="0040299C" w:rsidRPr="000811BF">
        <w:rPr>
          <w:color w:val="000000" w:themeColor="text1"/>
          <w:lang w:val="en-GB"/>
        </w:rPr>
        <w:t xml:space="preserve"> relating to rape and other forms of sexual violence against women </w:t>
      </w:r>
      <w:r w:rsidR="00465815" w:rsidRPr="000811BF">
        <w:rPr>
          <w:color w:val="000000" w:themeColor="text1"/>
          <w:lang w:val="en-GB"/>
        </w:rPr>
        <w:t>while in</w:t>
      </w:r>
      <w:r w:rsidR="0040299C" w:rsidRPr="000811BF">
        <w:rPr>
          <w:color w:val="000000" w:themeColor="text1"/>
          <w:lang w:val="en-GB"/>
        </w:rPr>
        <w:t xml:space="preserve"> detention</w:t>
      </w:r>
      <w:r w:rsidR="00465815" w:rsidRPr="000811BF">
        <w:rPr>
          <w:color w:val="000000" w:themeColor="text1"/>
          <w:lang w:val="en-GB"/>
        </w:rPr>
        <w:t xml:space="preserve"> </w:t>
      </w:r>
      <w:r w:rsidR="00465815" w:rsidRPr="000811BF">
        <w:rPr>
          <w:color w:val="000000" w:themeColor="text1"/>
          <w:lang w:val="en-GB"/>
        </w:rPr>
        <w:lastRenderedPageBreak/>
        <w:t>and</w:t>
      </w:r>
      <w:r w:rsidR="0040299C" w:rsidRPr="000811BF">
        <w:rPr>
          <w:color w:val="000000" w:themeColor="text1"/>
          <w:lang w:val="en-GB"/>
        </w:rPr>
        <w:t xml:space="preserve"> under the responsibility of the SNR</w:t>
      </w:r>
      <w:r w:rsidR="00465815" w:rsidRPr="000811BF">
        <w:rPr>
          <w:rStyle w:val="FootnoteReference"/>
          <w:color w:val="000000" w:themeColor="text1"/>
          <w:lang w:val="en-GB"/>
        </w:rPr>
        <w:footnoteReference w:id="72"/>
      </w:r>
      <w:r w:rsidR="0040299C" w:rsidRPr="000811BF">
        <w:rPr>
          <w:color w:val="000000" w:themeColor="text1"/>
          <w:lang w:val="en-GB"/>
        </w:rPr>
        <w:t xml:space="preserve">. Some of this violence was </w:t>
      </w:r>
      <w:r w:rsidR="00D61251">
        <w:rPr>
          <w:color w:val="000000" w:themeColor="text1"/>
          <w:lang w:val="en-GB"/>
        </w:rPr>
        <w:t>inflicted</w:t>
      </w:r>
      <w:r w:rsidR="00D61251" w:rsidRPr="000811BF">
        <w:rPr>
          <w:color w:val="000000" w:themeColor="text1"/>
          <w:lang w:val="en-GB"/>
        </w:rPr>
        <w:t xml:space="preserve"> </w:t>
      </w:r>
      <w:r w:rsidR="0040299C" w:rsidRPr="000811BF">
        <w:rPr>
          <w:color w:val="000000" w:themeColor="text1"/>
          <w:lang w:val="en-GB"/>
        </w:rPr>
        <w:t>in the context of interrogations using procedures similar to what has been described for the men in order to make them confess certain information, to intimidate them or to punish them in relation to their alleged activities against the Government</w:t>
      </w:r>
      <w:r w:rsidR="00C32E74">
        <w:rPr>
          <w:color w:val="000000" w:themeColor="text1"/>
          <w:lang w:val="en-GB"/>
        </w:rPr>
        <w:t>.</w:t>
      </w:r>
      <w:r w:rsidR="00465815" w:rsidRPr="000811BF">
        <w:rPr>
          <w:rStyle w:val="FootnoteReference"/>
          <w:color w:val="000000" w:themeColor="text1"/>
          <w:lang w:val="en-GB"/>
        </w:rPr>
        <w:footnoteReference w:id="73"/>
      </w:r>
    </w:p>
    <w:p w14:paraId="655C04F5" w14:textId="0392F96B" w:rsidR="0040299C" w:rsidRPr="000811BF" w:rsidRDefault="00B36A88" w:rsidP="00B94580">
      <w:pPr>
        <w:pStyle w:val="SingleTxtG"/>
        <w:rPr>
          <w:color w:val="000000" w:themeColor="text1"/>
          <w:lang w:val="en-GB"/>
        </w:rPr>
      </w:pPr>
      <w:r>
        <w:rPr>
          <w:color w:val="000000" w:themeColor="text1"/>
          <w:lang w:val="en-GB"/>
        </w:rPr>
        <w:t xml:space="preserve">483. </w:t>
      </w:r>
      <w:r w:rsidR="0040299C" w:rsidRPr="000811BF">
        <w:rPr>
          <w:color w:val="000000" w:themeColor="text1"/>
          <w:lang w:val="en-GB"/>
        </w:rPr>
        <w:t xml:space="preserve">Women </w:t>
      </w:r>
      <w:r w:rsidR="00465815" w:rsidRPr="000811BF">
        <w:rPr>
          <w:color w:val="000000" w:themeColor="text1"/>
          <w:lang w:val="en-GB"/>
        </w:rPr>
        <w:t>were</w:t>
      </w:r>
      <w:r w:rsidR="0040299C" w:rsidRPr="000811BF">
        <w:rPr>
          <w:color w:val="000000" w:themeColor="text1"/>
          <w:lang w:val="en-GB"/>
        </w:rPr>
        <w:t xml:space="preserve"> also raped on several occasions during their detention outside the context of interrogation. Far from constituting isolated opportunistic acts, the modus operandi of these rapes shows that this violence also helped to create the intimidating and punitive environment in which these women would confess the </w:t>
      </w:r>
      <w:r w:rsidR="00465815" w:rsidRPr="000811BF">
        <w:rPr>
          <w:color w:val="000000" w:themeColor="text1"/>
          <w:lang w:val="en-GB"/>
        </w:rPr>
        <w:t xml:space="preserve">desired </w:t>
      </w:r>
      <w:r w:rsidR="0040299C" w:rsidRPr="000811BF">
        <w:rPr>
          <w:color w:val="000000" w:themeColor="text1"/>
          <w:lang w:val="en-GB"/>
        </w:rPr>
        <w:t>information</w:t>
      </w:r>
      <w:r w:rsidR="00C32E74">
        <w:rPr>
          <w:color w:val="000000" w:themeColor="text1"/>
          <w:lang w:val="en-GB"/>
        </w:rPr>
        <w:t>.</w:t>
      </w:r>
      <w:r w:rsidR="00465815" w:rsidRPr="000811BF">
        <w:rPr>
          <w:rStyle w:val="FootnoteReference"/>
          <w:color w:val="000000" w:themeColor="text1"/>
          <w:lang w:val="en-GB"/>
        </w:rPr>
        <w:footnoteReference w:id="74"/>
      </w:r>
    </w:p>
    <w:p w14:paraId="163720F2" w14:textId="4C3BC825" w:rsidR="0040299C" w:rsidRPr="000811BF" w:rsidRDefault="00B36A88" w:rsidP="0040299C">
      <w:pPr>
        <w:pStyle w:val="SingleTxtG"/>
        <w:rPr>
          <w:color w:val="000000" w:themeColor="text1"/>
          <w:lang w:val="en-GB"/>
        </w:rPr>
      </w:pPr>
      <w:r>
        <w:rPr>
          <w:color w:val="000000" w:themeColor="text1"/>
          <w:lang w:val="en-GB"/>
        </w:rPr>
        <w:t xml:space="preserve">484. </w:t>
      </w:r>
      <w:r w:rsidR="008D4764" w:rsidRPr="000811BF">
        <w:rPr>
          <w:color w:val="000000" w:themeColor="text1"/>
          <w:lang w:val="en-GB"/>
        </w:rPr>
        <w:t>Witness accounts</w:t>
      </w:r>
      <w:r w:rsidR="0040299C" w:rsidRPr="000811BF">
        <w:rPr>
          <w:color w:val="000000" w:themeColor="text1"/>
          <w:lang w:val="en-GB"/>
        </w:rPr>
        <w:t xml:space="preserve"> indicate that </w:t>
      </w:r>
      <w:r>
        <w:rPr>
          <w:color w:val="000000" w:themeColor="text1"/>
          <w:lang w:val="en-GB"/>
        </w:rPr>
        <w:t xml:space="preserve">high-ranking </w:t>
      </w:r>
      <w:r w:rsidR="0040299C" w:rsidRPr="000811BF">
        <w:rPr>
          <w:color w:val="000000" w:themeColor="text1"/>
          <w:lang w:val="en-GB"/>
        </w:rPr>
        <w:t xml:space="preserve">officials </w:t>
      </w:r>
      <w:r>
        <w:rPr>
          <w:color w:val="000000" w:themeColor="text1"/>
          <w:lang w:val="en-GB"/>
        </w:rPr>
        <w:t xml:space="preserve">of the </w:t>
      </w:r>
      <w:r w:rsidRPr="000811BF">
        <w:rPr>
          <w:color w:val="000000" w:themeColor="text1"/>
          <w:lang w:val="en-GB"/>
        </w:rPr>
        <w:t xml:space="preserve">SNR </w:t>
      </w:r>
      <w:r w:rsidR="0040299C" w:rsidRPr="000811BF">
        <w:rPr>
          <w:color w:val="000000" w:themeColor="text1"/>
          <w:lang w:val="en-GB"/>
        </w:rPr>
        <w:t>were aware of the</w:t>
      </w:r>
      <w:r w:rsidR="00465815" w:rsidRPr="000811BF">
        <w:rPr>
          <w:color w:val="000000" w:themeColor="text1"/>
          <w:lang w:val="en-GB"/>
        </w:rPr>
        <w:t xml:space="preserve"> ongoing</w:t>
      </w:r>
      <w:r w:rsidR="0040299C" w:rsidRPr="000811BF">
        <w:rPr>
          <w:color w:val="000000" w:themeColor="text1"/>
          <w:lang w:val="en-GB"/>
        </w:rPr>
        <w:t xml:space="preserve"> violence and did not provide an adequate response, and</w:t>
      </w:r>
      <w:r w:rsidR="00465815" w:rsidRPr="000811BF">
        <w:rPr>
          <w:color w:val="000000" w:themeColor="text1"/>
          <w:lang w:val="en-GB"/>
        </w:rPr>
        <w:t xml:space="preserve"> that </w:t>
      </w:r>
      <w:r>
        <w:rPr>
          <w:color w:val="000000" w:themeColor="text1"/>
          <w:lang w:val="en-GB"/>
        </w:rPr>
        <w:t xml:space="preserve">sometimes </w:t>
      </w:r>
      <w:r w:rsidR="00465815" w:rsidRPr="000811BF">
        <w:rPr>
          <w:color w:val="000000" w:themeColor="text1"/>
          <w:lang w:val="en-GB"/>
        </w:rPr>
        <w:t>they</w:t>
      </w:r>
      <w:r w:rsidR="0040299C" w:rsidRPr="000811BF">
        <w:rPr>
          <w:color w:val="000000" w:themeColor="text1"/>
          <w:lang w:val="en-GB"/>
        </w:rPr>
        <w:t xml:space="preserve"> were directly involved</w:t>
      </w:r>
      <w:r w:rsidR="00C32E74">
        <w:rPr>
          <w:color w:val="000000" w:themeColor="text1"/>
          <w:lang w:val="en-GB"/>
        </w:rPr>
        <w:t>.</w:t>
      </w:r>
      <w:r w:rsidR="00465815" w:rsidRPr="000811BF">
        <w:rPr>
          <w:rStyle w:val="FootnoteReference"/>
          <w:color w:val="000000" w:themeColor="text1"/>
          <w:lang w:val="en-GB"/>
        </w:rPr>
        <w:footnoteReference w:id="75"/>
      </w:r>
    </w:p>
    <w:p w14:paraId="5BF793A4" w14:textId="4B71FC67" w:rsidR="0040299C" w:rsidRPr="000811BF" w:rsidRDefault="00B36A88" w:rsidP="00B94580">
      <w:pPr>
        <w:pStyle w:val="SingleTxtG"/>
        <w:rPr>
          <w:color w:val="000000" w:themeColor="text1"/>
          <w:lang w:val="en-GB"/>
        </w:rPr>
      </w:pPr>
      <w:r>
        <w:rPr>
          <w:color w:val="000000" w:themeColor="text1"/>
          <w:lang w:val="en-GB"/>
        </w:rPr>
        <w:t xml:space="preserve">485. </w:t>
      </w:r>
      <w:r w:rsidR="0040299C" w:rsidRPr="000811BF">
        <w:rPr>
          <w:color w:val="000000" w:themeColor="text1"/>
          <w:lang w:val="en-GB"/>
        </w:rPr>
        <w:t>Another indicator of the institution</w:t>
      </w:r>
      <w:r w:rsidR="00465815" w:rsidRPr="000811BF">
        <w:rPr>
          <w:color w:val="000000" w:themeColor="text1"/>
          <w:lang w:val="en-GB"/>
        </w:rPr>
        <w:t>’</w:t>
      </w:r>
      <w:r w:rsidR="0040299C" w:rsidRPr="000811BF">
        <w:rPr>
          <w:color w:val="000000" w:themeColor="text1"/>
          <w:lang w:val="en-GB"/>
        </w:rPr>
        <w:t>s reputation in this regard</w:t>
      </w:r>
      <w:r w:rsidR="00BF75DD" w:rsidRPr="000811BF">
        <w:rPr>
          <w:color w:val="000000" w:themeColor="text1"/>
          <w:lang w:val="en-GB"/>
        </w:rPr>
        <w:t xml:space="preserve"> is that</w:t>
      </w:r>
      <w:r w:rsidR="0040299C" w:rsidRPr="000811BF">
        <w:rPr>
          <w:color w:val="000000" w:themeColor="text1"/>
          <w:lang w:val="en-GB"/>
        </w:rPr>
        <w:t xml:space="preserve"> relatives of women detaine</w:t>
      </w:r>
      <w:r w:rsidR="00BF75DD" w:rsidRPr="000811BF">
        <w:rPr>
          <w:color w:val="000000" w:themeColor="text1"/>
          <w:lang w:val="en-GB"/>
        </w:rPr>
        <w:t>es</w:t>
      </w:r>
      <w:r w:rsidR="0040299C" w:rsidRPr="000811BF">
        <w:rPr>
          <w:color w:val="000000" w:themeColor="text1"/>
          <w:lang w:val="en-GB"/>
        </w:rPr>
        <w:t xml:space="preserve"> at the SNR sought</w:t>
      </w:r>
      <w:r w:rsidR="00BF75DD" w:rsidRPr="000811BF">
        <w:rPr>
          <w:color w:val="000000" w:themeColor="text1"/>
          <w:lang w:val="en-GB"/>
        </w:rPr>
        <w:t xml:space="preserve"> </w:t>
      </w:r>
      <w:r w:rsidR="0040299C" w:rsidRPr="000811BF">
        <w:rPr>
          <w:color w:val="000000" w:themeColor="text1"/>
          <w:lang w:val="en-GB"/>
        </w:rPr>
        <w:t xml:space="preserve">to ensure that these women would not be </w:t>
      </w:r>
      <w:r w:rsidR="00BF75DD" w:rsidRPr="000811BF">
        <w:rPr>
          <w:color w:val="000000" w:themeColor="text1"/>
          <w:lang w:val="en-GB"/>
        </w:rPr>
        <w:t>sexually</w:t>
      </w:r>
      <w:r w:rsidR="0040299C" w:rsidRPr="000811BF">
        <w:rPr>
          <w:color w:val="000000" w:themeColor="text1"/>
          <w:lang w:val="en-GB"/>
        </w:rPr>
        <w:t xml:space="preserve"> torture</w:t>
      </w:r>
      <w:r w:rsidR="00BF75DD" w:rsidRPr="000811BF">
        <w:rPr>
          <w:color w:val="000000" w:themeColor="text1"/>
          <w:lang w:val="en-GB"/>
        </w:rPr>
        <w:t>d, mostly through their network of influence within the ruling party</w:t>
      </w:r>
      <w:r w:rsidR="00C32E74">
        <w:rPr>
          <w:color w:val="000000" w:themeColor="text1"/>
          <w:lang w:val="en-GB"/>
        </w:rPr>
        <w:t>.</w:t>
      </w:r>
      <w:r w:rsidR="00BF75DD" w:rsidRPr="000811BF">
        <w:rPr>
          <w:rStyle w:val="FootnoteReference"/>
          <w:color w:val="000000" w:themeColor="text1"/>
          <w:lang w:val="en-GB"/>
        </w:rPr>
        <w:footnoteReference w:id="76"/>
      </w:r>
    </w:p>
    <w:p w14:paraId="43E7EF77" w14:textId="526F72E0" w:rsidR="0040299C" w:rsidRPr="000811BF" w:rsidRDefault="00B36A88" w:rsidP="0040299C">
      <w:pPr>
        <w:pStyle w:val="SingleTxtG"/>
        <w:rPr>
          <w:color w:val="000000" w:themeColor="text1"/>
          <w:lang w:val="en-GB"/>
        </w:rPr>
      </w:pPr>
      <w:r>
        <w:rPr>
          <w:color w:val="000000" w:themeColor="text1"/>
          <w:lang w:val="en-GB"/>
        </w:rPr>
        <w:t xml:space="preserve">486. </w:t>
      </w:r>
      <w:r w:rsidR="0040299C" w:rsidRPr="000811BF">
        <w:rPr>
          <w:color w:val="000000" w:themeColor="text1"/>
          <w:lang w:val="en-GB"/>
        </w:rPr>
        <w:t xml:space="preserve">A woman </w:t>
      </w:r>
      <w:r w:rsidR="00BF75DD" w:rsidRPr="000811BF">
        <w:rPr>
          <w:color w:val="000000" w:themeColor="text1"/>
          <w:lang w:val="en-GB"/>
        </w:rPr>
        <w:t xml:space="preserve">who had been </w:t>
      </w:r>
      <w:r w:rsidR="0040299C" w:rsidRPr="000811BF">
        <w:rPr>
          <w:color w:val="000000" w:themeColor="text1"/>
          <w:lang w:val="en-GB"/>
        </w:rPr>
        <w:t>detained by the SNR recounts her meeting with a member of her fam</w:t>
      </w:r>
      <w:r>
        <w:rPr>
          <w:color w:val="000000" w:themeColor="text1"/>
          <w:lang w:val="en-GB"/>
        </w:rPr>
        <w:t>ily who had pursued such steps</w:t>
      </w:r>
      <w:r w:rsidR="0040299C" w:rsidRPr="000811BF">
        <w:rPr>
          <w:color w:val="000000" w:themeColor="text1"/>
          <w:lang w:val="en-GB"/>
        </w:rPr>
        <w:t>: “</w:t>
      </w:r>
      <w:r w:rsidR="0040299C" w:rsidRPr="000811BF">
        <w:rPr>
          <w:i/>
          <w:iCs/>
          <w:color w:val="000000" w:themeColor="text1"/>
          <w:lang w:val="en-GB"/>
        </w:rPr>
        <w:t>the first thing [he] asked me was if I had been raped because I cried when I saw him</w:t>
      </w:r>
      <w:r w:rsidR="0040299C" w:rsidRPr="000811BF">
        <w:rPr>
          <w:color w:val="000000" w:themeColor="text1"/>
          <w:lang w:val="en-GB"/>
        </w:rPr>
        <w:t>”</w:t>
      </w:r>
      <w:r w:rsidR="00C32E74">
        <w:rPr>
          <w:color w:val="000000" w:themeColor="text1"/>
          <w:lang w:val="en-GB"/>
        </w:rPr>
        <w:t>.</w:t>
      </w:r>
      <w:r w:rsidR="00BF75DD" w:rsidRPr="00C32E74">
        <w:rPr>
          <w:rStyle w:val="FootnoteReference"/>
          <w:color w:val="000000" w:themeColor="text1"/>
          <w:sz w:val="20"/>
          <w:lang w:val="en-GB"/>
        </w:rPr>
        <w:footnoteReference w:id="77"/>
      </w:r>
    </w:p>
    <w:p w14:paraId="33DA8FDB" w14:textId="21829D44" w:rsidR="0040299C" w:rsidRPr="000811BF" w:rsidRDefault="00B36A88" w:rsidP="0040299C">
      <w:pPr>
        <w:pStyle w:val="SingleTxtG"/>
        <w:rPr>
          <w:color w:val="000000" w:themeColor="text1"/>
          <w:lang w:val="en-GB"/>
        </w:rPr>
      </w:pPr>
      <w:r>
        <w:rPr>
          <w:color w:val="000000" w:themeColor="text1"/>
          <w:lang w:val="en-GB"/>
        </w:rPr>
        <w:t xml:space="preserve">487. </w:t>
      </w:r>
      <w:r w:rsidR="0040299C" w:rsidRPr="000811BF">
        <w:rPr>
          <w:color w:val="000000" w:themeColor="text1"/>
          <w:lang w:val="en-GB"/>
        </w:rPr>
        <w:t xml:space="preserve">Additional research and surveys would be warranted </w:t>
      </w:r>
      <w:r w:rsidR="00BF75DD" w:rsidRPr="000811BF">
        <w:rPr>
          <w:color w:val="000000" w:themeColor="text1"/>
          <w:lang w:val="en-GB"/>
        </w:rPr>
        <w:t xml:space="preserve">in order </w:t>
      </w:r>
      <w:r w:rsidR="0040299C" w:rsidRPr="000811BF">
        <w:rPr>
          <w:color w:val="000000" w:themeColor="text1"/>
          <w:lang w:val="en-GB"/>
        </w:rPr>
        <w:t>to</w:t>
      </w:r>
      <w:r w:rsidR="00BF75DD" w:rsidRPr="000811BF">
        <w:rPr>
          <w:color w:val="000000" w:themeColor="text1"/>
          <w:lang w:val="en-GB"/>
        </w:rPr>
        <w:t xml:space="preserve"> </w:t>
      </w:r>
      <w:r w:rsidR="0040299C" w:rsidRPr="000811BF">
        <w:rPr>
          <w:color w:val="000000" w:themeColor="text1"/>
          <w:lang w:val="en-GB"/>
        </w:rPr>
        <w:t>determine the prevalence of this type of violation</w:t>
      </w:r>
      <w:r w:rsidR="00F13D37">
        <w:rPr>
          <w:color w:val="000000" w:themeColor="text1"/>
          <w:lang w:val="en-GB"/>
        </w:rPr>
        <w:t>s</w:t>
      </w:r>
      <w:r w:rsidR="0040299C" w:rsidRPr="000811BF">
        <w:rPr>
          <w:color w:val="000000" w:themeColor="text1"/>
          <w:lang w:val="en-GB"/>
        </w:rPr>
        <w:t xml:space="preserve"> against women.</w:t>
      </w:r>
    </w:p>
    <w:p w14:paraId="62CDA66A" w14:textId="674A94A9" w:rsidR="00B94580" w:rsidRPr="000811BF" w:rsidRDefault="00B90CB6" w:rsidP="00B94580">
      <w:pPr>
        <w:pStyle w:val="H1G"/>
        <w:rPr>
          <w:color w:val="000000" w:themeColor="text1"/>
        </w:rPr>
      </w:pPr>
      <w:r>
        <w:rPr>
          <w:color w:val="000000" w:themeColor="text1"/>
        </w:rPr>
        <w:tab/>
      </w:r>
      <w:r>
        <w:rPr>
          <w:color w:val="000000" w:themeColor="text1"/>
        </w:rPr>
        <w:tab/>
      </w:r>
      <w:r w:rsidR="00E66CEA">
        <w:rPr>
          <w:color w:val="000000" w:themeColor="text1"/>
        </w:rPr>
        <w:t>5</w:t>
      </w:r>
      <w:r w:rsidR="00B94580" w:rsidRPr="000811BF">
        <w:rPr>
          <w:color w:val="000000" w:themeColor="text1"/>
        </w:rPr>
        <w:t xml:space="preserve">. </w:t>
      </w:r>
      <w:r w:rsidR="00E04051" w:rsidRPr="000811BF">
        <w:rPr>
          <w:color w:val="000000" w:themeColor="text1"/>
        </w:rPr>
        <w:t xml:space="preserve">Other forms of sexual violence </w:t>
      </w:r>
      <w:r w:rsidR="00F13D37">
        <w:rPr>
          <w:color w:val="000000" w:themeColor="text1"/>
        </w:rPr>
        <w:t>against</w:t>
      </w:r>
      <w:r w:rsidR="00E04051" w:rsidRPr="000811BF">
        <w:rPr>
          <w:color w:val="000000" w:themeColor="text1"/>
        </w:rPr>
        <w:t xml:space="preserve"> men</w:t>
      </w:r>
    </w:p>
    <w:p w14:paraId="067612E4" w14:textId="76BEEA92" w:rsidR="00E04051" w:rsidRPr="000811BF" w:rsidRDefault="00F06AD7" w:rsidP="00B94580">
      <w:pPr>
        <w:pStyle w:val="SingleTxtG"/>
        <w:rPr>
          <w:color w:val="000000" w:themeColor="text1"/>
          <w:lang w:val="en-GB"/>
        </w:rPr>
      </w:pPr>
      <w:r>
        <w:rPr>
          <w:color w:val="000000" w:themeColor="text1"/>
          <w:lang w:val="en-GB"/>
        </w:rPr>
        <w:t xml:space="preserve">488. </w:t>
      </w:r>
      <w:r w:rsidR="00E04051" w:rsidRPr="000811BF">
        <w:rPr>
          <w:color w:val="000000" w:themeColor="text1"/>
          <w:lang w:val="en-GB"/>
        </w:rPr>
        <w:t xml:space="preserve">In the context of the crisis, other forms of sexual violence have been perpetrated against men, outside the context of SNR detention, particularly cases of “forced incest” and cases of emasculation. The violence was sometimes committed by </w:t>
      </w:r>
      <w:proofErr w:type="spellStart"/>
      <w:r w:rsidR="00E04051" w:rsidRPr="000811BF">
        <w:rPr>
          <w:color w:val="000000" w:themeColor="text1"/>
          <w:lang w:val="en-GB"/>
        </w:rPr>
        <w:t>Imbonerakure</w:t>
      </w:r>
      <w:proofErr w:type="spellEnd"/>
      <w:r w:rsidR="00E04051" w:rsidRPr="000811BF">
        <w:rPr>
          <w:color w:val="000000" w:themeColor="text1"/>
          <w:lang w:val="en-GB"/>
        </w:rPr>
        <w:t xml:space="preserve"> acting alongside police officers, or by armed men dressed in police or army uniforms and as civilians.</w:t>
      </w:r>
    </w:p>
    <w:p w14:paraId="7ABF7B42" w14:textId="4A36C0D8" w:rsidR="00E04051" w:rsidRPr="000811BF" w:rsidRDefault="00F06AD7" w:rsidP="00B94580">
      <w:pPr>
        <w:pStyle w:val="SingleTxtG"/>
        <w:rPr>
          <w:color w:val="000000" w:themeColor="text1"/>
          <w:lang w:val="en-GB"/>
        </w:rPr>
      </w:pPr>
      <w:r>
        <w:rPr>
          <w:color w:val="000000" w:themeColor="text1"/>
          <w:lang w:val="en-GB"/>
        </w:rPr>
        <w:t xml:space="preserve">489. </w:t>
      </w:r>
      <w:r w:rsidR="00E04051" w:rsidRPr="000811BF">
        <w:rPr>
          <w:color w:val="000000" w:themeColor="text1"/>
          <w:lang w:val="en-GB"/>
        </w:rPr>
        <w:t xml:space="preserve">This violence took place outside official places of detention, during raids on </w:t>
      </w:r>
      <w:r w:rsidR="00F917ED" w:rsidRPr="000811BF">
        <w:rPr>
          <w:color w:val="000000" w:themeColor="text1"/>
          <w:lang w:val="en-GB"/>
        </w:rPr>
        <w:t>victims’</w:t>
      </w:r>
      <w:r w:rsidR="00E04051" w:rsidRPr="000811BF">
        <w:rPr>
          <w:color w:val="000000" w:themeColor="text1"/>
          <w:lang w:val="en-GB"/>
        </w:rPr>
        <w:t xml:space="preserve"> homes</w:t>
      </w:r>
      <w:r w:rsidR="00E04051" w:rsidRPr="000811BF">
        <w:rPr>
          <w:rStyle w:val="FootnoteReference"/>
          <w:color w:val="000000" w:themeColor="text1"/>
          <w:lang w:val="en-GB"/>
        </w:rPr>
        <w:footnoteReference w:id="78"/>
      </w:r>
      <w:r w:rsidR="00E04051" w:rsidRPr="000811BF">
        <w:rPr>
          <w:color w:val="000000" w:themeColor="text1"/>
          <w:lang w:val="en-GB"/>
        </w:rPr>
        <w:t xml:space="preserve"> or during arbitrary arrests</w:t>
      </w:r>
      <w:r w:rsidR="00F917ED" w:rsidRPr="000811BF">
        <w:rPr>
          <w:rStyle w:val="FootnoteReference"/>
          <w:color w:val="000000" w:themeColor="text1"/>
          <w:lang w:val="en-GB"/>
        </w:rPr>
        <w:footnoteReference w:id="79"/>
      </w:r>
      <w:r w:rsidR="00E04051" w:rsidRPr="000811BF">
        <w:rPr>
          <w:color w:val="000000" w:themeColor="text1"/>
          <w:lang w:val="en-GB"/>
        </w:rPr>
        <w:t xml:space="preserve">. Some cases were committed as part of the operations </w:t>
      </w:r>
      <w:r w:rsidR="00F917ED" w:rsidRPr="000811BF">
        <w:rPr>
          <w:color w:val="000000" w:themeColor="text1"/>
          <w:lang w:val="en-GB"/>
        </w:rPr>
        <w:t>by</w:t>
      </w:r>
      <w:r w:rsidR="00E04051" w:rsidRPr="000811BF">
        <w:rPr>
          <w:color w:val="000000" w:themeColor="text1"/>
          <w:lang w:val="en-GB"/>
        </w:rPr>
        <w:t xml:space="preserve"> security forces </w:t>
      </w:r>
      <w:r w:rsidR="00F13D37">
        <w:rPr>
          <w:color w:val="000000" w:themeColor="text1"/>
          <w:lang w:val="en-GB"/>
        </w:rPr>
        <w:t>in the wake of</w:t>
      </w:r>
      <w:r w:rsidR="00E04051" w:rsidRPr="000811BF">
        <w:rPr>
          <w:color w:val="000000" w:themeColor="text1"/>
          <w:lang w:val="en-GB"/>
        </w:rPr>
        <w:t xml:space="preserve"> the attacks on military camps in Bujumbura in December 2015 and during the first half of 2016.</w:t>
      </w:r>
    </w:p>
    <w:p w14:paraId="1EE8894A" w14:textId="41AD73D1" w:rsidR="00F917ED" w:rsidRPr="000811BF" w:rsidRDefault="00F06AD7" w:rsidP="00B94580">
      <w:pPr>
        <w:pStyle w:val="SingleTxtG"/>
        <w:rPr>
          <w:color w:val="000000" w:themeColor="text1"/>
          <w:lang w:val="en-GB"/>
        </w:rPr>
      </w:pPr>
      <w:r>
        <w:rPr>
          <w:color w:val="000000" w:themeColor="text1"/>
          <w:lang w:val="en-GB"/>
        </w:rPr>
        <w:t xml:space="preserve">490. </w:t>
      </w:r>
      <w:r w:rsidR="00F917ED" w:rsidRPr="000811BF">
        <w:rPr>
          <w:color w:val="000000" w:themeColor="text1"/>
          <w:lang w:val="en-GB"/>
        </w:rPr>
        <w:t>Men</w:t>
      </w:r>
      <w:r w:rsidR="008633FB" w:rsidRPr="000811BF">
        <w:rPr>
          <w:color w:val="000000" w:themeColor="text1"/>
          <w:lang w:val="en-GB"/>
        </w:rPr>
        <w:t xml:space="preserve">, under threat of physical violence, </w:t>
      </w:r>
      <w:r w:rsidR="00F917ED" w:rsidRPr="000811BF">
        <w:rPr>
          <w:color w:val="000000" w:themeColor="text1"/>
          <w:lang w:val="en-GB"/>
        </w:rPr>
        <w:t>have been forced to commit incest by engaging in sex with a family member</w:t>
      </w:r>
      <w:r w:rsidR="00C32E74">
        <w:rPr>
          <w:color w:val="000000" w:themeColor="text1"/>
          <w:lang w:val="en-GB"/>
        </w:rPr>
        <w:t>.</w:t>
      </w:r>
      <w:r w:rsidR="00F917ED" w:rsidRPr="00C32E74">
        <w:rPr>
          <w:rStyle w:val="FootnoteReference"/>
          <w:color w:val="000000" w:themeColor="text1"/>
          <w:sz w:val="20"/>
          <w:lang w:val="en-GB"/>
        </w:rPr>
        <w:footnoteReference w:id="80"/>
      </w:r>
      <w:r w:rsidR="00F917ED" w:rsidRPr="000811BF">
        <w:rPr>
          <w:color w:val="000000" w:themeColor="text1"/>
          <w:lang w:val="en-GB"/>
        </w:rPr>
        <w:t xml:space="preserve"> In one case, the man who refused to carry out the order was severely beaten and forced to watch two of his family members being raped by police and </w:t>
      </w:r>
      <w:proofErr w:type="spellStart"/>
      <w:r w:rsidR="00F917ED" w:rsidRPr="000811BF">
        <w:rPr>
          <w:color w:val="000000" w:themeColor="text1"/>
          <w:lang w:val="en-GB"/>
        </w:rPr>
        <w:t>Imbonerakure</w:t>
      </w:r>
      <w:proofErr w:type="spellEnd"/>
      <w:r w:rsidR="00F917ED" w:rsidRPr="000811BF">
        <w:rPr>
          <w:color w:val="000000" w:themeColor="text1"/>
          <w:lang w:val="en-GB"/>
        </w:rPr>
        <w:t xml:space="preserve">. He was later executed. In another case, the man who refused was beaten and threatened </w:t>
      </w:r>
      <w:r w:rsidR="00750336">
        <w:rPr>
          <w:color w:val="000000" w:themeColor="text1"/>
          <w:lang w:val="en-GB"/>
        </w:rPr>
        <w:t>to be killed</w:t>
      </w:r>
      <w:r w:rsidR="00F917ED" w:rsidRPr="000811BF">
        <w:rPr>
          <w:color w:val="000000" w:themeColor="text1"/>
          <w:lang w:val="en-GB"/>
        </w:rPr>
        <w:t xml:space="preserve">, before </w:t>
      </w:r>
      <w:r w:rsidR="008633FB" w:rsidRPr="000811BF">
        <w:rPr>
          <w:color w:val="000000" w:themeColor="text1"/>
          <w:lang w:val="en-GB"/>
        </w:rPr>
        <w:t>he obeyed</w:t>
      </w:r>
      <w:r w:rsidR="00F917ED" w:rsidRPr="000811BF">
        <w:rPr>
          <w:color w:val="000000" w:themeColor="text1"/>
          <w:lang w:val="en-GB"/>
        </w:rPr>
        <w:t xml:space="preserve"> orders </w:t>
      </w:r>
      <w:r w:rsidR="008633FB" w:rsidRPr="000811BF">
        <w:rPr>
          <w:color w:val="000000" w:themeColor="text1"/>
          <w:lang w:val="en-GB"/>
        </w:rPr>
        <w:t>by</w:t>
      </w:r>
      <w:r w:rsidR="00F917ED" w:rsidRPr="000811BF">
        <w:rPr>
          <w:color w:val="000000" w:themeColor="text1"/>
          <w:lang w:val="en-GB"/>
        </w:rPr>
        <w:t xml:space="preserve"> the police and the military who threatened him and his family. </w:t>
      </w:r>
      <w:r w:rsidR="008633FB" w:rsidRPr="000811BF">
        <w:rPr>
          <w:color w:val="000000" w:themeColor="text1"/>
          <w:lang w:val="en-GB"/>
        </w:rPr>
        <w:t>Such</w:t>
      </w:r>
      <w:r w:rsidR="00F917ED" w:rsidRPr="000811BF">
        <w:rPr>
          <w:color w:val="000000" w:themeColor="text1"/>
          <w:lang w:val="en-GB"/>
        </w:rPr>
        <w:t xml:space="preserve"> violence </w:t>
      </w:r>
      <w:r w:rsidR="008633FB" w:rsidRPr="000811BF">
        <w:rPr>
          <w:color w:val="000000" w:themeColor="text1"/>
          <w:lang w:val="en-GB"/>
        </w:rPr>
        <w:t xml:space="preserve">has </w:t>
      </w:r>
      <w:r w:rsidR="00F917ED" w:rsidRPr="000811BF">
        <w:rPr>
          <w:color w:val="000000" w:themeColor="text1"/>
          <w:lang w:val="en-GB"/>
        </w:rPr>
        <w:t>had a highly traumatic impact on the affected families.</w:t>
      </w:r>
    </w:p>
    <w:p w14:paraId="59E7AE87" w14:textId="693B7106" w:rsidR="008633FB" w:rsidRPr="000811BF" w:rsidRDefault="00F06AD7" w:rsidP="00B94580">
      <w:pPr>
        <w:pStyle w:val="SingleTxtG"/>
        <w:rPr>
          <w:color w:val="000000" w:themeColor="text1"/>
          <w:lang w:val="en-GB"/>
        </w:rPr>
      </w:pPr>
      <w:r>
        <w:rPr>
          <w:color w:val="000000" w:themeColor="text1"/>
          <w:lang w:val="en-GB"/>
        </w:rPr>
        <w:t xml:space="preserve">491. </w:t>
      </w:r>
      <w:r w:rsidR="008633FB" w:rsidRPr="000811BF">
        <w:rPr>
          <w:color w:val="000000" w:themeColor="text1"/>
          <w:lang w:val="en-GB"/>
        </w:rPr>
        <w:t>Two witnesses said they saw that a male relative had been emasculated when his body was found</w:t>
      </w:r>
      <w:r w:rsidR="00C32E74">
        <w:rPr>
          <w:color w:val="000000" w:themeColor="text1"/>
          <w:lang w:val="en-GB"/>
        </w:rPr>
        <w:t>.</w:t>
      </w:r>
      <w:r w:rsidR="00717965">
        <w:rPr>
          <w:rStyle w:val="FootnoteReference"/>
          <w:color w:val="000000" w:themeColor="text1"/>
          <w:lang w:val="en-GB"/>
        </w:rPr>
        <w:footnoteReference w:id="81"/>
      </w:r>
      <w:r w:rsidR="008633FB" w:rsidRPr="000811BF">
        <w:rPr>
          <w:color w:val="000000" w:themeColor="text1"/>
          <w:lang w:val="en-GB"/>
        </w:rPr>
        <w:t xml:space="preserve"> In one case, the emasculation took place before the victim’s execution as part of a night attack on his home by a group of armed men wearing different uniforms and civilian outfits. In the other case, the </w:t>
      </w:r>
      <w:proofErr w:type="spellStart"/>
      <w:r w:rsidR="008633FB" w:rsidRPr="000811BF">
        <w:rPr>
          <w:color w:val="000000" w:themeColor="text1"/>
          <w:lang w:val="en-GB"/>
        </w:rPr>
        <w:t>Imbonerakure</w:t>
      </w:r>
      <w:proofErr w:type="spellEnd"/>
      <w:r w:rsidR="008633FB" w:rsidRPr="000811BF">
        <w:rPr>
          <w:color w:val="000000" w:themeColor="text1"/>
          <w:lang w:val="en-GB"/>
        </w:rPr>
        <w:t xml:space="preserve"> are said to </w:t>
      </w:r>
      <w:r w:rsidR="008633FB" w:rsidRPr="000811BF">
        <w:rPr>
          <w:color w:val="000000" w:themeColor="text1"/>
          <w:lang w:val="en-GB"/>
        </w:rPr>
        <w:lastRenderedPageBreak/>
        <w:t>have mutilated the victim’s body; there was no way of telling whether the mutilation took place before or after his execution. Both victims were members of opposition political parties.</w:t>
      </w:r>
    </w:p>
    <w:p w14:paraId="281F584C" w14:textId="3B3DC275" w:rsidR="00B94580" w:rsidRPr="000811BF" w:rsidRDefault="00B90CB6" w:rsidP="00B94580">
      <w:pPr>
        <w:pStyle w:val="H1G"/>
        <w:rPr>
          <w:color w:val="000000" w:themeColor="text1"/>
        </w:rPr>
      </w:pPr>
      <w:r>
        <w:rPr>
          <w:color w:val="000000" w:themeColor="text1"/>
        </w:rPr>
        <w:tab/>
      </w:r>
      <w:r>
        <w:rPr>
          <w:color w:val="000000" w:themeColor="text1"/>
        </w:rPr>
        <w:tab/>
      </w:r>
      <w:r w:rsidR="00E66CEA">
        <w:rPr>
          <w:color w:val="000000" w:themeColor="text1"/>
        </w:rPr>
        <w:t>6</w:t>
      </w:r>
      <w:r w:rsidR="00B94580" w:rsidRPr="000811BF">
        <w:rPr>
          <w:color w:val="000000" w:themeColor="text1"/>
        </w:rPr>
        <w:t xml:space="preserve">. </w:t>
      </w:r>
      <w:r w:rsidR="008633FB" w:rsidRPr="000811BF">
        <w:rPr>
          <w:color w:val="000000" w:themeColor="text1"/>
        </w:rPr>
        <w:t xml:space="preserve">Consequences on </w:t>
      </w:r>
      <w:r w:rsidR="00FC50A5" w:rsidRPr="000811BF">
        <w:rPr>
          <w:color w:val="000000" w:themeColor="text1"/>
        </w:rPr>
        <w:t xml:space="preserve">the </w:t>
      </w:r>
      <w:r w:rsidR="008633FB" w:rsidRPr="000811BF">
        <w:rPr>
          <w:color w:val="000000" w:themeColor="text1"/>
        </w:rPr>
        <w:t xml:space="preserve">victims and their families </w:t>
      </w:r>
    </w:p>
    <w:p w14:paraId="558B1AA0" w14:textId="347053FE" w:rsidR="00B8425F" w:rsidRPr="000811BF" w:rsidRDefault="00813110" w:rsidP="00B94580">
      <w:pPr>
        <w:pStyle w:val="SingleTxtG"/>
        <w:rPr>
          <w:color w:val="000000" w:themeColor="text1"/>
          <w:lang w:val="en-GB"/>
        </w:rPr>
      </w:pPr>
      <w:r>
        <w:rPr>
          <w:color w:val="000000" w:themeColor="text1"/>
          <w:lang w:val="en-GB"/>
        </w:rPr>
        <w:t xml:space="preserve">492. </w:t>
      </w:r>
      <w:r w:rsidR="00F06AD7">
        <w:rPr>
          <w:color w:val="000000" w:themeColor="text1"/>
          <w:lang w:val="en-GB"/>
        </w:rPr>
        <w:t>Similarly to</w:t>
      </w:r>
      <w:r w:rsidR="00B8425F" w:rsidRPr="000811BF">
        <w:rPr>
          <w:color w:val="000000" w:themeColor="text1"/>
          <w:lang w:val="en-GB"/>
        </w:rPr>
        <w:t xml:space="preserve"> sexual violence against women and girls, sexual violence against men and boys has serious</w:t>
      </w:r>
      <w:r w:rsidR="00F91E5A" w:rsidRPr="000811BF">
        <w:rPr>
          <w:color w:val="000000" w:themeColor="text1"/>
          <w:lang w:val="en-GB"/>
        </w:rPr>
        <w:t xml:space="preserve">, </w:t>
      </w:r>
      <w:r w:rsidR="00B8425F" w:rsidRPr="000811BF">
        <w:rPr>
          <w:color w:val="000000" w:themeColor="text1"/>
          <w:lang w:val="en-GB"/>
        </w:rPr>
        <w:t>long-last</w:t>
      </w:r>
      <w:r w:rsidR="00F91E5A" w:rsidRPr="000811BF">
        <w:rPr>
          <w:color w:val="000000" w:themeColor="text1"/>
          <w:lang w:val="en-GB"/>
        </w:rPr>
        <w:t>ing</w:t>
      </w:r>
      <w:r w:rsidR="00B8425F" w:rsidRPr="000811BF">
        <w:rPr>
          <w:color w:val="000000" w:themeColor="text1"/>
          <w:lang w:val="en-GB"/>
        </w:rPr>
        <w:t xml:space="preserve"> effects on the lives of the survivors</w:t>
      </w:r>
      <w:r w:rsidR="00F13D37">
        <w:rPr>
          <w:color w:val="000000" w:themeColor="text1"/>
          <w:lang w:val="en-GB"/>
        </w:rPr>
        <w:t>,</w:t>
      </w:r>
      <w:r w:rsidR="00B8425F" w:rsidRPr="000811BF">
        <w:rPr>
          <w:color w:val="000000" w:themeColor="text1"/>
          <w:lang w:val="en-GB"/>
        </w:rPr>
        <w:t xml:space="preserve"> their health</w:t>
      </w:r>
      <w:r w:rsidR="00F13D37">
        <w:rPr>
          <w:color w:val="000000" w:themeColor="text1"/>
          <w:lang w:val="en-GB"/>
        </w:rPr>
        <w:t>,</w:t>
      </w:r>
      <w:r w:rsidR="00B8425F" w:rsidRPr="000811BF">
        <w:rPr>
          <w:color w:val="000000" w:themeColor="text1"/>
          <w:lang w:val="en-GB"/>
        </w:rPr>
        <w:t xml:space="preserve"> their family relations </w:t>
      </w:r>
      <w:r w:rsidR="00F91E5A" w:rsidRPr="000811BF">
        <w:rPr>
          <w:color w:val="000000" w:themeColor="text1"/>
          <w:lang w:val="en-GB"/>
        </w:rPr>
        <w:t>as well as</w:t>
      </w:r>
      <w:r w:rsidR="00B8425F" w:rsidRPr="000811BF">
        <w:rPr>
          <w:color w:val="000000" w:themeColor="text1"/>
          <w:lang w:val="en-GB"/>
        </w:rPr>
        <w:t xml:space="preserve"> the</w:t>
      </w:r>
      <w:r w:rsidR="007D622B" w:rsidRPr="000811BF">
        <w:rPr>
          <w:color w:val="000000" w:themeColor="text1"/>
          <w:lang w:val="en-GB"/>
        </w:rPr>
        <w:t>ir</w:t>
      </w:r>
      <w:r w:rsidR="00B8425F" w:rsidRPr="000811BF">
        <w:rPr>
          <w:color w:val="000000" w:themeColor="text1"/>
          <w:lang w:val="en-GB"/>
        </w:rPr>
        <w:t xml:space="preserve"> role and </w:t>
      </w:r>
      <w:r w:rsidR="007D622B" w:rsidRPr="000811BF">
        <w:rPr>
          <w:color w:val="000000" w:themeColor="text1"/>
          <w:lang w:val="en-GB"/>
        </w:rPr>
        <w:t>place</w:t>
      </w:r>
      <w:r w:rsidR="00B8425F" w:rsidRPr="000811BF">
        <w:rPr>
          <w:color w:val="000000" w:themeColor="text1"/>
          <w:lang w:val="en-GB"/>
        </w:rPr>
        <w:t xml:space="preserve"> within communit</w:t>
      </w:r>
      <w:r w:rsidR="007D622B" w:rsidRPr="000811BF">
        <w:rPr>
          <w:color w:val="000000" w:themeColor="text1"/>
          <w:lang w:val="en-GB"/>
        </w:rPr>
        <w:t>y</w:t>
      </w:r>
      <w:r w:rsidR="00B8425F" w:rsidRPr="000811BF">
        <w:rPr>
          <w:color w:val="000000" w:themeColor="text1"/>
          <w:lang w:val="en-GB"/>
        </w:rPr>
        <w:t xml:space="preserve">. </w:t>
      </w:r>
    </w:p>
    <w:p w14:paraId="54893CBF" w14:textId="5F18DDB0" w:rsidR="007D622B" w:rsidRPr="000811BF" w:rsidRDefault="00813110" w:rsidP="00B94580">
      <w:pPr>
        <w:pStyle w:val="SingleTxtG"/>
        <w:rPr>
          <w:color w:val="000000" w:themeColor="text1"/>
          <w:lang w:val="en-GB"/>
        </w:rPr>
      </w:pPr>
      <w:r>
        <w:rPr>
          <w:color w:val="000000" w:themeColor="text1"/>
          <w:lang w:val="en-GB"/>
        </w:rPr>
        <w:t xml:space="preserve">493. </w:t>
      </w:r>
      <w:r w:rsidR="00F91E5A" w:rsidRPr="000811BF">
        <w:rPr>
          <w:color w:val="000000" w:themeColor="text1"/>
          <w:lang w:val="en-GB"/>
        </w:rPr>
        <w:t>The majority of</w:t>
      </w:r>
      <w:r w:rsidR="007D622B" w:rsidRPr="000811BF">
        <w:rPr>
          <w:color w:val="000000" w:themeColor="text1"/>
          <w:lang w:val="en-GB"/>
        </w:rPr>
        <w:t xml:space="preserve"> survivors of sexual violence </w:t>
      </w:r>
      <w:r w:rsidR="00F06AD7">
        <w:rPr>
          <w:color w:val="000000" w:themeColor="text1"/>
          <w:lang w:val="en-GB"/>
        </w:rPr>
        <w:t xml:space="preserve">cases </w:t>
      </w:r>
      <w:r w:rsidR="007D622B" w:rsidRPr="000811BF">
        <w:rPr>
          <w:color w:val="000000" w:themeColor="text1"/>
          <w:lang w:val="en-GB"/>
        </w:rPr>
        <w:t xml:space="preserve">documented by the Commission were forced to leave Burundi, many </w:t>
      </w:r>
      <w:r w:rsidR="00F91E5A" w:rsidRPr="000811BF">
        <w:rPr>
          <w:color w:val="000000" w:themeColor="text1"/>
          <w:lang w:val="en-GB"/>
        </w:rPr>
        <w:t xml:space="preserve">of them </w:t>
      </w:r>
      <w:r w:rsidR="007D622B" w:rsidRPr="000811BF">
        <w:rPr>
          <w:color w:val="000000" w:themeColor="text1"/>
          <w:lang w:val="en-GB"/>
        </w:rPr>
        <w:t xml:space="preserve">believing that they would have been killed if they had stayed longer. Many of them left </w:t>
      </w:r>
      <w:r w:rsidR="00F91E5A" w:rsidRPr="000811BF">
        <w:rPr>
          <w:color w:val="000000" w:themeColor="text1"/>
          <w:lang w:val="en-GB"/>
        </w:rPr>
        <w:t>on their own</w:t>
      </w:r>
      <w:r w:rsidR="007D622B" w:rsidRPr="000811BF">
        <w:rPr>
          <w:color w:val="000000" w:themeColor="text1"/>
          <w:lang w:val="en-GB"/>
        </w:rPr>
        <w:t>, leaving their families</w:t>
      </w:r>
      <w:r w:rsidR="00F91E5A" w:rsidRPr="000811BF">
        <w:rPr>
          <w:color w:val="000000" w:themeColor="text1"/>
          <w:lang w:val="en-GB"/>
        </w:rPr>
        <w:t xml:space="preserve"> behind</w:t>
      </w:r>
      <w:r w:rsidR="00604B4A">
        <w:rPr>
          <w:color w:val="000000" w:themeColor="text1"/>
          <w:lang w:val="en-GB"/>
        </w:rPr>
        <w:t>;</w:t>
      </w:r>
      <w:r w:rsidR="00F32E6F" w:rsidRPr="000811BF">
        <w:rPr>
          <w:color w:val="000000" w:themeColor="text1"/>
          <w:lang w:val="en-GB"/>
        </w:rPr>
        <w:t xml:space="preserve"> </w:t>
      </w:r>
      <w:r w:rsidR="00F32E6F" w:rsidRPr="000C7C69">
        <w:rPr>
          <w:color w:val="000000" w:themeColor="text1"/>
          <w:lang w:val="en-GB"/>
        </w:rPr>
        <w:t>whom</w:t>
      </w:r>
      <w:r w:rsidR="00F32E6F" w:rsidRPr="00604B4A">
        <w:rPr>
          <w:color w:val="000000" w:themeColor="text1"/>
          <w:lang w:val="en-GB"/>
        </w:rPr>
        <w:t xml:space="preserve"> they have </w:t>
      </w:r>
      <w:r w:rsidR="007D622B" w:rsidRPr="00604B4A">
        <w:rPr>
          <w:color w:val="000000" w:themeColor="text1"/>
          <w:lang w:val="en-GB"/>
        </w:rPr>
        <w:t xml:space="preserve">sometimes not heard since their departure, or even </w:t>
      </w:r>
      <w:r w:rsidR="00F32E6F" w:rsidRPr="00604B4A">
        <w:rPr>
          <w:color w:val="000000" w:themeColor="text1"/>
          <w:lang w:val="en-GB"/>
        </w:rPr>
        <w:t xml:space="preserve">since </w:t>
      </w:r>
      <w:r w:rsidR="007D622B" w:rsidRPr="00604B4A">
        <w:rPr>
          <w:color w:val="000000" w:themeColor="text1"/>
          <w:lang w:val="en-GB"/>
        </w:rPr>
        <w:t>their arrest months or</w:t>
      </w:r>
      <w:r w:rsidR="007D622B" w:rsidRPr="000811BF">
        <w:rPr>
          <w:color w:val="000000" w:themeColor="text1"/>
          <w:lang w:val="en-GB"/>
        </w:rPr>
        <w:t xml:space="preserve"> years before.</w:t>
      </w:r>
    </w:p>
    <w:p w14:paraId="2FEC5650" w14:textId="0491237D" w:rsidR="00F32E6F" w:rsidRPr="000811BF" w:rsidRDefault="00813110" w:rsidP="00B94580">
      <w:pPr>
        <w:pStyle w:val="SingleTxtG"/>
        <w:rPr>
          <w:color w:val="000000" w:themeColor="text1"/>
          <w:lang w:val="en-GB"/>
        </w:rPr>
      </w:pPr>
      <w:r>
        <w:rPr>
          <w:color w:val="000000" w:themeColor="text1"/>
          <w:lang w:val="en-GB"/>
        </w:rPr>
        <w:t xml:space="preserve">494. </w:t>
      </w:r>
      <w:r w:rsidR="00F32E6F" w:rsidRPr="000811BF">
        <w:rPr>
          <w:color w:val="000000" w:themeColor="text1"/>
          <w:lang w:val="en-GB"/>
        </w:rPr>
        <w:t>The men and boys subjected to violence targeting their genitals testified about pain and swelling of their testicles which, among other things, prevented them from walking normally</w:t>
      </w:r>
      <w:r w:rsidR="00F32E6F" w:rsidRPr="00C32E74">
        <w:rPr>
          <w:rStyle w:val="FootnoteReference"/>
          <w:color w:val="000000" w:themeColor="text1"/>
          <w:sz w:val="20"/>
          <w:lang w:val="en-GB"/>
        </w:rPr>
        <w:footnoteReference w:id="82"/>
      </w:r>
      <w:r w:rsidR="00F32E6F" w:rsidRPr="000811BF">
        <w:rPr>
          <w:color w:val="000000" w:themeColor="text1"/>
          <w:lang w:val="en-GB"/>
        </w:rPr>
        <w:t xml:space="preserve"> and about severe pain that persisted for several months after these occurrences, especially when urinating</w:t>
      </w:r>
      <w:r w:rsidR="00C32E74">
        <w:rPr>
          <w:color w:val="000000" w:themeColor="text1"/>
          <w:lang w:val="en-GB"/>
        </w:rPr>
        <w:t>.</w:t>
      </w:r>
      <w:r w:rsidR="00F32E6F" w:rsidRPr="00C32E74">
        <w:rPr>
          <w:rStyle w:val="FootnoteReference"/>
          <w:color w:val="000000" w:themeColor="text1"/>
          <w:sz w:val="20"/>
          <w:lang w:val="en-GB"/>
        </w:rPr>
        <w:footnoteReference w:id="83"/>
      </w:r>
      <w:r w:rsidR="00F32E6F" w:rsidRPr="000811BF">
        <w:rPr>
          <w:color w:val="000000" w:themeColor="text1"/>
          <w:lang w:val="en-GB"/>
        </w:rPr>
        <w:t xml:space="preserve"> Some have developed erectile </w:t>
      </w:r>
      <w:r w:rsidR="00604B4A" w:rsidRPr="000811BF">
        <w:rPr>
          <w:color w:val="000000" w:themeColor="text1"/>
          <w:lang w:val="en-GB"/>
        </w:rPr>
        <w:t>dysfunction</w:t>
      </w:r>
      <w:r w:rsidR="00C32E74">
        <w:rPr>
          <w:color w:val="000000" w:themeColor="text1"/>
          <w:lang w:val="en-GB"/>
        </w:rPr>
        <w:t>.</w:t>
      </w:r>
      <w:r w:rsidR="00F32E6F" w:rsidRPr="00C32E74">
        <w:rPr>
          <w:rStyle w:val="FootnoteReference"/>
          <w:color w:val="000000" w:themeColor="text1"/>
          <w:sz w:val="20"/>
          <w:lang w:val="en-GB"/>
        </w:rPr>
        <w:footnoteReference w:id="84"/>
      </w:r>
    </w:p>
    <w:p w14:paraId="18B7F642" w14:textId="451ED610" w:rsidR="008F1B99" w:rsidRPr="000811BF" w:rsidRDefault="008F1B99" w:rsidP="00C32E74">
      <w:pPr>
        <w:pStyle w:val="SingleTxtG"/>
        <w:ind w:left="1701"/>
        <w:rPr>
          <w:color w:val="000000" w:themeColor="text1"/>
          <w:lang w:val="en-GB"/>
        </w:rPr>
      </w:pPr>
      <w:r w:rsidRPr="00C32E74">
        <w:rPr>
          <w:i/>
          <w:color w:val="000000" w:themeColor="text1"/>
          <w:lang w:val="en-GB"/>
        </w:rPr>
        <w:t>“</w:t>
      </w:r>
      <w:r w:rsidRPr="000C7C69">
        <w:rPr>
          <w:i/>
          <w:iCs/>
          <w:color w:val="000000" w:themeColor="text1"/>
          <w:lang w:val="en-GB"/>
        </w:rPr>
        <w:t xml:space="preserve">I have been hit so many times in the genitals. </w:t>
      </w:r>
      <w:r w:rsidR="008308B4" w:rsidRPr="000C7C69">
        <w:rPr>
          <w:i/>
          <w:iCs/>
          <w:color w:val="000000" w:themeColor="text1"/>
          <w:lang w:val="en-GB"/>
        </w:rPr>
        <w:t xml:space="preserve">They </w:t>
      </w:r>
      <w:r w:rsidRPr="000C7C69">
        <w:rPr>
          <w:i/>
          <w:iCs/>
          <w:color w:val="000000" w:themeColor="text1"/>
          <w:lang w:val="en-GB"/>
        </w:rPr>
        <w:t xml:space="preserve">told </w:t>
      </w:r>
      <w:r w:rsidR="008308B4" w:rsidRPr="000C7C69">
        <w:rPr>
          <w:i/>
          <w:iCs/>
          <w:color w:val="000000" w:themeColor="text1"/>
          <w:lang w:val="en-GB"/>
        </w:rPr>
        <w:t xml:space="preserve">me </w:t>
      </w:r>
      <w:r w:rsidRPr="000C7C69">
        <w:rPr>
          <w:i/>
          <w:iCs/>
          <w:color w:val="000000" w:themeColor="text1"/>
          <w:lang w:val="en-GB"/>
        </w:rPr>
        <w:t xml:space="preserve">to bow with my arms at knee </w:t>
      </w:r>
      <w:r w:rsidR="00604B4A" w:rsidRPr="00604B4A">
        <w:rPr>
          <w:i/>
          <w:iCs/>
          <w:color w:val="000000" w:themeColor="text1"/>
          <w:lang w:val="en-GB"/>
        </w:rPr>
        <w:t>level and</w:t>
      </w:r>
      <w:r w:rsidRPr="000C7C69">
        <w:rPr>
          <w:i/>
          <w:iCs/>
          <w:color w:val="000000" w:themeColor="text1"/>
          <w:lang w:val="en-GB"/>
        </w:rPr>
        <w:t xml:space="preserve"> kicked </w:t>
      </w:r>
      <w:r w:rsidR="008308B4" w:rsidRPr="000C7C69">
        <w:rPr>
          <w:i/>
          <w:iCs/>
          <w:color w:val="000000" w:themeColor="text1"/>
          <w:lang w:val="en-GB"/>
        </w:rPr>
        <w:t xml:space="preserve">me </w:t>
      </w:r>
      <w:r w:rsidR="00604B4A">
        <w:rPr>
          <w:i/>
          <w:iCs/>
          <w:color w:val="000000" w:themeColor="text1"/>
          <w:lang w:val="en-GB"/>
        </w:rPr>
        <w:t>i</w:t>
      </w:r>
      <w:r w:rsidRPr="000C7C69">
        <w:rPr>
          <w:i/>
          <w:iCs/>
          <w:color w:val="000000" w:themeColor="text1"/>
          <w:lang w:val="en-GB"/>
        </w:rPr>
        <w:t xml:space="preserve">n the genitals. </w:t>
      </w:r>
      <w:r w:rsidR="008308B4" w:rsidRPr="000C7C69">
        <w:rPr>
          <w:i/>
          <w:iCs/>
          <w:color w:val="000000" w:themeColor="text1"/>
          <w:lang w:val="en-GB"/>
        </w:rPr>
        <w:t>One consequence</w:t>
      </w:r>
      <w:r w:rsidRPr="000C7C69">
        <w:rPr>
          <w:i/>
          <w:iCs/>
          <w:color w:val="000000" w:themeColor="text1"/>
          <w:lang w:val="en-GB"/>
        </w:rPr>
        <w:t xml:space="preserve"> of the beating</w:t>
      </w:r>
      <w:r w:rsidR="008308B4" w:rsidRPr="000C7C69">
        <w:rPr>
          <w:i/>
          <w:iCs/>
          <w:color w:val="000000" w:themeColor="text1"/>
          <w:lang w:val="en-GB"/>
        </w:rPr>
        <w:t xml:space="preserve"> is that</w:t>
      </w:r>
      <w:r w:rsidRPr="000C7C69">
        <w:rPr>
          <w:i/>
          <w:iCs/>
          <w:color w:val="000000" w:themeColor="text1"/>
          <w:lang w:val="en-GB"/>
        </w:rPr>
        <w:t xml:space="preserve"> I can</w:t>
      </w:r>
      <w:r w:rsidR="008308B4" w:rsidRPr="000C7C69">
        <w:rPr>
          <w:i/>
          <w:iCs/>
          <w:color w:val="000000" w:themeColor="text1"/>
          <w:lang w:val="en-GB"/>
        </w:rPr>
        <w:t xml:space="preserve"> no longer</w:t>
      </w:r>
      <w:r w:rsidRPr="000C7C69">
        <w:rPr>
          <w:i/>
          <w:iCs/>
          <w:color w:val="000000" w:themeColor="text1"/>
          <w:lang w:val="en-GB"/>
        </w:rPr>
        <w:t xml:space="preserve"> have sex, I </w:t>
      </w:r>
      <w:r w:rsidR="00604B4A" w:rsidRPr="000C7C69">
        <w:rPr>
          <w:i/>
          <w:iCs/>
          <w:color w:val="000000" w:themeColor="text1"/>
          <w:lang w:val="en-GB"/>
        </w:rPr>
        <w:t xml:space="preserve">cannot </w:t>
      </w:r>
      <w:r w:rsidRPr="000C7C69">
        <w:rPr>
          <w:i/>
          <w:iCs/>
          <w:color w:val="000000" w:themeColor="text1"/>
          <w:lang w:val="en-GB"/>
        </w:rPr>
        <w:t xml:space="preserve">have an erection, </w:t>
      </w:r>
      <w:proofErr w:type="gramStart"/>
      <w:r w:rsidRPr="000C7C69">
        <w:rPr>
          <w:i/>
          <w:iCs/>
          <w:color w:val="000000" w:themeColor="text1"/>
          <w:lang w:val="en-GB"/>
        </w:rPr>
        <w:t>I</w:t>
      </w:r>
      <w:proofErr w:type="gramEnd"/>
      <w:r w:rsidRPr="000C7C69">
        <w:rPr>
          <w:i/>
          <w:iCs/>
          <w:color w:val="000000" w:themeColor="text1"/>
          <w:lang w:val="en-GB"/>
        </w:rPr>
        <w:t xml:space="preserve"> have become </w:t>
      </w:r>
      <w:r w:rsidR="00F06AD7">
        <w:rPr>
          <w:i/>
          <w:iCs/>
          <w:color w:val="000000" w:themeColor="text1"/>
          <w:lang w:val="en-GB"/>
        </w:rPr>
        <w:t xml:space="preserve">like </w:t>
      </w:r>
      <w:r w:rsidR="008308B4" w:rsidRPr="000C7C69">
        <w:rPr>
          <w:i/>
          <w:iCs/>
          <w:color w:val="000000" w:themeColor="text1"/>
          <w:lang w:val="en-GB"/>
        </w:rPr>
        <w:t>impotent</w:t>
      </w:r>
      <w:r w:rsidR="00C32E74">
        <w:rPr>
          <w:i/>
          <w:iCs/>
          <w:color w:val="000000" w:themeColor="text1"/>
          <w:lang w:val="en-GB"/>
        </w:rPr>
        <w:t>”</w:t>
      </w:r>
      <w:r w:rsidRPr="000811BF">
        <w:rPr>
          <w:color w:val="000000" w:themeColor="text1"/>
          <w:lang w:val="en-GB"/>
        </w:rPr>
        <w:t>.</w:t>
      </w:r>
      <w:r w:rsidR="008308B4" w:rsidRPr="00C32E74">
        <w:rPr>
          <w:rStyle w:val="FootnoteReference"/>
          <w:color w:val="000000" w:themeColor="text1"/>
          <w:sz w:val="20"/>
          <w:lang w:val="en-GB"/>
        </w:rPr>
        <w:footnoteReference w:id="85"/>
      </w:r>
    </w:p>
    <w:p w14:paraId="646F087B" w14:textId="2956D99F" w:rsidR="008308B4" w:rsidRPr="000811BF" w:rsidRDefault="00813110" w:rsidP="00B94580">
      <w:pPr>
        <w:pStyle w:val="SingleTxtG"/>
        <w:rPr>
          <w:color w:val="000000" w:themeColor="text1"/>
          <w:lang w:val="en-GB"/>
        </w:rPr>
      </w:pPr>
      <w:r>
        <w:rPr>
          <w:color w:val="000000" w:themeColor="text1"/>
          <w:lang w:val="en-GB"/>
        </w:rPr>
        <w:t xml:space="preserve">495. </w:t>
      </w:r>
      <w:r w:rsidR="008308B4" w:rsidRPr="000811BF">
        <w:rPr>
          <w:color w:val="000000" w:themeColor="text1"/>
          <w:lang w:val="en-GB"/>
        </w:rPr>
        <w:t xml:space="preserve">Several of them requested access to medical care while in detention. However, treatment was only granted </w:t>
      </w:r>
      <w:r w:rsidR="00604B4A">
        <w:rPr>
          <w:color w:val="000000" w:themeColor="text1"/>
          <w:lang w:val="en-GB"/>
        </w:rPr>
        <w:t xml:space="preserve">to </w:t>
      </w:r>
      <w:r w:rsidR="008308B4" w:rsidRPr="000811BF">
        <w:rPr>
          <w:color w:val="000000" w:themeColor="text1"/>
          <w:lang w:val="en-GB"/>
        </w:rPr>
        <w:t>two of them, in one case several months after the violence. The care in both cases proved to be clearly inadequate</w:t>
      </w:r>
      <w:r w:rsidR="00C32E74">
        <w:rPr>
          <w:color w:val="000000" w:themeColor="text1"/>
          <w:lang w:val="en-GB"/>
        </w:rPr>
        <w:t>.</w:t>
      </w:r>
      <w:r w:rsidR="008308B4" w:rsidRPr="00C32E74">
        <w:rPr>
          <w:rStyle w:val="FootnoteReference"/>
          <w:color w:val="000000" w:themeColor="text1"/>
          <w:sz w:val="20"/>
          <w:lang w:val="en-GB"/>
        </w:rPr>
        <w:footnoteReference w:id="86"/>
      </w:r>
    </w:p>
    <w:p w14:paraId="12A553F7" w14:textId="58F22901" w:rsidR="008308B4" w:rsidRPr="000811BF" w:rsidRDefault="00813110" w:rsidP="00B94580">
      <w:pPr>
        <w:pStyle w:val="SingleTxtG"/>
        <w:rPr>
          <w:color w:val="000000" w:themeColor="text1"/>
          <w:lang w:val="en-GB"/>
        </w:rPr>
      </w:pPr>
      <w:r>
        <w:rPr>
          <w:color w:val="000000" w:themeColor="text1"/>
          <w:lang w:val="en-GB"/>
        </w:rPr>
        <w:t xml:space="preserve">496. </w:t>
      </w:r>
      <w:r w:rsidR="008308B4" w:rsidRPr="000811BF">
        <w:rPr>
          <w:color w:val="000000" w:themeColor="text1"/>
          <w:lang w:val="en-GB"/>
        </w:rPr>
        <w:t>Survivors did not always dare report to the medical staff that they had been raped</w:t>
      </w:r>
      <w:r w:rsidR="00C32E74">
        <w:rPr>
          <w:color w:val="000000" w:themeColor="text1"/>
          <w:lang w:val="en-GB"/>
        </w:rPr>
        <w:t>.</w:t>
      </w:r>
      <w:r w:rsidR="008308B4" w:rsidRPr="00C32E74">
        <w:rPr>
          <w:rStyle w:val="FootnoteReference"/>
          <w:color w:val="000000" w:themeColor="text1"/>
          <w:sz w:val="20"/>
          <w:lang w:val="en-GB"/>
        </w:rPr>
        <w:footnoteReference w:id="87"/>
      </w:r>
    </w:p>
    <w:p w14:paraId="6B92F92E" w14:textId="01106B55" w:rsidR="004A11D6" w:rsidRPr="000811BF" w:rsidRDefault="004A11D6" w:rsidP="00C32E74">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 xml:space="preserve">I did not tell the doctor who was treating me because this is taboo in our culture. They gave me medicine. I have not recounted what happened to me, I am ashamed. I cannot talk about what happened in my life because I went through hell. I was humiliated and made to </w:t>
      </w:r>
      <w:r w:rsidRPr="00604B4A">
        <w:rPr>
          <w:i/>
          <w:iCs/>
          <w:color w:val="000000" w:themeColor="text1"/>
          <w:lang w:val="en-GB"/>
        </w:rPr>
        <w:t xml:space="preserve">feel </w:t>
      </w:r>
      <w:r w:rsidRPr="000C7C69">
        <w:rPr>
          <w:i/>
          <w:iCs/>
          <w:color w:val="000000" w:themeColor="text1"/>
          <w:lang w:val="en-GB"/>
        </w:rPr>
        <w:t>worthless</w:t>
      </w:r>
      <w:r w:rsidRPr="00604B4A">
        <w:rPr>
          <w:color w:val="000000" w:themeColor="text1"/>
          <w:lang w:val="en-GB"/>
        </w:rPr>
        <w:t>”</w:t>
      </w:r>
      <w:r w:rsidR="00C32E74">
        <w:rPr>
          <w:color w:val="000000" w:themeColor="text1"/>
          <w:lang w:val="en-GB"/>
        </w:rPr>
        <w:t>.</w:t>
      </w:r>
      <w:r w:rsidRPr="00C32E74">
        <w:rPr>
          <w:rStyle w:val="FootnoteReference"/>
          <w:iCs/>
          <w:color w:val="000000" w:themeColor="text1"/>
          <w:sz w:val="20"/>
          <w:lang w:val="en-GB"/>
        </w:rPr>
        <w:footnoteReference w:id="88"/>
      </w:r>
    </w:p>
    <w:p w14:paraId="006E3A5F" w14:textId="7DB0758B" w:rsidR="004A11D6" w:rsidRPr="000811BF" w:rsidRDefault="00813110" w:rsidP="00B94580">
      <w:pPr>
        <w:pStyle w:val="SingleTxtG"/>
        <w:rPr>
          <w:color w:val="000000" w:themeColor="text1"/>
          <w:lang w:val="en-GB"/>
        </w:rPr>
      </w:pPr>
      <w:r>
        <w:rPr>
          <w:color w:val="000000" w:themeColor="text1"/>
          <w:lang w:val="en-GB"/>
        </w:rPr>
        <w:t xml:space="preserve">497. </w:t>
      </w:r>
      <w:r w:rsidR="004A11D6" w:rsidRPr="000811BF">
        <w:rPr>
          <w:color w:val="000000" w:themeColor="text1"/>
          <w:lang w:val="en-GB"/>
        </w:rPr>
        <w:t xml:space="preserve">Due to the multiple forms of violence that some men have suffered, they often present </w:t>
      </w:r>
      <w:r w:rsidR="004A11D6" w:rsidRPr="00604B4A">
        <w:rPr>
          <w:color w:val="000000" w:themeColor="text1"/>
          <w:lang w:val="en-GB"/>
        </w:rPr>
        <w:t xml:space="preserve">complex </w:t>
      </w:r>
      <w:r w:rsidR="004A11D6" w:rsidRPr="000C7C69">
        <w:rPr>
          <w:color w:val="000000" w:themeColor="text1"/>
          <w:lang w:val="en-GB"/>
        </w:rPr>
        <w:t>or severe</w:t>
      </w:r>
      <w:r w:rsidR="004A11D6" w:rsidRPr="00604B4A">
        <w:rPr>
          <w:color w:val="000000" w:themeColor="text1"/>
          <w:lang w:val="en-GB"/>
        </w:rPr>
        <w:t xml:space="preserve"> clinical</w:t>
      </w:r>
      <w:r w:rsidR="004A11D6" w:rsidRPr="000811BF">
        <w:rPr>
          <w:color w:val="000000" w:themeColor="text1"/>
          <w:lang w:val="en-GB"/>
        </w:rPr>
        <w:t xml:space="preserve"> </w:t>
      </w:r>
      <w:r w:rsidR="00604B4A">
        <w:rPr>
          <w:color w:val="000000" w:themeColor="text1"/>
          <w:lang w:val="en-GB"/>
        </w:rPr>
        <w:t>cases</w:t>
      </w:r>
      <w:r w:rsidR="004A11D6" w:rsidRPr="000811BF">
        <w:rPr>
          <w:color w:val="000000" w:themeColor="text1"/>
          <w:lang w:val="en-GB"/>
        </w:rPr>
        <w:t>, sometimes also including fractures, digestive or respiratory problems</w:t>
      </w:r>
      <w:r w:rsidR="00C32E74">
        <w:rPr>
          <w:color w:val="000000" w:themeColor="text1"/>
          <w:lang w:val="en-GB"/>
        </w:rPr>
        <w:t>.</w:t>
      </w:r>
      <w:r w:rsidR="004A11D6" w:rsidRPr="00C32E74">
        <w:rPr>
          <w:rStyle w:val="FootnoteReference"/>
          <w:color w:val="000000" w:themeColor="text1"/>
          <w:sz w:val="20"/>
          <w:lang w:val="en-GB"/>
        </w:rPr>
        <w:footnoteReference w:id="89"/>
      </w:r>
    </w:p>
    <w:p w14:paraId="1FC20E47" w14:textId="05928817" w:rsidR="00CB5595" w:rsidRPr="000811BF" w:rsidRDefault="00CB5595" w:rsidP="00C32E74">
      <w:pPr>
        <w:pStyle w:val="SingleTxtG"/>
        <w:ind w:left="1701"/>
        <w:rPr>
          <w:color w:val="000000" w:themeColor="text1"/>
          <w:lang w:val="en-GB"/>
        </w:rPr>
      </w:pPr>
      <w:r w:rsidRPr="000811BF">
        <w:rPr>
          <w:i/>
          <w:iCs/>
          <w:color w:val="000000" w:themeColor="text1"/>
          <w:lang w:val="en-GB"/>
        </w:rPr>
        <w:t xml:space="preserve">“The symptoms [I have]: </w:t>
      </w:r>
      <w:r w:rsidR="00F06AD7" w:rsidRPr="000811BF">
        <w:rPr>
          <w:i/>
          <w:iCs/>
          <w:color w:val="000000" w:themeColor="text1"/>
          <w:lang w:val="en-GB"/>
        </w:rPr>
        <w:t>diarrhoea</w:t>
      </w:r>
      <w:r w:rsidRPr="000811BF">
        <w:rPr>
          <w:i/>
          <w:iCs/>
          <w:color w:val="000000" w:themeColor="text1"/>
          <w:lang w:val="en-GB"/>
        </w:rPr>
        <w:t xml:space="preserve">, vomiting, dizziness, reddish urine, weakness […] they will not stop. The doctor is worried because even he can see that I am not getting better. […] I do not receive any psychological </w:t>
      </w:r>
      <w:r w:rsidR="00604B4A">
        <w:rPr>
          <w:i/>
          <w:iCs/>
          <w:color w:val="000000" w:themeColor="text1"/>
          <w:lang w:val="en-GB"/>
        </w:rPr>
        <w:t>support</w:t>
      </w:r>
      <w:r w:rsidRPr="000811BF">
        <w:rPr>
          <w:i/>
          <w:iCs/>
          <w:color w:val="000000" w:themeColor="text1"/>
          <w:lang w:val="en-GB"/>
        </w:rPr>
        <w:t>, it would be better if I did, but I have</w:t>
      </w:r>
      <w:r w:rsidR="002A0868" w:rsidRPr="000811BF">
        <w:rPr>
          <w:i/>
          <w:iCs/>
          <w:color w:val="000000" w:themeColor="text1"/>
          <w:lang w:val="en-GB"/>
        </w:rPr>
        <w:t xml:space="preserve"> </w:t>
      </w:r>
      <w:r w:rsidRPr="000811BF">
        <w:rPr>
          <w:i/>
          <w:iCs/>
          <w:color w:val="000000" w:themeColor="text1"/>
          <w:lang w:val="en-GB"/>
        </w:rPr>
        <w:t>to find someone who can help me</w:t>
      </w:r>
      <w:r w:rsidR="00C32E74">
        <w:rPr>
          <w:i/>
          <w:iCs/>
          <w:color w:val="000000" w:themeColor="text1"/>
          <w:lang w:val="en-GB"/>
        </w:rPr>
        <w:t>”.</w:t>
      </w:r>
      <w:r w:rsidR="002A0868" w:rsidRPr="00C32E74">
        <w:rPr>
          <w:rStyle w:val="FootnoteReference"/>
          <w:iCs/>
          <w:color w:val="000000" w:themeColor="text1"/>
          <w:sz w:val="20"/>
          <w:lang w:val="en-GB"/>
        </w:rPr>
        <w:footnoteReference w:id="90"/>
      </w:r>
    </w:p>
    <w:p w14:paraId="72AA835F" w14:textId="57DA440B" w:rsidR="002A0868" w:rsidRPr="000811BF" w:rsidRDefault="00813110" w:rsidP="002A0868">
      <w:pPr>
        <w:pStyle w:val="SingleTxtG"/>
        <w:rPr>
          <w:color w:val="000000" w:themeColor="text1"/>
          <w:lang w:val="en-GB"/>
        </w:rPr>
      </w:pPr>
      <w:r>
        <w:rPr>
          <w:color w:val="000000" w:themeColor="text1"/>
          <w:lang w:val="en-GB"/>
        </w:rPr>
        <w:t xml:space="preserve">498. </w:t>
      </w:r>
      <w:r w:rsidR="002A0868" w:rsidRPr="000811BF">
        <w:rPr>
          <w:color w:val="000000" w:themeColor="text1"/>
          <w:lang w:val="en-GB"/>
        </w:rPr>
        <w:t>Several men also described symptoms of depression and suicidal thoughts</w:t>
      </w:r>
      <w:r w:rsidR="00C32E74">
        <w:rPr>
          <w:color w:val="000000" w:themeColor="text1"/>
          <w:lang w:val="en-GB"/>
        </w:rPr>
        <w:t>.</w:t>
      </w:r>
      <w:r w:rsidR="002A0868" w:rsidRPr="00C32E74">
        <w:rPr>
          <w:rStyle w:val="FootnoteReference"/>
          <w:color w:val="000000" w:themeColor="text1"/>
          <w:sz w:val="20"/>
          <w:lang w:val="en-GB"/>
        </w:rPr>
        <w:footnoteReference w:id="91"/>
      </w:r>
    </w:p>
    <w:p w14:paraId="70153377" w14:textId="77777777" w:rsidR="00C32E74" w:rsidRDefault="00813110" w:rsidP="00B94580">
      <w:pPr>
        <w:pStyle w:val="SingleTxtG"/>
        <w:rPr>
          <w:iCs/>
          <w:color w:val="000000" w:themeColor="text1"/>
          <w:lang w:val="en-GB"/>
        </w:rPr>
      </w:pPr>
      <w:r>
        <w:rPr>
          <w:iCs/>
          <w:color w:val="000000" w:themeColor="text1"/>
          <w:lang w:val="en-GB"/>
        </w:rPr>
        <w:lastRenderedPageBreak/>
        <w:t xml:space="preserve">499. </w:t>
      </w:r>
      <w:r w:rsidR="002A0868" w:rsidRPr="000811BF">
        <w:rPr>
          <w:iCs/>
          <w:color w:val="000000" w:themeColor="text1"/>
          <w:lang w:val="en-GB"/>
        </w:rPr>
        <w:t xml:space="preserve">A man </w:t>
      </w:r>
      <w:r w:rsidR="00970D46" w:rsidRPr="000811BF">
        <w:rPr>
          <w:iCs/>
          <w:color w:val="000000" w:themeColor="text1"/>
          <w:lang w:val="en-GB"/>
        </w:rPr>
        <w:t xml:space="preserve">detained by </w:t>
      </w:r>
      <w:r w:rsidR="002A0868" w:rsidRPr="000811BF">
        <w:rPr>
          <w:iCs/>
          <w:color w:val="000000" w:themeColor="text1"/>
          <w:lang w:val="en-GB"/>
        </w:rPr>
        <w:t xml:space="preserve">the SNR who suffered various forms of violence, including violence targeting his genitals, explained that he first thought of dying </w:t>
      </w:r>
      <w:r w:rsidR="00970D46" w:rsidRPr="000811BF">
        <w:rPr>
          <w:iCs/>
          <w:color w:val="000000" w:themeColor="text1"/>
          <w:lang w:val="en-GB"/>
        </w:rPr>
        <w:t>after</w:t>
      </w:r>
      <w:r w:rsidR="002A0868" w:rsidRPr="000811BF">
        <w:rPr>
          <w:iCs/>
          <w:color w:val="000000" w:themeColor="text1"/>
          <w:lang w:val="en-GB"/>
        </w:rPr>
        <w:t xml:space="preserve"> </w:t>
      </w:r>
      <w:r w:rsidR="00970D46" w:rsidRPr="000811BF">
        <w:rPr>
          <w:iCs/>
          <w:color w:val="000000" w:themeColor="text1"/>
          <w:lang w:val="en-GB"/>
        </w:rPr>
        <w:t>escaping</w:t>
      </w:r>
      <w:r w:rsidR="002A0868" w:rsidRPr="000811BF">
        <w:rPr>
          <w:iCs/>
          <w:color w:val="000000" w:themeColor="text1"/>
          <w:lang w:val="en-GB"/>
        </w:rPr>
        <w:t xml:space="preserve">, before seeking asylum in another country: </w:t>
      </w:r>
    </w:p>
    <w:p w14:paraId="127EC717" w14:textId="733395EC" w:rsidR="002A0868" w:rsidRPr="000811BF" w:rsidRDefault="002A0868" w:rsidP="00C32E74">
      <w:pPr>
        <w:pStyle w:val="SingleTxtG"/>
        <w:ind w:left="1701"/>
        <w:rPr>
          <w:iCs/>
          <w:color w:val="000000" w:themeColor="text1"/>
          <w:lang w:val="en-GB"/>
        </w:rPr>
      </w:pPr>
      <w:r w:rsidRPr="00C32E74">
        <w:rPr>
          <w:i/>
          <w:iCs/>
          <w:color w:val="000000" w:themeColor="text1"/>
          <w:lang w:val="en-GB"/>
        </w:rPr>
        <w:t>“</w:t>
      </w:r>
      <w:r w:rsidRPr="000811BF">
        <w:rPr>
          <w:i/>
          <w:color w:val="000000" w:themeColor="text1"/>
          <w:lang w:val="en-GB"/>
        </w:rPr>
        <w:t>My problem was not so much about having a place to live as about going to a place where I did not feel the need to end my life</w:t>
      </w:r>
      <w:r w:rsidR="00C32E74">
        <w:rPr>
          <w:i/>
          <w:color w:val="000000" w:themeColor="text1"/>
          <w:lang w:val="en-GB"/>
        </w:rPr>
        <w:t>”</w:t>
      </w:r>
      <w:r w:rsidRPr="000811BF">
        <w:rPr>
          <w:iCs/>
          <w:color w:val="000000" w:themeColor="text1"/>
          <w:lang w:val="en-GB"/>
        </w:rPr>
        <w:t>.</w:t>
      </w:r>
      <w:r w:rsidR="00970D46" w:rsidRPr="00C32E74">
        <w:rPr>
          <w:rStyle w:val="FootnoteReference"/>
          <w:iCs/>
          <w:color w:val="000000" w:themeColor="text1"/>
          <w:sz w:val="20"/>
          <w:lang w:val="en-GB"/>
        </w:rPr>
        <w:footnoteReference w:id="92"/>
      </w:r>
    </w:p>
    <w:p w14:paraId="24A88B0F" w14:textId="52F634C4" w:rsidR="00970D46" w:rsidRPr="000811BF" w:rsidRDefault="00813110" w:rsidP="00B94580">
      <w:pPr>
        <w:pStyle w:val="SingleTxtG"/>
        <w:rPr>
          <w:color w:val="000000" w:themeColor="text1"/>
          <w:lang w:val="en-GB"/>
        </w:rPr>
      </w:pPr>
      <w:r>
        <w:rPr>
          <w:color w:val="000000" w:themeColor="text1"/>
          <w:lang w:val="en-GB"/>
        </w:rPr>
        <w:t xml:space="preserve">500. </w:t>
      </w:r>
      <w:r w:rsidR="00970D46" w:rsidRPr="000811BF">
        <w:rPr>
          <w:color w:val="000000" w:themeColor="text1"/>
          <w:lang w:val="en-GB"/>
        </w:rPr>
        <w:t>Men who were raped expressed shame and fear of stigma</w:t>
      </w:r>
      <w:r w:rsidR="00604B4A">
        <w:rPr>
          <w:color w:val="000000" w:themeColor="text1"/>
          <w:lang w:val="en-GB"/>
        </w:rPr>
        <w:t>tisation</w:t>
      </w:r>
      <w:r w:rsidR="00970D46" w:rsidRPr="000811BF">
        <w:rPr>
          <w:color w:val="000000" w:themeColor="text1"/>
          <w:lang w:val="en-GB"/>
        </w:rPr>
        <w:t xml:space="preserve"> and marginalization associated with the kind of violence to which they were subjected</w:t>
      </w:r>
      <w:r w:rsidR="00C32E74">
        <w:rPr>
          <w:color w:val="000000" w:themeColor="text1"/>
          <w:lang w:val="en-GB"/>
        </w:rPr>
        <w:t>.</w:t>
      </w:r>
      <w:r w:rsidR="00970D46" w:rsidRPr="00C32E74">
        <w:rPr>
          <w:rStyle w:val="FootnoteReference"/>
          <w:color w:val="000000" w:themeColor="text1"/>
          <w:sz w:val="20"/>
          <w:lang w:val="en-GB"/>
        </w:rPr>
        <w:footnoteReference w:id="93"/>
      </w:r>
    </w:p>
    <w:p w14:paraId="70EB7FC9" w14:textId="7B5954B3" w:rsidR="00970D46" w:rsidRPr="000811BF" w:rsidRDefault="001F3235" w:rsidP="00C32E74">
      <w:pPr>
        <w:pStyle w:val="SingleTxtG"/>
        <w:ind w:left="1701"/>
        <w:rPr>
          <w:color w:val="000000" w:themeColor="text1"/>
          <w:lang w:val="en-GB"/>
        </w:rPr>
      </w:pPr>
      <w:r w:rsidRPr="00C32E74">
        <w:rPr>
          <w:i/>
          <w:color w:val="000000" w:themeColor="text1"/>
          <w:lang w:val="en-GB"/>
        </w:rPr>
        <w:t>“</w:t>
      </w:r>
      <w:r w:rsidR="00970D46" w:rsidRPr="000811BF">
        <w:rPr>
          <w:i/>
          <w:iCs/>
          <w:color w:val="000000" w:themeColor="text1"/>
          <w:lang w:val="en-GB"/>
        </w:rPr>
        <w:t xml:space="preserve">Some things are shameful and one thinks that, if recounted, those </w:t>
      </w:r>
      <w:r w:rsidRPr="000811BF">
        <w:rPr>
          <w:i/>
          <w:iCs/>
          <w:color w:val="000000" w:themeColor="text1"/>
          <w:lang w:val="en-GB"/>
        </w:rPr>
        <w:t>who hear about them</w:t>
      </w:r>
      <w:r w:rsidR="00015040" w:rsidRPr="000811BF">
        <w:rPr>
          <w:i/>
          <w:iCs/>
          <w:color w:val="000000" w:themeColor="text1"/>
          <w:lang w:val="en-GB"/>
        </w:rPr>
        <w:t xml:space="preserve"> will start treating you differently</w:t>
      </w:r>
      <w:r w:rsidRPr="000811BF">
        <w:rPr>
          <w:i/>
          <w:iCs/>
          <w:color w:val="000000" w:themeColor="text1"/>
          <w:lang w:val="en-GB"/>
        </w:rPr>
        <w:t xml:space="preserve">. […] Even when I talked about it, it was not easy because I feared it </w:t>
      </w:r>
      <w:r w:rsidR="00015040" w:rsidRPr="000811BF">
        <w:rPr>
          <w:i/>
          <w:iCs/>
          <w:color w:val="000000" w:themeColor="text1"/>
          <w:lang w:val="en-GB"/>
        </w:rPr>
        <w:t>would</w:t>
      </w:r>
      <w:r w:rsidRPr="000811BF">
        <w:rPr>
          <w:i/>
          <w:iCs/>
          <w:color w:val="000000" w:themeColor="text1"/>
          <w:lang w:val="en-GB"/>
        </w:rPr>
        <w:t xml:space="preserve"> </w:t>
      </w:r>
      <w:r w:rsidR="00015040" w:rsidRPr="000811BF">
        <w:rPr>
          <w:i/>
          <w:iCs/>
          <w:color w:val="000000" w:themeColor="text1"/>
          <w:lang w:val="en-GB"/>
        </w:rPr>
        <w:t>spread</w:t>
      </w:r>
      <w:r w:rsidRPr="000811BF">
        <w:rPr>
          <w:i/>
          <w:iCs/>
          <w:color w:val="000000" w:themeColor="text1"/>
          <w:lang w:val="en-GB"/>
        </w:rPr>
        <w:t xml:space="preserve"> outside. […] You do not want to be </w:t>
      </w:r>
      <w:r w:rsidR="00015040" w:rsidRPr="000811BF">
        <w:rPr>
          <w:i/>
          <w:iCs/>
          <w:color w:val="000000" w:themeColor="text1"/>
          <w:lang w:val="en-GB"/>
        </w:rPr>
        <w:t>known</w:t>
      </w:r>
      <w:r w:rsidRPr="000811BF">
        <w:rPr>
          <w:i/>
          <w:iCs/>
          <w:color w:val="000000" w:themeColor="text1"/>
          <w:lang w:val="en-GB"/>
        </w:rPr>
        <w:t xml:space="preserve"> </w:t>
      </w:r>
      <w:r w:rsidR="00015040" w:rsidRPr="000811BF">
        <w:rPr>
          <w:i/>
          <w:iCs/>
          <w:color w:val="000000" w:themeColor="text1"/>
          <w:lang w:val="en-GB"/>
        </w:rPr>
        <w:t>o</w:t>
      </w:r>
      <w:r w:rsidR="00C32E74">
        <w:rPr>
          <w:i/>
          <w:iCs/>
          <w:color w:val="000000" w:themeColor="text1"/>
          <w:lang w:val="en-GB"/>
        </w:rPr>
        <w:t>n the street as ‘</w:t>
      </w:r>
      <w:r w:rsidRPr="000811BF">
        <w:rPr>
          <w:i/>
          <w:iCs/>
          <w:color w:val="000000" w:themeColor="text1"/>
          <w:lang w:val="en-GB"/>
        </w:rPr>
        <w:t>the one who was taken from behind</w:t>
      </w:r>
      <w:r w:rsidR="00C32E74">
        <w:rPr>
          <w:i/>
          <w:iCs/>
          <w:color w:val="000000" w:themeColor="text1"/>
          <w:lang w:val="en-GB"/>
        </w:rPr>
        <w:t>’</w:t>
      </w:r>
      <w:r w:rsidRPr="000811BF">
        <w:rPr>
          <w:i/>
          <w:iCs/>
          <w:color w:val="000000" w:themeColor="text1"/>
          <w:lang w:val="en-GB"/>
        </w:rPr>
        <w:t xml:space="preserve">. If what happened to me should be known </w:t>
      </w:r>
      <w:r w:rsidR="00015040" w:rsidRPr="000811BF">
        <w:rPr>
          <w:i/>
          <w:iCs/>
          <w:color w:val="000000" w:themeColor="text1"/>
          <w:lang w:val="en-GB"/>
        </w:rPr>
        <w:t>in</w:t>
      </w:r>
      <w:r w:rsidRPr="000811BF">
        <w:rPr>
          <w:i/>
          <w:iCs/>
          <w:color w:val="000000" w:themeColor="text1"/>
          <w:lang w:val="en-GB"/>
        </w:rPr>
        <w:t xml:space="preserve"> </w:t>
      </w:r>
      <w:r w:rsidR="00015040" w:rsidRPr="000811BF">
        <w:rPr>
          <w:i/>
          <w:iCs/>
          <w:color w:val="000000" w:themeColor="text1"/>
          <w:lang w:val="en-GB"/>
        </w:rPr>
        <w:t xml:space="preserve">today’s </w:t>
      </w:r>
      <w:r w:rsidRPr="000811BF">
        <w:rPr>
          <w:i/>
          <w:iCs/>
          <w:color w:val="000000" w:themeColor="text1"/>
          <w:lang w:val="en-GB"/>
        </w:rPr>
        <w:t>society, it would be considered something dishono</w:t>
      </w:r>
      <w:r w:rsidR="00015040" w:rsidRPr="000811BF">
        <w:rPr>
          <w:i/>
          <w:iCs/>
          <w:color w:val="000000" w:themeColor="text1"/>
          <w:lang w:val="en-GB"/>
        </w:rPr>
        <w:t>u</w:t>
      </w:r>
      <w:r w:rsidRPr="000811BF">
        <w:rPr>
          <w:i/>
          <w:iCs/>
          <w:color w:val="000000" w:themeColor="text1"/>
          <w:lang w:val="en-GB"/>
        </w:rPr>
        <w:t xml:space="preserve">rable, for which one </w:t>
      </w:r>
      <w:r w:rsidR="00015040" w:rsidRPr="000811BF">
        <w:rPr>
          <w:i/>
          <w:iCs/>
          <w:color w:val="000000" w:themeColor="text1"/>
          <w:lang w:val="en-GB"/>
        </w:rPr>
        <w:t>could</w:t>
      </w:r>
      <w:r w:rsidRPr="000811BF">
        <w:rPr>
          <w:i/>
          <w:iCs/>
          <w:color w:val="000000" w:themeColor="text1"/>
          <w:lang w:val="en-GB"/>
        </w:rPr>
        <w:t xml:space="preserve"> be banished from society […] I </w:t>
      </w:r>
      <w:r w:rsidR="00015040" w:rsidRPr="000811BF">
        <w:rPr>
          <w:i/>
          <w:iCs/>
          <w:color w:val="000000" w:themeColor="text1"/>
          <w:lang w:val="en-GB"/>
        </w:rPr>
        <w:t xml:space="preserve">would </w:t>
      </w:r>
      <w:r w:rsidRPr="000811BF">
        <w:rPr>
          <w:i/>
          <w:iCs/>
          <w:color w:val="000000" w:themeColor="text1"/>
          <w:lang w:val="en-GB"/>
        </w:rPr>
        <w:t xml:space="preserve">do not know where </w:t>
      </w:r>
      <w:r w:rsidR="00015040" w:rsidRPr="000811BF">
        <w:rPr>
          <w:i/>
          <w:iCs/>
          <w:color w:val="000000" w:themeColor="text1"/>
          <w:lang w:val="en-GB"/>
        </w:rPr>
        <w:t>to</w:t>
      </w:r>
      <w:r w:rsidRPr="000811BF">
        <w:rPr>
          <w:i/>
          <w:iCs/>
          <w:color w:val="000000" w:themeColor="text1"/>
          <w:lang w:val="en-GB"/>
        </w:rPr>
        <w:t xml:space="preserve"> go if that were to be known</w:t>
      </w:r>
      <w:r w:rsidR="00C32E74">
        <w:rPr>
          <w:i/>
          <w:iCs/>
          <w:color w:val="000000" w:themeColor="text1"/>
          <w:lang w:val="en-GB"/>
        </w:rPr>
        <w:t>”</w:t>
      </w:r>
      <w:r w:rsidR="00015040" w:rsidRPr="000811BF">
        <w:rPr>
          <w:color w:val="000000" w:themeColor="text1"/>
          <w:lang w:val="en-GB"/>
        </w:rPr>
        <w:t>.</w:t>
      </w:r>
      <w:r w:rsidRPr="00C32E74">
        <w:rPr>
          <w:rStyle w:val="FootnoteReference"/>
          <w:iCs/>
          <w:color w:val="000000" w:themeColor="text1"/>
          <w:sz w:val="20"/>
          <w:lang w:val="en-GB"/>
        </w:rPr>
        <w:footnoteReference w:id="94"/>
      </w:r>
    </w:p>
    <w:p w14:paraId="15922AD9" w14:textId="2F7CAB18" w:rsidR="002E71AC" w:rsidRPr="000811BF" w:rsidRDefault="00813110" w:rsidP="002E71AC">
      <w:pPr>
        <w:pStyle w:val="SingleTxtG"/>
        <w:rPr>
          <w:color w:val="000000" w:themeColor="text1"/>
          <w:lang w:val="en-GB"/>
        </w:rPr>
      </w:pPr>
      <w:r>
        <w:rPr>
          <w:color w:val="000000" w:themeColor="text1"/>
          <w:lang w:val="en-GB"/>
        </w:rPr>
        <w:t xml:space="preserve">501. </w:t>
      </w:r>
      <w:r w:rsidR="002E71AC" w:rsidRPr="000811BF">
        <w:rPr>
          <w:color w:val="000000" w:themeColor="text1"/>
          <w:lang w:val="en-GB"/>
        </w:rPr>
        <w:t xml:space="preserve">Sexual violence has also had a significant impact on </w:t>
      </w:r>
      <w:r w:rsidR="00EA17B7" w:rsidRPr="000811BF">
        <w:rPr>
          <w:color w:val="000000" w:themeColor="text1"/>
          <w:lang w:val="en-GB"/>
        </w:rPr>
        <w:t xml:space="preserve">these </w:t>
      </w:r>
      <w:r w:rsidR="002E71AC" w:rsidRPr="000811BF">
        <w:rPr>
          <w:color w:val="000000" w:themeColor="text1"/>
          <w:lang w:val="en-GB"/>
        </w:rPr>
        <w:t>men</w:t>
      </w:r>
      <w:r w:rsidR="00EA17B7" w:rsidRPr="000811BF">
        <w:rPr>
          <w:color w:val="000000" w:themeColor="text1"/>
          <w:lang w:val="en-GB"/>
        </w:rPr>
        <w:t>’</w:t>
      </w:r>
      <w:r w:rsidR="002E71AC" w:rsidRPr="000811BF">
        <w:rPr>
          <w:color w:val="000000" w:themeColor="text1"/>
          <w:lang w:val="en-GB"/>
        </w:rPr>
        <w:t xml:space="preserve">s sexuality and </w:t>
      </w:r>
      <w:r w:rsidR="00EA17B7" w:rsidRPr="000811BF">
        <w:rPr>
          <w:color w:val="000000" w:themeColor="text1"/>
          <w:lang w:val="en-GB"/>
        </w:rPr>
        <w:t xml:space="preserve">their </w:t>
      </w:r>
      <w:r w:rsidR="002E71AC" w:rsidRPr="000811BF">
        <w:rPr>
          <w:color w:val="000000" w:themeColor="text1"/>
          <w:lang w:val="en-GB"/>
        </w:rPr>
        <w:t>emotional lives</w:t>
      </w:r>
      <w:r w:rsidR="00C32E74">
        <w:rPr>
          <w:color w:val="000000" w:themeColor="text1"/>
          <w:lang w:val="en-GB"/>
        </w:rPr>
        <w:t>.</w:t>
      </w:r>
      <w:r w:rsidR="00EA17B7" w:rsidRPr="00C32E74">
        <w:rPr>
          <w:rStyle w:val="FootnoteReference"/>
          <w:color w:val="000000" w:themeColor="text1"/>
          <w:sz w:val="20"/>
          <w:lang w:val="en-GB"/>
        </w:rPr>
        <w:footnoteReference w:id="95"/>
      </w:r>
    </w:p>
    <w:p w14:paraId="23827ECE" w14:textId="257FF01C" w:rsidR="00CE6745" w:rsidRPr="000811BF" w:rsidRDefault="00CE6745" w:rsidP="00C32E74">
      <w:pPr>
        <w:pStyle w:val="SingleTxtG"/>
        <w:ind w:left="1701"/>
        <w:rPr>
          <w:color w:val="000000" w:themeColor="text1"/>
          <w:lang w:val="en-GB"/>
        </w:rPr>
      </w:pPr>
      <w:r w:rsidRPr="000811BF">
        <w:rPr>
          <w:color w:val="000000" w:themeColor="text1"/>
          <w:lang w:val="en-GB"/>
        </w:rPr>
        <w:t>“</w:t>
      </w:r>
      <w:r w:rsidRPr="000811BF">
        <w:rPr>
          <w:i/>
          <w:iCs/>
          <w:color w:val="000000" w:themeColor="text1"/>
          <w:lang w:val="en-GB"/>
        </w:rPr>
        <w:t xml:space="preserve">I </w:t>
      </w:r>
      <w:r w:rsidR="00EA17B7" w:rsidRPr="000811BF">
        <w:rPr>
          <w:i/>
          <w:iCs/>
          <w:color w:val="000000" w:themeColor="text1"/>
          <w:lang w:val="en-GB"/>
        </w:rPr>
        <w:t>no longer</w:t>
      </w:r>
      <w:r w:rsidRPr="000811BF">
        <w:rPr>
          <w:i/>
          <w:iCs/>
          <w:color w:val="000000" w:themeColor="text1"/>
          <w:lang w:val="en-GB"/>
        </w:rPr>
        <w:t xml:space="preserve"> want to make love. They touched sensitive parts. […] I cannot make love to a woman because images of torture</w:t>
      </w:r>
      <w:r w:rsidR="00EA17B7" w:rsidRPr="000811BF">
        <w:rPr>
          <w:i/>
          <w:iCs/>
          <w:color w:val="000000" w:themeColor="text1"/>
          <w:lang w:val="en-GB"/>
        </w:rPr>
        <w:t xml:space="preserve"> come back to me</w:t>
      </w:r>
      <w:r w:rsidRPr="000811BF">
        <w:rPr>
          <w:color w:val="000000" w:themeColor="text1"/>
          <w:lang w:val="en-GB"/>
        </w:rPr>
        <w:t>”</w:t>
      </w:r>
      <w:r w:rsidR="00C32E74">
        <w:rPr>
          <w:color w:val="000000" w:themeColor="text1"/>
          <w:lang w:val="en-GB"/>
        </w:rPr>
        <w:t>.</w:t>
      </w:r>
      <w:r w:rsidR="00EA17B7" w:rsidRPr="00C32E74">
        <w:rPr>
          <w:rStyle w:val="FootnoteReference"/>
          <w:color w:val="000000" w:themeColor="text1"/>
          <w:sz w:val="20"/>
          <w:lang w:val="en-GB"/>
        </w:rPr>
        <w:footnoteReference w:id="96"/>
      </w:r>
    </w:p>
    <w:p w14:paraId="6047729C" w14:textId="4201016B" w:rsidR="00CE6745" w:rsidRPr="000811BF" w:rsidRDefault="00813110" w:rsidP="00CE6745">
      <w:pPr>
        <w:pStyle w:val="SingleTxtG"/>
        <w:rPr>
          <w:color w:val="000000" w:themeColor="text1"/>
          <w:lang w:val="en-GB"/>
        </w:rPr>
      </w:pPr>
      <w:r>
        <w:rPr>
          <w:color w:val="000000" w:themeColor="text1"/>
          <w:lang w:val="en-GB"/>
        </w:rPr>
        <w:t xml:space="preserve">502. </w:t>
      </w:r>
      <w:r w:rsidR="00CE6745" w:rsidRPr="000811BF">
        <w:rPr>
          <w:color w:val="000000" w:themeColor="text1"/>
          <w:lang w:val="en-GB"/>
        </w:rPr>
        <w:t xml:space="preserve">Survivors also expressed doubts </w:t>
      </w:r>
      <w:r w:rsidR="00EA17B7" w:rsidRPr="000811BF">
        <w:rPr>
          <w:color w:val="000000" w:themeColor="text1"/>
          <w:lang w:val="en-GB"/>
        </w:rPr>
        <w:t>on</w:t>
      </w:r>
      <w:r w:rsidR="00CE6745" w:rsidRPr="000811BF">
        <w:rPr>
          <w:color w:val="000000" w:themeColor="text1"/>
          <w:lang w:val="en-GB"/>
        </w:rPr>
        <w:t xml:space="preserve"> their ability to perform the valued and expected social functions of a man in Burundian society, particularly within </w:t>
      </w:r>
      <w:r w:rsidR="00EA17B7" w:rsidRPr="000811BF">
        <w:rPr>
          <w:color w:val="000000" w:themeColor="text1"/>
          <w:lang w:val="en-GB"/>
        </w:rPr>
        <w:t xml:space="preserve">the context of </w:t>
      </w:r>
      <w:r w:rsidR="00CE6745" w:rsidRPr="000811BF">
        <w:rPr>
          <w:color w:val="000000" w:themeColor="text1"/>
          <w:lang w:val="en-GB"/>
        </w:rPr>
        <w:t>marriage and family.</w:t>
      </w:r>
    </w:p>
    <w:p w14:paraId="3004B958" w14:textId="246263C2" w:rsidR="00CE6745" w:rsidRPr="000811BF" w:rsidRDefault="00CE6745" w:rsidP="00C32E74">
      <w:pPr>
        <w:pStyle w:val="SingleTxtG"/>
        <w:ind w:left="1701"/>
        <w:rPr>
          <w:color w:val="000000" w:themeColor="text1"/>
          <w:lang w:val="en-GB"/>
        </w:rPr>
      </w:pPr>
      <w:r w:rsidRPr="00C32E74">
        <w:rPr>
          <w:i/>
          <w:color w:val="000000" w:themeColor="text1"/>
          <w:lang w:val="en-GB"/>
        </w:rPr>
        <w:t>“</w:t>
      </w:r>
      <w:r w:rsidRPr="000811BF">
        <w:rPr>
          <w:i/>
          <w:iCs/>
          <w:color w:val="000000" w:themeColor="text1"/>
          <w:lang w:val="en-GB"/>
        </w:rPr>
        <w:t xml:space="preserve">When I think back to what happened [violence </w:t>
      </w:r>
      <w:r w:rsidR="00EA17B7" w:rsidRPr="000811BF">
        <w:rPr>
          <w:i/>
          <w:iCs/>
          <w:color w:val="000000" w:themeColor="text1"/>
          <w:lang w:val="en-GB"/>
        </w:rPr>
        <w:t>on</w:t>
      </w:r>
      <w:r w:rsidRPr="000811BF">
        <w:rPr>
          <w:i/>
          <w:iCs/>
          <w:color w:val="000000" w:themeColor="text1"/>
          <w:lang w:val="en-GB"/>
        </w:rPr>
        <w:t xml:space="preserve"> genitals], it hurts a lot. And the idea of taking a wife is not something I envision because I do</w:t>
      </w:r>
      <w:r w:rsidR="00EA17B7" w:rsidRPr="000811BF">
        <w:rPr>
          <w:i/>
          <w:iCs/>
          <w:color w:val="000000" w:themeColor="text1"/>
          <w:lang w:val="en-GB"/>
        </w:rPr>
        <w:t xml:space="preserve"> not</w:t>
      </w:r>
      <w:r w:rsidRPr="000811BF">
        <w:rPr>
          <w:i/>
          <w:iCs/>
          <w:color w:val="000000" w:themeColor="text1"/>
          <w:lang w:val="en-GB"/>
        </w:rPr>
        <w:t xml:space="preserve"> know if I could </w:t>
      </w:r>
      <w:r w:rsidR="00EA17B7" w:rsidRPr="000811BF">
        <w:rPr>
          <w:i/>
          <w:iCs/>
          <w:color w:val="000000" w:themeColor="text1"/>
          <w:lang w:val="en-GB"/>
        </w:rPr>
        <w:t>manage</w:t>
      </w:r>
      <w:r w:rsidR="00C32E74">
        <w:rPr>
          <w:i/>
          <w:iCs/>
          <w:color w:val="000000" w:themeColor="text1"/>
          <w:lang w:val="en-GB"/>
        </w:rPr>
        <w:t>”</w:t>
      </w:r>
      <w:r w:rsidRPr="000811BF">
        <w:rPr>
          <w:color w:val="000000" w:themeColor="text1"/>
          <w:lang w:val="en-GB"/>
        </w:rPr>
        <w:t>.</w:t>
      </w:r>
      <w:r w:rsidR="00EA17B7" w:rsidRPr="00C32E74">
        <w:rPr>
          <w:rStyle w:val="FootnoteReference"/>
          <w:iCs/>
          <w:color w:val="000000" w:themeColor="text1"/>
          <w:sz w:val="20"/>
          <w:lang w:val="en-GB"/>
        </w:rPr>
        <w:footnoteReference w:id="97"/>
      </w:r>
    </w:p>
    <w:p w14:paraId="4047234F" w14:textId="7ED662DC" w:rsidR="00B94580" w:rsidRPr="000811BF" w:rsidRDefault="00813110" w:rsidP="00B94580">
      <w:pPr>
        <w:pStyle w:val="SingleTxtG"/>
        <w:rPr>
          <w:color w:val="000000" w:themeColor="text1"/>
          <w:lang w:val="en-GB"/>
        </w:rPr>
      </w:pPr>
      <w:r>
        <w:rPr>
          <w:color w:val="000000" w:themeColor="text1"/>
          <w:lang w:val="en-GB"/>
        </w:rPr>
        <w:t xml:space="preserve">503. </w:t>
      </w:r>
      <w:r w:rsidR="00CE6745" w:rsidRPr="000811BF">
        <w:rPr>
          <w:color w:val="000000" w:themeColor="text1"/>
          <w:lang w:val="en-GB"/>
        </w:rPr>
        <w:t xml:space="preserve">In Burundian culture, marriage is </w:t>
      </w:r>
      <w:r w:rsidR="009D71F0" w:rsidRPr="000811BF">
        <w:rPr>
          <w:color w:val="000000" w:themeColor="text1"/>
          <w:lang w:val="en-GB"/>
        </w:rPr>
        <w:t>a</w:t>
      </w:r>
      <w:r w:rsidR="00CE6745" w:rsidRPr="000811BF">
        <w:rPr>
          <w:color w:val="000000" w:themeColor="text1"/>
          <w:lang w:val="en-GB"/>
        </w:rPr>
        <w:t xml:space="preserve"> necessary step </w:t>
      </w:r>
      <w:r w:rsidR="009D71F0" w:rsidRPr="000811BF">
        <w:rPr>
          <w:color w:val="000000" w:themeColor="text1"/>
          <w:lang w:val="en-GB"/>
        </w:rPr>
        <w:t xml:space="preserve">for one </w:t>
      </w:r>
      <w:r w:rsidR="00CE6745" w:rsidRPr="000811BF">
        <w:rPr>
          <w:color w:val="000000" w:themeColor="text1"/>
          <w:lang w:val="en-GB"/>
        </w:rPr>
        <w:t>to be considered a successful man (or woman) in that it is the basis of the family. It is one of the most important traditional gender roles</w:t>
      </w:r>
      <w:r w:rsidR="00AC4D70" w:rsidRPr="000811BF">
        <w:rPr>
          <w:color w:val="000000" w:themeColor="text1"/>
          <w:lang w:val="en-GB"/>
        </w:rPr>
        <w:t>’ indicators</w:t>
      </w:r>
      <w:r w:rsidR="00C32E74">
        <w:rPr>
          <w:color w:val="000000" w:themeColor="text1"/>
          <w:lang w:val="en-GB"/>
        </w:rPr>
        <w:t>,</w:t>
      </w:r>
      <w:r w:rsidR="00AC4D70" w:rsidRPr="000811BF">
        <w:rPr>
          <w:rStyle w:val="FootnoteReference"/>
          <w:color w:val="000000" w:themeColor="text1"/>
          <w:lang w:val="en-GB"/>
        </w:rPr>
        <w:footnoteReference w:id="98"/>
      </w:r>
      <w:r w:rsidR="00CE6745" w:rsidRPr="000811BF">
        <w:rPr>
          <w:color w:val="000000" w:themeColor="text1"/>
          <w:lang w:val="en-GB"/>
        </w:rPr>
        <w:t xml:space="preserve"> and a couple is generally expected to have their first child within 18 months of marriage. I</w:t>
      </w:r>
      <w:r w:rsidR="00AC4D70" w:rsidRPr="000811BF">
        <w:rPr>
          <w:color w:val="000000" w:themeColor="text1"/>
          <w:lang w:val="en-GB"/>
        </w:rPr>
        <w:t>n a relationship, i</w:t>
      </w:r>
      <w:r w:rsidR="00CE6745" w:rsidRPr="000811BF">
        <w:rPr>
          <w:color w:val="000000" w:themeColor="text1"/>
          <w:lang w:val="en-GB"/>
        </w:rPr>
        <w:t xml:space="preserve">t is difficult to imagine that infertility can be </w:t>
      </w:r>
      <w:r w:rsidR="00AC4D70" w:rsidRPr="000811BF">
        <w:rPr>
          <w:color w:val="000000" w:themeColor="text1"/>
          <w:lang w:val="en-GB"/>
        </w:rPr>
        <w:t>caused by the</w:t>
      </w:r>
      <w:r w:rsidR="00CE6745" w:rsidRPr="000811BF">
        <w:rPr>
          <w:color w:val="000000" w:themeColor="text1"/>
          <w:lang w:val="en-GB"/>
        </w:rPr>
        <w:t xml:space="preserve"> man, the woman being generally held responsible. A study points out that a man</w:t>
      </w:r>
      <w:r w:rsidR="00AC4D70" w:rsidRPr="000811BF">
        <w:rPr>
          <w:color w:val="000000" w:themeColor="text1"/>
          <w:lang w:val="en-GB"/>
        </w:rPr>
        <w:t>’</w:t>
      </w:r>
      <w:r w:rsidR="00CE6745" w:rsidRPr="000811BF">
        <w:rPr>
          <w:color w:val="000000" w:themeColor="text1"/>
          <w:lang w:val="en-GB"/>
        </w:rPr>
        <w:t xml:space="preserve">s impotence can thus become a </w:t>
      </w:r>
      <w:r w:rsidR="00AC4D70" w:rsidRPr="000811BF">
        <w:rPr>
          <w:color w:val="000000" w:themeColor="text1"/>
          <w:lang w:val="en-GB"/>
        </w:rPr>
        <w:t xml:space="preserve">domestic violence </w:t>
      </w:r>
      <w:r w:rsidR="00CE6745" w:rsidRPr="000811BF">
        <w:rPr>
          <w:color w:val="000000" w:themeColor="text1"/>
          <w:lang w:val="en-GB"/>
        </w:rPr>
        <w:t>factor</w:t>
      </w:r>
      <w:r w:rsidR="00C32E74">
        <w:rPr>
          <w:color w:val="000000" w:themeColor="text1"/>
          <w:lang w:val="en-GB"/>
        </w:rPr>
        <w:t>.</w:t>
      </w:r>
      <w:r w:rsidR="00AC4D70" w:rsidRPr="00C32E74">
        <w:rPr>
          <w:rStyle w:val="FootnoteReference"/>
          <w:color w:val="000000" w:themeColor="text1"/>
          <w:sz w:val="20"/>
          <w:lang w:val="en-GB"/>
        </w:rPr>
        <w:footnoteReference w:id="99"/>
      </w:r>
      <w:r w:rsidR="00B94580" w:rsidRPr="000811BF">
        <w:rPr>
          <w:color w:val="000000" w:themeColor="text1"/>
          <w:lang w:val="en-GB"/>
        </w:rPr>
        <w:t xml:space="preserve"> </w:t>
      </w:r>
    </w:p>
    <w:p w14:paraId="04226C56" w14:textId="4D107D86" w:rsidR="009D71F0" w:rsidRPr="000811BF" w:rsidRDefault="009D71F0" w:rsidP="00C32E74">
      <w:pPr>
        <w:pStyle w:val="SingleTxtG"/>
        <w:ind w:left="1701"/>
        <w:rPr>
          <w:color w:val="000000" w:themeColor="text1"/>
          <w:highlight w:val="yellow"/>
          <w:lang w:val="en-GB"/>
        </w:rPr>
      </w:pPr>
      <w:r w:rsidRPr="00C32E74">
        <w:rPr>
          <w:i/>
          <w:color w:val="000000" w:themeColor="text1"/>
          <w:lang w:val="en-GB"/>
        </w:rPr>
        <w:t>“</w:t>
      </w:r>
      <w:r w:rsidRPr="000C7C69">
        <w:rPr>
          <w:i/>
          <w:iCs/>
          <w:color w:val="000000" w:themeColor="text1"/>
          <w:lang w:val="en-GB"/>
        </w:rPr>
        <w:t>Because of this injection [into t</w:t>
      </w:r>
      <w:r w:rsidR="00AC4D70" w:rsidRPr="000C7C69">
        <w:rPr>
          <w:i/>
          <w:iCs/>
          <w:color w:val="000000" w:themeColor="text1"/>
          <w:lang w:val="en-GB"/>
        </w:rPr>
        <w:t>he</w:t>
      </w:r>
      <w:r w:rsidRPr="000C7C69">
        <w:rPr>
          <w:i/>
          <w:iCs/>
          <w:color w:val="000000" w:themeColor="text1"/>
          <w:lang w:val="en-GB"/>
        </w:rPr>
        <w:t xml:space="preserve"> testicle], I</w:t>
      </w:r>
      <w:r w:rsidR="00AC4D70" w:rsidRPr="000C7C69">
        <w:rPr>
          <w:i/>
          <w:iCs/>
          <w:color w:val="000000" w:themeColor="text1"/>
          <w:lang w:val="en-GB"/>
        </w:rPr>
        <w:t xml:space="preserve"> a</w:t>
      </w:r>
      <w:r w:rsidRPr="000C7C69">
        <w:rPr>
          <w:i/>
          <w:iCs/>
          <w:color w:val="000000" w:themeColor="text1"/>
          <w:lang w:val="en-GB"/>
        </w:rPr>
        <w:t>m afraid I w</w:t>
      </w:r>
      <w:r w:rsidR="00AC4D70" w:rsidRPr="000C7C69">
        <w:rPr>
          <w:i/>
          <w:iCs/>
          <w:color w:val="000000" w:themeColor="text1"/>
          <w:lang w:val="en-GB"/>
        </w:rPr>
        <w:t>ill no</w:t>
      </w:r>
      <w:r w:rsidRPr="000C7C69">
        <w:rPr>
          <w:i/>
          <w:iCs/>
          <w:color w:val="000000" w:themeColor="text1"/>
          <w:lang w:val="en-GB"/>
        </w:rPr>
        <w:t>t be able to have children. I was in pain</w:t>
      </w:r>
      <w:r w:rsidR="00AC4D70" w:rsidRPr="000C7C69">
        <w:rPr>
          <w:i/>
          <w:iCs/>
          <w:color w:val="000000" w:themeColor="text1"/>
          <w:lang w:val="en-GB"/>
        </w:rPr>
        <w:t xml:space="preserve">, there was </w:t>
      </w:r>
      <w:r w:rsidRPr="000C7C69">
        <w:rPr>
          <w:i/>
          <w:iCs/>
          <w:color w:val="000000" w:themeColor="text1"/>
          <w:lang w:val="en-GB"/>
        </w:rPr>
        <w:t xml:space="preserve">pus coming out of my penis on its own and </w:t>
      </w:r>
      <w:r w:rsidR="00AC4D70" w:rsidRPr="000C7C69">
        <w:rPr>
          <w:i/>
          <w:iCs/>
          <w:color w:val="000000" w:themeColor="text1"/>
          <w:lang w:val="en-GB"/>
        </w:rPr>
        <w:t xml:space="preserve">I was in great pain </w:t>
      </w:r>
      <w:r w:rsidRPr="000C7C69">
        <w:rPr>
          <w:i/>
          <w:iCs/>
          <w:color w:val="000000" w:themeColor="text1"/>
          <w:lang w:val="en-GB"/>
        </w:rPr>
        <w:t>when I urinated</w:t>
      </w:r>
      <w:r w:rsidR="00C32E74">
        <w:rPr>
          <w:i/>
          <w:iCs/>
          <w:color w:val="000000" w:themeColor="text1"/>
          <w:lang w:val="en-GB"/>
        </w:rPr>
        <w:t>”</w:t>
      </w:r>
      <w:r w:rsidRPr="000811BF">
        <w:rPr>
          <w:color w:val="000000" w:themeColor="text1"/>
          <w:lang w:val="en-GB"/>
        </w:rPr>
        <w:t>.</w:t>
      </w:r>
      <w:r w:rsidR="00AC4D70" w:rsidRPr="00C32E74">
        <w:rPr>
          <w:rStyle w:val="FootnoteReference"/>
          <w:iCs/>
          <w:color w:val="000000" w:themeColor="text1"/>
          <w:sz w:val="20"/>
          <w:lang w:val="en-GB"/>
        </w:rPr>
        <w:footnoteReference w:id="100"/>
      </w:r>
    </w:p>
    <w:p w14:paraId="37A2E287" w14:textId="03406A91" w:rsidR="009D71F0" w:rsidRPr="000811BF" w:rsidRDefault="00813110" w:rsidP="00B94580">
      <w:pPr>
        <w:pStyle w:val="SingleTxtG"/>
        <w:rPr>
          <w:color w:val="000000" w:themeColor="text1"/>
          <w:lang w:val="en-GB"/>
        </w:rPr>
      </w:pPr>
      <w:r>
        <w:rPr>
          <w:color w:val="000000" w:themeColor="text1"/>
          <w:lang w:val="en-GB"/>
        </w:rPr>
        <w:t xml:space="preserve">504. </w:t>
      </w:r>
      <w:r w:rsidR="009D71F0" w:rsidRPr="000811BF">
        <w:rPr>
          <w:color w:val="000000" w:themeColor="text1"/>
          <w:lang w:val="en-GB"/>
        </w:rPr>
        <w:t>Beyond the sometimes irreversible damage to their physical and mental health, sexual violence targeting men therefore has significant consequences on an essential component of the Burundian social fabric: the family, and on the way survivors perceive themselves and are perceived as m</w:t>
      </w:r>
      <w:r w:rsidR="005208B7" w:rsidRPr="000811BF">
        <w:rPr>
          <w:color w:val="000000" w:themeColor="text1"/>
          <w:lang w:val="en-GB"/>
        </w:rPr>
        <w:t>en</w:t>
      </w:r>
      <w:r w:rsidR="009D71F0" w:rsidRPr="000811BF">
        <w:rPr>
          <w:color w:val="000000" w:themeColor="text1"/>
          <w:lang w:val="en-GB"/>
        </w:rPr>
        <w:t xml:space="preserve"> at the heart of the community.</w:t>
      </w:r>
    </w:p>
    <w:p w14:paraId="7ED93339" w14:textId="27FE2909" w:rsidR="009D71F0" w:rsidRPr="000811BF" w:rsidRDefault="00813110" w:rsidP="00B94580">
      <w:pPr>
        <w:pStyle w:val="SingleTxtG"/>
        <w:rPr>
          <w:color w:val="000000" w:themeColor="text1"/>
          <w:lang w:val="en-GB"/>
        </w:rPr>
      </w:pPr>
      <w:r>
        <w:rPr>
          <w:color w:val="000000" w:themeColor="text1"/>
          <w:lang w:val="en-GB"/>
        </w:rPr>
        <w:t xml:space="preserve">505. </w:t>
      </w:r>
      <w:r w:rsidR="009D71F0" w:rsidRPr="000811BF">
        <w:rPr>
          <w:color w:val="000000" w:themeColor="text1"/>
          <w:lang w:val="en-GB"/>
        </w:rPr>
        <w:t>One woman said of the sexual torture inflicted on her husband: “</w:t>
      </w:r>
      <w:r w:rsidR="009D71F0" w:rsidRPr="000811BF">
        <w:rPr>
          <w:i/>
          <w:iCs/>
          <w:color w:val="000000" w:themeColor="text1"/>
          <w:lang w:val="en-GB"/>
        </w:rPr>
        <w:t xml:space="preserve">Somehow </w:t>
      </w:r>
      <w:r w:rsidR="005208B7" w:rsidRPr="000811BF">
        <w:rPr>
          <w:i/>
          <w:iCs/>
          <w:color w:val="000000" w:themeColor="text1"/>
          <w:lang w:val="en-GB"/>
        </w:rPr>
        <w:t>this ensures</w:t>
      </w:r>
      <w:r w:rsidR="009D71F0" w:rsidRPr="000811BF">
        <w:rPr>
          <w:i/>
          <w:iCs/>
          <w:color w:val="000000" w:themeColor="text1"/>
          <w:lang w:val="en-GB"/>
        </w:rPr>
        <w:t xml:space="preserve"> that, even </w:t>
      </w:r>
      <w:r w:rsidR="0011721C" w:rsidRPr="000811BF">
        <w:rPr>
          <w:i/>
          <w:iCs/>
          <w:color w:val="000000" w:themeColor="text1"/>
          <w:lang w:val="en-GB"/>
        </w:rPr>
        <w:t>when</w:t>
      </w:r>
      <w:r w:rsidR="009D71F0" w:rsidRPr="000811BF">
        <w:rPr>
          <w:i/>
          <w:iCs/>
          <w:color w:val="000000" w:themeColor="text1"/>
          <w:lang w:val="en-GB"/>
        </w:rPr>
        <w:t xml:space="preserve"> he does not succumb to the torture, </w:t>
      </w:r>
      <w:r w:rsidR="0011721C" w:rsidRPr="000811BF">
        <w:rPr>
          <w:i/>
          <w:iCs/>
          <w:color w:val="000000" w:themeColor="text1"/>
          <w:lang w:val="en-GB"/>
        </w:rPr>
        <w:t xml:space="preserve">the victim </w:t>
      </w:r>
      <w:r w:rsidR="009D71F0" w:rsidRPr="000811BF">
        <w:rPr>
          <w:i/>
          <w:iCs/>
          <w:color w:val="000000" w:themeColor="text1"/>
          <w:lang w:val="en-GB"/>
        </w:rPr>
        <w:t xml:space="preserve">cannot </w:t>
      </w:r>
      <w:r w:rsidR="009D71F0" w:rsidRPr="000811BF">
        <w:rPr>
          <w:i/>
          <w:iCs/>
          <w:color w:val="000000" w:themeColor="text1"/>
          <w:lang w:val="en-GB"/>
        </w:rPr>
        <w:lastRenderedPageBreak/>
        <w:t xml:space="preserve">reproduce and </w:t>
      </w:r>
      <w:r w:rsidR="0011721C" w:rsidRPr="000811BF">
        <w:rPr>
          <w:i/>
          <w:iCs/>
          <w:color w:val="000000" w:themeColor="text1"/>
          <w:lang w:val="en-GB"/>
        </w:rPr>
        <w:t xml:space="preserve">they </w:t>
      </w:r>
      <w:r w:rsidR="009D71F0" w:rsidRPr="000811BF">
        <w:rPr>
          <w:i/>
          <w:iCs/>
          <w:color w:val="000000" w:themeColor="text1"/>
          <w:lang w:val="en-GB"/>
        </w:rPr>
        <w:t>will live</w:t>
      </w:r>
      <w:r w:rsidR="0011721C" w:rsidRPr="000811BF">
        <w:rPr>
          <w:i/>
          <w:iCs/>
          <w:color w:val="000000" w:themeColor="text1"/>
          <w:lang w:val="en-GB"/>
        </w:rPr>
        <w:t xml:space="preserve"> the</w:t>
      </w:r>
      <w:r w:rsidR="009D71F0" w:rsidRPr="000811BF">
        <w:rPr>
          <w:i/>
          <w:iCs/>
          <w:color w:val="000000" w:themeColor="text1"/>
          <w:lang w:val="en-GB"/>
        </w:rPr>
        <w:t xml:space="preserve"> handicap of not having sex</w:t>
      </w:r>
      <w:r w:rsidR="0011721C" w:rsidRPr="000811BF">
        <w:rPr>
          <w:i/>
          <w:iCs/>
          <w:color w:val="000000" w:themeColor="text1"/>
          <w:lang w:val="en-GB"/>
        </w:rPr>
        <w:t>ual intercourse;</w:t>
      </w:r>
      <w:r w:rsidR="009D71F0" w:rsidRPr="000811BF">
        <w:rPr>
          <w:i/>
          <w:iCs/>
          <w:color w:val="000000" w:themeColor="text1"/>
          <w:lang w:val="en-GB"/>
        </w:rPr>
        <w:t xml:space="preserve"> </w:t>
      </w:r>
      <w:r w:rsidR="0011721C" w:rsidRPr="000811BF">
        <w:rPr>
          <w:i/>
          <w:iCs/>
          <w:color w:val="000000" w:themeColor="text1"/>
          <w:lang w:val="en-GB"/>
        </w:rPr>
        <w:t>it</w:t>
      </w:r>
      <w:r w:rsidR="009D71F0" w:rsidRPr="000811BF">
        <w:rPr>
          <w:i/>
          <w:iCs/>
          <w:color w:val="000000" w:themeColor="text1"/>
          <w:lang w:val="en-GB"/>
        </w:rPr>
        <w:t xml:space="preserve"> is a handicap, especially for a man. Th</w:t>
      </w:r>
      <w:r w:rsidR="0011721C" w:rsidRPr="000811BF">
        <w:rPr>
          <w:i/>
          <w:iCs/>
          <w:color w:val="000000" w:themeColor="text1"/>
          <w:lang w:val="en-GB"/>
        </w:rPr>
        <w:t>e aim</w:t>
      </w:r>
      <w:r w:rsidR="009D71F0" w:rsidRPr="000811BF">
        <w:rPr>
          <w:i/>
          <w:iCs/>
          <w:color w:val="000000" w:themeColor="text1"/>
          <w:lang w:val="en-GB"/>
        </w:rPr>
        <w:t xml:space="preserve"> is to ruin their lives permanently</w:t>
      </w:r>
      <w:r w:rsidR="00E57C63">
        <w:rPr>
          <w:i/>
          <w:iCs/>
          <w:color w:val="000000" w:themeColor="text1"/>
          <w:lang w:val="en-GB"/>
        </w:rPr>
        <w:t>”</w:t>
      </w:r>
      <w:r w:rsidR="009D71F0" w:rsidRPr="000811BF">
        <w:rPr>
          <w:i/>
          <w:iCs/>
          <w:color w:val="000000" w:themeColor="text1"/>
          <w:lang w:val="en-GB"/>
        </w:rPr>
        <w:t>.</w:t>
      </w:r>
      <w:r w:rsidR="0011721C" w:rsidRPr="00E57C63">
        <w:rPr>
          <w:rStyle w:val="FootnoteReference"/>
          <w:color w:val="000000" w:themeColor="text1"/>
          <w:sz w:val="20"/>
          <w:lang w:val="en-GB"/>
        </w:rPr>
        <w:footnoteReference w:id="101"/>
      </w:r>
    </w:p>
    <w:p w14:paraId="6D8F1E45" w14:textId="217EF1F1" w:rsidR="009D71F0" w:rsidRPr="000811BF" w:rsidRDefault="00813110" w:rsidP="00B94580">
      <w:pPr>
        <w:pStyle w:val="SingleTxtG"/>
        <w:rPr>
          <w:color w:val="000000" w:themeColor="text1"/>
          <w:lang w:val="en-GB"/>
        </w:rPr>
      </w:pPr>
      <w:r>
        <w:rPr>
          <w:color w:val="000000" w:themeColor="text1"/>
          <w:lang w:val="en-GB"/>
        </w:rPr>
        <w:t xml:space="preserve">506. </w:t>
      </w:r>
      <w:r w:rsidR="009D71F0" w:rsidRPr="000811BF">
        <w:rPr>
          <w:color w:val="000000" w:themeColor="text1"/>
          <w:lang w:val="en-GB"/>
        </w:rPr>
        <w:t>Depending on the country in which they sought asylum, these survivors had access to care more or less adapted to the</w:t>
      </w:r>
      <w:r w:rsidR="00881249" w:rsidRPr="000811BF">
        <w:rPr>
          <w:color w:val="000000" w:themeColor="text1"/>
          <w:lang w:val="en-GB"/>
        </w:rPr>
        <w:t>ir</w:t>
      </w:r>
      <w:r w:rsidR="009D71F0" w:rsidRPr="000811BF">
        <w:rPr>
          <w:color w:val="000000" w:themeColor="text1"/>
          <w:lang w:val="en-GB"/>
        </w:rPr>
        <w:t xml:space="preserve"> physical and psychological problems. </w:t>
      </w:r>
      <w:r w:rsidR="00881249" w:rsidRPr="000811BF">
        <w:rPr>
          <w:color w:val="000000" w:themeColor="text1"/>
          <w:lang w:val="en-GB"/>
        </w:rPr>
        <w:t>However, t</w:t>
      </w:r>
      <w:r w:rsidR="009D71F0" w:rsidRPr="000811BF">
        <w:rPr>
          <w:color w:val="000000" w:themeColor="text1"/>
          <w:lang w:val="en-GB"/>
        </w:rPr>
        <w:t xml:space="preserve">his assistance has not been provided as part of the support mechanisms for survivors of sexual and gender-based violence, which are generally not adapted to the specific needs of men. Programs intended to respond to and prevent sexual and gender-based violence are generally designed according to </w:t>
      </w:r>
      <w:r w:rsidR="00604B4A">
        <w:rPr>
          <w:color w:val="000000" w:themeColor="text1"/>
          <w:lang w:val="en-GB"/>
        </w:rPr>
        <w:t xml:space="preserve">the </w:t>
      </w:r>
      <w:r w:rsidR="009D71F0" w:rsidRPr="000811BF">
        <w:rPr>
          <w:color w:val="000000" w:themeColor="text1"/>
          <w:lang w:val="en-GB"/>
        </w:rPr>
        <w:t xml:space="preserve">logic of “woman and girl </w:t>
      </w:r>
      <w:r w:rsidR="005B6A08" w:rsidRPr="000811BF">
        <w:rPr>
          <w:color w:val="000000" w:themeColor="text1"/>
          <w:lang w:val="en-GB"/>
        </w:rPr>
        <w:t>–</w:t>
      </w:r>
      <w:r w:rsidR="009D71F0" w:rsidRPr="000811BF">
        <w:rPr>
          <w:color w:val="000000" w:themeColor="text1"/>
          <w:lang w:val="en-GB"/>
        </w:rPr>
        <w:t xml:space="preserve"> victim</w:t>
      </w:r>
      <w:r w:rsidR="005B6A08" w:rsidRPr="000811BF">
        <w:rPr>
          <w:color w:val="000000" w:themeColor="text1"/>
          <w:lang w:val="en-GB"/>
        </w:rPr>
        <w:t>s</w:t>
      </w:r>
      <w:r w:rsidR="009D71F0" w:rsidRPr="000811BF">
        <w:rPr>
          <w:color w:val="000000" w:themeColor="text1"/>
          <w:lang w:val="en-GB"/>
        </w:rPr>
        <w:t xml:space="preserve"> and man </w:t>
      </w:r>
      <w:r w:rsidR="005B6A08" w:rsidRPr="000811BF">
        <w:rPr>
          <w:color w:val="000000" w:themeColor="text1"/>
          <w:lang w:val="en-GB"/>
        </w:rPr>
        <w:t>–</w:t>
      </w:r>
      <w:r w:rsidR="009D71F0" w:rsidRPr="000811BF">
        <w:rPr>
          <w:color w:val="000000" w:themeColor="text1"/>
          <w:lang w:val="en-GB"/>
        </w:rPr>
        <w:t xml:space="preserve"> potentia</w:t>
      </w:r>
      <w:r w:rsidR="005B6A08" w:rsidRPr="000811BF">
        <w:rPr>
          <w:color w:val="000000" w:themeColor="text1"/>
          <w:lang w:val="en-GB"/>
        </w:rPr>
        <w:t>l</w:t>
      </w:r>
      <w:r w:rsidR="009D71F0" w:rsidRPr="000811BF">
        <w:rPr>
          <w:color w:val="000000" w:themeColor="text1"/>
          <w:lang w:val="en-GB"/>
        </w:rPr>
        <w:t xml:space="preserve"> or actual perpetrator of violence”.</w:t>
      </w:r>
    </w:p>
    <w:p w14:paraId="268933FB" w14:textId="2C7E5018" w:rsidR="009D71F0" w:rsidRDefault="00813110" w:rsidP="00B94580">
      <w:pPr>
        <w:pStyle w:val="SingleTxtG"/>
        <w:rPr>
          <w:color w:val="000000" w:themeColor="text1"/>
          <w:lang w:val="en-GB"/>
        </w:rPr>
      </w:pPr>
      <w:r>
        <w:rPr>
          <w:color w:val="000000" w:themeColor="text1"/>
          <w:lang w:val="en-GB"/>
        </w:rPr>
        <w:t xml:space="preserve">507. </w:t>
      </w:r>
      <w:r w:rsidR="005B6A08" w:rsidRPr="000811BF">
        <w:rPr>
          <w:color w:val="000000" w:themeColor="text1"/>
          <w:lang w:val="en-GB"/>
        </w:rPr>
        <w:t>Having</w:t>
      </w:r>
      <w:r w:rsidR="009D71F0" w:rsidRPr="000811BF">
        <w:rPr>
          <w:color w:val="000000" w:themeColor="text1"/>
          <w:lang w:val="en-GB"/>
        </w:rPr>
        <w:t xml:space="preserve"> support groups, community associations and non-governmental organizations sensitized to the issue of sexual violence against men and boys would undoubtedly be a factor that would encourage survivors to speak up about their experience and help them obtain </w:t>
      </w:r>
      <w:r w:rsidR="005B6A08" w:rsidRPr="000811BF">
        <w:rPr>
          <w:color w:val="000000" w:themeColor="text1"/>
          <w:lang w:val="en-GB"/>
        </w:rPr>
        <w:t>appropriate support</w:t>
      </w:r>
      <w:r w:rsidR="00E57C63">
        <w:rPr>
          <w:color w:val="000000" w:themeColor="text1"/>
          <w:lang w:val="en-GB"/>
        </w:rPr>
        <w:t>.</w:t>
      </w:r>
      <w:r w:rsidR="005B6A08" w:rsidRPr="000811BF">
        <w:rPr>
          <w:rStyle w:val="FootnoteReference"/>
          <w:color w:val="000000" w:themeColor="text1"/>
          <w:lang w:val="en-GB"/>
        </w:rPr>
        <w:footnoteReference w:id="102"/>
      </w:r>
    </w:p>
    <w:p w14:paraId="0D81DED0" w14:textId="4A4D8F74" w:rsidR="00E66CEA" w:rsidRDefault="00E66CEA" w:rsidP="00B94580">
      <w:pPr>
        <w:pStyle w:val="SingleTxtG"/>
        <w:rPr>
          <w:color w:val="000000" w:themeColor="text1"/>
          <w:lang w:val="en-GB"/>
        </w:rPr>
      </w:pPr>
    </w:p>
    <w:p w14:paraId="1C853055" w14:textId="3C9BE287" w:rsidR="00E66CEA" w:rsidRDefault="00E66CEA" w:rsidP="00B94580">
      <w:pPr>
        <w:pStyle w:val="SingleTxtG"/>
        <w:rPr>
          <w:color w:val="000000" w:themeColor="text1"/>
          <w:lang w:val="en-GB"/>
        </w:rPr>
      </w:pPr>
    </w:p>
    <w:p w14:paraId="434E30FB" w14:textId="29B9E227" w:rsidR="00E66CEA" w:rsidRDefault="00E66CEA" w:rsidP="00B94580">
      <w:pPr>
        <w:pStyle w:val="SingleTxtG"/>
        <w:rPr>
          <w:color w:val="000000" w:themeColor="text1"/>
          <w:lang w:val="en-GB"/>
        </w:rPr>
      </w:pPr>
    </w:p>
    <w:p w14:paraId="5B25CB42" w14:textId="53F37BB1" w:rsidR="00E66CEA" w:rsidRDefault="00E66CEA" w:rsidP="00B94580">
      <w:pPr>
        <w:pStyle w:val="SingleTxtG"/>
        <w:rPr>
          <w:color w:val="000000" w:themeColor="text1"/>
          <w:lang w:val="en-GB"/>
        </w:rPr>
      </w:pPr>
    </w:p>
    <w:p w14:paraId="3EDD118A" w14:textId="41F6A59D" w:rsidR="00E66CEA" w:rsidRDefault="00E66CEA" w:rsidP="00B94580">
      <w:pPr>
        <w:pStyle w:val="SingleTxtG"/>
        <w:rPr>
          <w:color w:val="000000" w:themeColor="text1"/>
          <w:lang w:val="en-GB"/>
        </w:rPr>
      </w:pPr>
    </w:p>
    <w:p w14:paraId="2E3C40A4" w14:textId="5888ADCA" w:rsidR="00E66CEA" w:rsidRDefault="00E66CEA" w:rsidP="00B94580">
      <w:pPr>
        <w:pStyle w:val="SingleTxtG"/>
        <w:rPr>
          <w:color w:val="000000" w:themeColor="text1"/>
          <w:lang w:val="en-GB"/>
        </w:rPr>
      </w:pPr>
    </w:p>
    <w:p w14:paraId="0E8012E6" w14:textId="6261C656" w:rsidR="00E66CEA" w:rsidRDefault="00E66CEA" w:rsidP="00B94580">
      <w:pPr>
        <w:pStyle w:val="SingleTxtG"/>
        <w:rPr>
          <w:color w:val="000000" w:themeColor="text1"/>
          <w:lang w:val="en-GB"/>
        </w:rPr>
      </w:pPr>
    </w:p>
    <w:p w14:paraId="5C02C7B4" w14:textId="71B424E5" w:rsidR="00E66CEA" w:rsidRDefault="00E66CEA" w:rsidP="00B94580">
      <w:pPr>
        <w:pStyle w:val="SingleTxtG"/>
        <w:rPr>
          <w:color w:val="000000" w:themeColor="text1"/>
          <w:lang w:val="en-GB"/>
        </w:rPr>
      </w:pPr>
    </w:p>
    <w:p w14:paraId="26F86399" w14:textId="2211A88B" w:rsidR="00E66CEA" w:rsidRDefault="00E66CEA" w:rsidP="00B94580">
      <w:pPr>
        <w:pStyle w:val="SingleTxtG"/>
        <w:rPr>
          <w:color w:val="000000" w:themeColor="text1"/>
          <w:lang w:val="en-GB"/>
        </w:rPr>
      </w:pPr>
    </w:p>
    <w:p w14:paraId="1A7BACAC" w14:textId="159C039A" w:rsidR="00E66CEA" w:rsidRDefault="00E66CEA" w:rsidP="00B94580">
      <w:pPr>
        <w:pStyle w:val="SingleTxtG"/>
        <w:rPr>
          <w:color w:val="000000" w:themeColor="text1"/>
          <w:lang w:val="en-GB"/>
        </w:rPr>
      </w:pPr>
    </w:p>
    <w:sectPr w:rsidR="00E66CEA">
      <w:footnotePr>
        <w:numStart w:val="553"/>
      </w:footnotePr>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826FD" w16cid:durableId="233C2DC2"/>
  <w16cid:commentId w16cid:paraId="7518BB2A" w16cid:durableId="233C4082"/>
  <w16cid:commentId w16cid:paraId="38E28153" w16cid:durableId="233C47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109E4" w14:textId="77777777" w:rsidR="00604B4A" w:rsidRDefault="00604B4A" w:rsidP="00B94580">
      <w:pPr>
        <w:spacing w:line="240" w:lineRule="auto"/>
      </w:pPr>
      <w:r>
        <w:separator/>
      </w:r>
    </w:p>
  </w:endnote>
  <w:endnote w:type="continuationSeparator" w:id="0">
    <w:p w14:paraId="4DC4F190" w14:textId="77777777" w:rsidR="00604B4A" w:rsidRDefault="00604B4A" w:rsidP="00B94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F4460" w14:textId="77777777" w:rsidR="00604B4A" w:rsidRDefault="00604B4A" w:rsidP="00B94580">
      <w:pPr>
        <w:spacing w:line="240" w:lineRule="auto"/>
      </w:pPr>
      <w:r>
        <w:separator/>
      </w:r>
    </w:p>
  </w:footnote>
  <w:footnote w:type="continuationSeparator" w:id="0">
    <w:p w14:paraId="02E36616" w14:textId="77777777" w:rsidR="00604B4A" w:rsidRDefault="00604B4A" w:rsidP="00B94580">
      <w:pPr>
        <w:spacing w:line="240" w:lineRule="auto"/>
      </w:pPr>
      <w:r>
        <w:continuationSeparator/>
      </w:r>
    </w:p>
  </w:footnote>
  <w:footnote w:id="1">
    <w:p w14:paraId="0F0B1AED" w14:textId="50975CD9" w:rsidR="00604B4A" w:rsidRPr="00A57747" w:rsidRDefault="003533C5" w:rsidP="00B90CB6">
      <w:pPr>
        <w:pStyle w:val="FootnoteText"/>
        <w:ind w:firstLine="0"/>
      </w:pPr>
      <w:r>
        <w:rPr>
          <w:rStyle w:val="FootnoteReference"/>
        </w:rPr>
        <w:footnoteRef/>
      </w:r>
      <w:r w:rsidR="00604B4A" w:rsidRPr="00DE2B32">
        <w:rPr>
          <w:lang w:val="fr-CH"/>
        </w:rPr>
        <w:t xml:space="preserve"> CI-047, CI-088, CI-100, CI-101, CI-119, CI-122, CI-139, CI-144, DI-020, DI-087, DI-115, JI-073, JI-121, JI-122, JI-125, JI-160, KI-004, KI-005, KI-070, MI-044, MI-046, MI-070, MI-082, QI-015, QI-035, QI-037, QI-045, QI-062, QI-074, QI-227, TI-028, TI-031, TI-047, TI-055, TI-080, TI-133. </w:t>
      </w:r>
      <w:r w:rsidR="00604B4A" w:rsidRPr="00A57747">
        <w:t xml:space="preserve">Information on other victims of these types of violence who did not survive their injuries or either disappeared or were executed is also included in these </w:t>
      </w:r>
      <w:r w:rsidR="00604B4A">
        <w:t>accounts</w:t>
      </w:r>
      <w:r w:rsidR="00604B4A" w:rsidRPr="00A57747">
        <w:t xml:space="preserve">. </w:t>
      </w:r>
    </w:p>
  </w:footnote>
  <w:footnote w:id="2">
    <w:p w14:paraId="3814A2AE" w14:textId="77777777" w:rsidR="00604B4A" w:rsidRPr="00A57747" w:rsidRDefault="00604B4A" w:rsidP="00B90CB6">
      <w:pPr>
        <w:pStyle w:val="FootnoteText"/>
        <w:tabs>
          <w:tab w:val="clear" w:pos="1021"/>
          <w:tab w:val="right" w:pos="567"/>
        </w:tabs>
        <w:ind w:firstLine="0"/>
      </w:pPr>
      <w:r w:rsidRPr="00A57747">
        <w:rPr>
          <w:rStyle w:val="FootnoteReference"/>
        </w:rPr>
        <w:footnoteRef/>
      </w:r>
      <w:r w:rsidRPr="00A57747">
        <w:t xml:space="preserve"> S. </w:t>
      </w:r>
      <w:proofErr w:type="spellStart"/>
      <w:r w:rsidRPr="00A57747">
        <w:t>Sivakumaran</w:t>
      </w:r>
      <w:proofErr w:type="spellEnd"/>
      <w:r w:rsidRPr="00A57747">
        <w:t xml:space="preserve">, </w:t>
      </w:r>
      <w:r w:rsidRPr="00A57747">
        <w:rPr>
          <w:i/>
        </w:rPr>
        <w:t>Lost in translation: UN responses to sexual violence against men and boys in situations of armed conflict</w:t>
      </w:r>
      <w:r w:rsidRPr="00A57747">
        <w:t xml:space="preserve">, International Review of the Red Cross, Volume 92, Number 877, </w:t>
      </w:r>
      <w:proofErr w:type="gramStart"/>
      <w:r w:rsidRPr="00A57747">
        <w:t>March</w:t>
      </w:r>
      <w:proofErr w:type="gramEnd"/>
      <w:r w:rsidRPr="00A57747">
        <w:t xml:space="preserve"> 2010.</w:t>
      </w:r>
    </w:p>
  </w:footnote>
  <w:footnote w:id="3">
    <w:p w14:paraId="0AB1C9FA" w14:textId="77777777" w:rsidR="00604B4A" w:rsidRPr="00A57747" w:rsidRDefault="00604B4A" w:rsidP="00B90CB6">
      <w:pPr>
        <w:pStyle w:val="FootnoteText"/>
        <w:ind w:firstLine="0"/>
      </w:pPr>
      <w:r w:rsidRPr="00A57747">
        <w:rPr>
          <w:rStyle w:val="FootnoteReference"/>
        </w:rPr>
        <w:footnoteRef/>
      </w:r>
      <w:r w:rsidRPr="00A57747">
        <w:t xml:space="preserve"> S/RES/2467, (2019), par</w:t>
      </w:r>
      <w:r>
        <w:t>a</w:t>
      </w:r>
      <w:r w:rsidRPr="00A57747">
        <w:t xml:space="preserve">. 32. </w:t>
      </w:r>
    </w:p>
  </w:footnote>
  <w:footnote w:id="4">
    <w:p w14:paraId="619E2A59" w14:textId="70B056E1" w:rsidR="00604B4A" w:rsidRPr="00A57747" w:rsidRDefault="00604B4A" w:rsidP="00B90CB6">
      <w:pPr>
        <w:pStyle w:val="FootnoteText"/>
        <w:tabs>
          <w:tab w:val="clear" w:pos="1021"/>
          <w:tab w:val="right" w:pos="142"/>
        </w:tabs>
        <w:ind w:firstLine="0"/>
      </w:pPr>
      <w:r w:rsidRPr="00A57747">
        <w:rPr>
          <w:rStyle w:val="FootnoteReference"/>
        </w:rPr>
        <w:footnoteRef/>
      </w:r>
      <w:r w:rsidR="00B90CB6">
        <w:t xml:space="preserve"> </w:t>
      </w:r>
      <w:r w:rsidRPr="00A57747">
        <w:t xml:space="preserve">A. </w:t>
      </w:r>
      <w:proofErr w:type="spellStart"/>
      <w:r w:rsidRPr="00A57747">
        <w:t>Kapur</w:t>
      </w:r>
      <w:proofErr w:type="spellEnd"/>
      <w:r w:rsidRPr="00A57747">
        <w:t xml:space="preserve"> and K. </w:t>
      </w:r>
      <w:proofErr w:type="spellStart"/>
      <w:r w:rsidRPr="00A57747">
        <w:t>Muddell</w:t>
      </w:r>
      <w:proofErr w:type="spellEnd"/>
      <w:r w:rsidRPr="00A57747">
        <w:t xml:space="preserve">, </w:t>
      </w:r>
      <w:proofErr w:type="gramStart"/>
      <w:r w:rsidRPr="00A57747">
        <w:rPr>
          <w:i/>
        </w:rPr>
        <w:t>When</w:t>
      </w:r>
      <w:proofErr w:type="gramEnd"/>
      <w:r w:rsidRPr="00A57747">
        <w:rPr>
          <w:i/>
        </w:rPr>
        <w:t xml:space="preserve"> no one calls it rape: addressing sexual violence against men and boys in transitional contexts</w:t>
      </w:r>
      <w:r w:rsidRPr="00A57747">
        <w:t xml:space="preserve">, International </w:t>
      </w:r>
      <w:proofErr w:type="spellStart"/>
      <w:r w:rsidRPr="00A57747">
        <w:t>Center</w:t>
      </w:r>
      <w:proofErr w:type="spellEnd"/>
      <w:r w:rsidRPr="00A57747">
        <w:t xml:space="preserve"> for Transitional Justice (2016) p 4. But also </w:t>
      </w:r>
      <w:hyperlink r:id="rId1" w:history="1">
        <w:r w:rsidR="00B90CB6" w:rsidRPr="00F577A5">
          <w:rPr>
            <w:rStyle w:val="Hyperlink"/>
          </w:rPr>
          <w:t>https://www.chathamhouse.org/expert/comment/ignoring-male-victims-sexual-violence-conflict-short-sighted-and-wrong#</w:t>
        </w:r>
      </w:hyperlink>
      <w:r w:rsidRPr="00A57747">
        <w:t xml:space="preserve">. This is not a case of calling into question the achievements reached thanks to efforts invested over the last two decades which has </w:t>
      </w:r>
      <w:r w:rsidR="00C4726F">
        <w:t xml:space="preserve">enabled this </w:t>
      </w:r>
      <w:r w:rsidRPr="00A57747">
        <w:t xml:space="preserve">important aspect of violence against women and girls being recognized and taken into consideration both by international law and humanitarian and development initiatives. Rather, it is a matter of recognizing that this type of violence also affects men and boys and that the response to this type of violence must necessarily involve its “gendered” specificities as well as their consequences. </w:t>
      </w:r>
    </w:p>
  </w:footnote>
  <w:footnote w:id="5">
    <w:p w14:paraId="0BCB90D2" w14:textId="3494BFDF" w:rsidR="00604B4A" w:rsidRPr="00A57747" w:rsidRDefault="00604B4A" w:rsidP="00B90CB6">
      <w:pPr>
        <w:pStyle w:val="FootnoteText"/>
        <w:ind w:firstLine="0"/>
      </w:pPr>
      <w:r w:rsidRPr="00A57747">
        <w:rPr>
          <w:rStyle w:val="FootnoteReference"/>
        </w:rPr>
        <w:footnoteRef/>
      </w:r>
      <w:r w:rsidRPr="00A57747">
        <w:t xml:space="preserve"> On gender stereotypes and ideals of masculinity in </w:t>
      </w:r>
      <w:proofErr w:type="gramStart"/>
      <w:r w:rsidRPr="00A57747">
        <w:t>Burundi :</w:t>
      </w:r>
      <w:proofErr w:type="gramEnd"/>
      <w:r w:rsidRPr="00A57747">
        <w:t xml:space="preserve"> CARE, </w:t>
      </w:r>
      <w:r w:rsidRPr="00A57747">
        <w:rPr>
          <w:i/>
        </w:rPr>
        <w:t xml:space="preserve">Rapport </w:t>
      </w:r>
      <w:proofErr w:type="spellStart"/>
      <w:r w:rsidRPr="00A57747">
        <w:rPr>
          <w:i/>
        </w:rPr>
        <w:t>d’évaluation</w:t>
      </w:r>
      <w:proofErr w:type="spellEnd"/>
      <w:r w:rsidRPr="00A57747">
        <w:rPr>
          <w:i/>
        </w:rPr>
        <w:t xml:space="preserve"> du </w:t>
      </w:r>
      <w:proofErr w:type="spellStart"/>
      <w:r w:rsidRPr="00A57747">
        <w:rPr>
          <w:i/>
        </w:rPr>
        <w:t>projet</w:t>
      </w:r>
      <w:proofErr w:type="spellEnd"/>
      <w:r w:rsidRPr="00A57747">
        <w:rPr>
          <w:i/>
        </w:rPr>
        <w:t xml:space="preserve"> « Nous les </w:t>
      </w:r>
      <w:proofErr w:type="spellStart"/>
      <w:r w:rsidRPr="00A57747">
        <w:rPr>
          <w:i/>
        </w:rPr>
        <w:t>jeunes</w:t>
      </w:r>
      <w:proofErr w:type="spellEnd"/>
      <w:r w:rsidRPr="00A57747">
        <w:rPr>
          <w:i/>
        </w:rPr>
        <w:t> »</w:t>
      </w:r>
      <w:r w:rsidRPr="00A57747">
        <w:t xml:space="preserve">, </w:t>
      </w:r>
      <w:r>
        <w:t xml:space="preserve">January </w:t>
      </w:r>
      <w:r w:rsidRPr="00A57747">
        <w:t>2018, p.13-15 (</w:t>
      </w:r>
      <w:hyperlink r:id="rId2" w:history="1">
        <w:r w:rsidRPr="00A57747">
          <w:rPr>
            <w:rStyle w:val="Hyperlink"/>
          </w:rPr>
          <w:t>https://www.careevaluations.org/wp-content/uploads/Rapport-final-PLA-version-Franc%CC%A7aise-1.pdf</w:t>
        </w:r>
      </w:hyperlink>
      <w:r w:rsidRPr="00A57747">
        <w:t xml:space="preserve">) ; G. S. </w:t>
      </w:r>
      <w:proofErr w:type="spellStart"/>
      <w:r w:rsidRPr="00A57747">
        <w:t>Friðriksdóttir</w:t>
      </w:r>
      <w:proofErr w:type="spellEnd"/>
      <w:r w:rsidRPr="00A57747">
        <w:t xml:space="preserve">, </w:t>
      </w:r>
      <w:r w:rsidRPr="00A57747">
        <w:rPr>
          <w:i/>
        </w:rPr>
        <w:t>Soldiering as an obstacle to manhood</w:t>
      </w:r>
      <w:r>
        <w:rPr>
          <w:i/>
        </w:rPr>
        <w:t xml:space="preserve"> </w:t>
      </w:r>
      <w:r w:rsidRPr="00A57747">
        <w:rPr>
          <w:i/>
        </w:rPr>
        <w:t>?masculinities and ex-combatants in Burundi</w:t>
      </w:r>
      <w:r w:rsidRPr="00A57747">
        <w:t>. Critical Military Studies (2018).</w:t>
      </w:r>
    </w:p>
  </w:footnote>
  <w:footnote w:id="6">
    <w:p w14:paraId="1B7F7EC4" w14:textId="77777777" w:rsidR="00604B4A" w:rsidRPr="00A57747" w:rsidRDefault="00604B4A" w:rsidP="00B90CB6">
      <w:pPr>
        <w:pStyle w:val="FootnoteText"/>
        <w:ind w:firstLine="0"/>
      </w:pPr>
      <w:r w:rsidRPr="00A57747">
        <w:rPr>
          <w:rStyle w:val="FootnoteReference"/>
        </w:rPr>
        <w:footnoteRef/>
      </w:r>
      <w:r w:rsidRPr="00A57747">
        <w:t xml:space="preserve"> I. </w:t>
      </w:r>
      <w:proofErr w:type="spellStart"/>
      <w:r w:rsidRPr="00A57747">
        <w:t>Eliott</w:t>
      </w:r>
      <w:proofErr w:type="spellEnd"/>
      <w:r w:rsidRPr="00A57747">
        <w:t xml:space="preserve">, C. </w:t>
      </w:r>
      <w:proofErr w:type="spellStart"/>
      <w:r w:rsidRPr="00A57747">
        <w:t>Kivlahan</w:t>
      </w:r>
      <w:proofErr w:type="spellEnd"/>
      <w:r w:rsidRPr="00A57747">
        <w:t xml:space="preserve"> and Y. </w:t>
      </w:r>
      <w:proofErr w:type="spellStart"/>
      <w:r w:rsidRPr="00A57747">
        <w:t>Rahhal</w:t>
      </w:r>
      <w:proofErr w:type="spellEnd"/>
      <w:r w:rsidRPr="00A57747">
        <w:t xml:space="preserve">, </w:t>
      </w:r>
      <w:r w:rsidRPr="00A57747">
        <w:rPr>
          <w:i/>
        </w:rPr>
        <w:t>Bridging the gap between the reality of male sexual violence and access to justice and accountability</w:t>
      </w:r>
      <w:r w:rsidRPr="00A57747">
        <w:t xml:space="preserve">, Journal of International Criminal Justice 18 (2020), p.490. ; A. </w:t>
      </w:r>
      <w:proofErr w:type="spellStart"/>
      <w:r w:rsidRPr="00A57747">
        <w:t>Kapur</w:t>
      </w:r>
      <w:proofErr w:type="spellEnd"/>
      <w:r w:rsidRPr="00A57747">
        <w:t xml:space="preserve"> and K. </w:t>
      </w:r>
      <w:proofErr w:type="spellStart"/>
      <w:r w:rsidRPr="00A57747">
        <w:t>Muddell</w:t>
      </w:r>
      <w:proofErr w:type="spellEnd"/>
      <w:r w:rsidRPr="00A57747">
        <w:t>, (2016</w:t>
      </w:r>
      <w:proofErr w:type="gramStart"/>
      <w:r w:rsidRPr="00A57747">
        <w:t>) ;</w:t>
      </w:r>
      <w:proofErr w:type="gramEnd"/>
      <w:r w:rsidRPr="00A57747">
        <w:t xml:space="preserve"> UNHCR, </w:t>
      </w:r>
      <w:proofErr w:type="spellStart"/>
      <w:r w:rsidRPr="00A57747">
        <w:rPr>
          <w:i/>
        </w:rPr>
        <w:t>Travailler</w:t>
      </w:r>
      <w:proofErr w:type="spellEnd"/>
      <w:r w:rsidRPr="00A57747">
        <w:rPr>
          <w:i/>
        </w:rPr>
        <w:t xml:space="preserve"> avec des hommes et les </w:t>
      </w:r>
      <w:proofErr w:type="spellStart"/>
      <w:r w:rsidRPr="00A57747">
        <w:rPr>
          <w:i/>
        </w:rPr>
        <w:t>garçons</w:t>
      </w:r>
      <w:proofErr w:type="spellEnd"/>
      <w:r w:rsidRPr="00A57747">
        <w:rPr>
          <w:i/>
        </w:rPr>
        <w:t xml:space="preserve"> </w:t>
      </w:r>
      <w:proofErr w:type="spellStart"/>
      <w:r w:rsidRPr="00A57747">
        <w:rPr>
          <w:i/>
        </w:rPr>
        <w:t>survivants</w:t>
      </w:r>
      <w:proofErr w:type="spellEnd"/>
      <w:r w:rsidRPr="00A57747">
        <w:rPr>
          <w:i/>
        </w:rPr>
        <w:t xml:space="preserve"> de violence </w:t>
      </w:r>
      <w:proofErr w:type="spellStart"/>
      <w:r w:rsidRPr="00A57747">
        <w:rPr>
          <w:i/>
        </w:rPr>
        <w:t>sexuelle</w:t>
      </w:r>
      <w:proofErr w:type="spellEnd"/>
      <w:r w:rsidRPr="00A57747">
        <w:rPr>
          <w:i/>
        </w:rPr>
        <w:t xml:space="preserve"> et </w:t>
      </w:r>
      <w:proofErr w:type="spellStart"/>
      <w:r w:rsidRPr="00A57747">
        <w:rPr>
          <w:i/>
        </w:rPr>
        <w:t>sexiste</w:t>
      </w:r>
      <w:proofErr w:type="spellEnd"/>
      <w:r w:rsidRPr="00A57747">
        <w:rPr>
          <w:i/>
        </w:rPr>
        <w:t xml:space="preserve"> </w:t>
      </w:r>
      <w:proofErr w:type="spellStart"/>
      <w:r w:rsidRPr="00A57747">
        <w:rPr>
          <w:i/>
        </w:rPr>
        <w:t>dans</w:t>
      </w:r>
      <w:proofErr w:type="spellEnd"/>
      <w:r w:rsidRPr="00A57747">
        <w:rPr>
          <w:i/>
        </w:rPr>
        <w:t xml:space="preserve"> les situations de </w:t>
      </w:r>
      <w:proofErr w:type="spellStart"/>
      <w:r w:rsidRPr="00A57747">
        <w:rPr>
          <w:i/>
        </w:rPr>
        <w:t>déplacement</w:t>
      </w:r>
      <w:proofErr w:type="spellEnd"/>
      <w:r w:rsidRPr="00A57747">
        <w:rPr>
          <w:i/>
        </w:rPr>
        <w:t xml:space="preserve"> </w:t>
      </w:r>
      <w:proofErr w:type="spellStart"/>
      <w:r w:rsidRPr="00A57747">
        <w:rPr>
          <w:i/>
        </w:rPr>
        <w:t>forcé</w:t>
      </w:r>
      <w:proofErr w:type="spellEnd"/>
      <w:r w:rsidRPr="00A57747">
        <w:t>, (2012).</w:t>
      </w:r>
    </w:p>
  </w:footnote>
  <w:footnote w:id="7">
    <w:p w14:paraId="052EDAB5" w14:textId="77777777" w:rsidR="00604B4A" w:rsidRPr="00A57747" w:rsidRDefault="00604B4A" w:rsidP="00B90CB6">
      <w:pPr>
        <w:pStyle w:val="FootnoteText"/>
        <w:ind w:firstLine="0"/>
      </w:pPr>
      <w:r w:rsidRPr="00A57747">
        <w:rPr>
          <w:rStyle w:val="FootnoteReference"/>
        </w:rPr>
        <w:footnoteRef/>
      </w:r>
      <w:r w:rsidRPr="00A57747">
        <w:t xml:space="preserve"> KI-005. A. </w:t>
      </w:r>
      <w:proofErr w:type="spellStart"/>
      <w:r w:rsidRPr="00A57747">
        <w:t>Kapur</w:t>
      </w:r>
      <w:proofErr w:type="spellEnd"/>
      <w:r w:rsidRPr="00A57747">
        <w:t xml:space="preserve"> and K. </w:t>
      </w:r>
      <w:proofErr w:type="spellStart"/>
      <w:r w:rsidRPr="00A57747">
        <w:t>Muddell</w:t>
      </w:r>
      <w:proofErr w:type="spellEnd"/>
      <w:r w:rsidRPr="00A57747">
        <w:t>, (2016), p. 12.</w:t>
      </w:r>
    </w:p>
  </w:footnote>
  <w:footnote w:id="8">
    <w:p w14:paraId="7188F963" w14:textId="7A2A2FBD" w:rsidR="00604B4A" w:rsidRPr="00553007" w:rsidRDefault="00604B4A" w:rsidP="00B90CB6">
      <w:pPr>
        <w:pStyle w:val="FootnoteText"/>
        <w:ind w:firstLine="0"/>
        <w:rPr>
          <w:lang w:val="fr-FR"/>
        </w:rPr>
      </w:pPr>
      <w:r w:rsidRPr="00A57747">
        <w:rPr>
          <w:rStyle w:val="FootnoteReference"/>
        </w:rPr>
        <w:footnoteRef/>
      </w:r>
      <w:r w:rsidRPr="00A57747">
        <w:t xml:space="preserve"> This tendency is a worldwide phenomenon that is not specific to Burundi. In 2002, 3 </w:t>
      </w:r>
      <w:r w:rsidR="00C4726F">
        <w:t xml:space="preserve">% </w:t>
      </w:r>
      <w:r w:rsidRPr="00A57747">
        <w:t xml:space="preserve">of non-governmental organizations working on rape and other forms </w:t>
      </w:r>
      <w:r w:rsidRPr="005207E0">
        <w:t xml:space="preserve">of </w:t>
      </w:r>
      <w:r w:rsidRPr="000811BF">
        <w:t>political sexual violence</w:t>
      </w:r>
      <w:r w:rsidRPr="00A57747">
        <w:t xml:space="preserve"> in conflict situations also referred to sexual violence against men in their programs or narratives. </w:t>
      </w:r>
      <w:r w:rsidRPr="00553007">
        <w:rPr>
          <w:lang w:val="fr-FR"/>
        </w:rPr>
        <w:t xml:space="preserve">A. </w:t>
      </w:r>
      <w:proofErr w:type="spellStart"/>
      <w:r w:rsidRPr="00553007">
        <w:rPr>
          <w:lang w:val="fr-FR"/>
        </w:rPr>
        <w:t>Kapur</w:t>
      </w:r>
      <w:proofErr w:type="spellEnd"/>
      <w:r w:rsidRPr="00553007">
        <w:rPr>
          <w:lang w:val="fr-FR"/>
        </w:rPr>
        <w:t xml:space="preserve"> and K. </w:t>
      </w:r>
      <w:proofErr w:type="spellStart"/>
      <w:r w:rsidRPr="00553007">
        <w:rPr>
          <w:lang w:val="fr-FR"/>
        </w:rPr>
        <w:t>Muddell</w:t>
      </w:r>
      <w:proofErr w:type="spellEnd"/>
      <w:r w:rsidRPr="00553007">
        <w:rPr>
          <w:lang w:val="fr-FR"/>
        </w:rPr>
        <w:t>, (2016), p. 13.</w:t>
      </w:r>
    </w:p>
  </w:footnote>
  <w:footnote w:id="9">
    <w:p w14:paraId="2ED44E8A"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CI-121, CI-139, CI-142, CI-144.</w:t>
      </w:r>
    </w:p>
  </w:footnote>
  <w:footnote w:id="10">
    <w:p w14:paraId="21D5DC7A" w14:textId="07A98CAE" w:rsidR="00604B4A" w:rsidRPr="0064448A" w:rsidRDefault="00604B4A" w:rsidP="00B90CB6">
      <w:pPr>
        <w:pStyle w:val="FootnoteText"/>
        <w:ind w:firstLine="0"/>
        <w:rPr>
          <w:lang w:val="en-US"/>
        </w:rPr>
      </w:pPr>
      <w:r w:rsidRPr="00A57747">
        <w:rPr>
          <w:rStyle w:val="FootnoteReference"/>
        </w:rPr>
        <w:footnoteRef/>
      </w:r>
      <w:r w:rsidRPr="00553007">
        <w:rPr>
          <w:lang w:val="en-US"/>
        </w:rPr>
        <w:t xml:space="preserve"> See: Amnesty International, </w:t>
      </w:r>
      <w:proofErr w:type="gramStart"/>
      <w:r w:rsidRPr="00553007">
        <w:rPr>
          <w:i/>
          <w:lang w:val="en-US"/>
        </w:rPr>
        <w:t>Burundi :</w:t>
      </w:r>
      <w:proofErr w:type="gramEnd"/>
      <w:r w:rsidRPr="00553007">
        <w:rPr>
          <w:i/>
          <w:lang w:val="en-US"/>
        </w:rPr>
        <w:t xml:space="preserve"> briefing to the committee against torture</w:t>
      </w:r>
      <w:r w:rsidRPr="00553007">
        <w:rPr>
          <w:lang w:val="en-US"/>
        </w:rPr>
        <w:t xml:space="preserve">, 30 September 2006, </w:t>
      </w:r>
      <w:r>
        <w:rPr>
          <w:lang w:val="en-US"/>
        </w:rPr>
        <w:t>index no.</w:t>
      </w:r>
      <w:r w:rsidRPr="00553007">
        <w:rPr>
          <w:lang w:val="en-US"/>
        </w:rPr>
        <w:t>:AFR16/016/2006 (</w:t>
      </w:r>
      <w:hyperlink r:id="rId3" w:history="1">
        <w:r w:rsidRPr="00553007">
          <w:rPr>
            <w:rStyle w:val="Hyperlink"/>
            <w:lang w:val="en-US"/>
          </w:rPr>
          <w:t>https://www.amnesty.org/fr/documents/AFR16/016/2006/fr/</w:t>
        </w:r>
      </w:hyperlink>
      <w:r w:rsidRPr="00553007">
        <w:rPr>
          <w:lang w:val="en-US"/>
        </w:rPr>
        <w:t>) and more recently: Report of the United Nations High Commissioner for Human Rights on the situation of human rights in Burundi, 17 June 2016</w:t>
      </w:r>
      <w:r w:rsidRPr="000811BF">
        <w:rPr>
          <w:lang w:val="en-US"/>
        </w:rPr>
        <w:t>, A/HRC/32/30. A report by FIDH and</w:t>
      </w:r>
      <w:r w:rsidRPr="0064448A">
        <w:rPr>
          <w:lang w:val="en-US"/>
        </w:rPr>
        <w:t xml:space="preserve"> </w:t>
      </w:r>
      <w:proofErr w:type="spellStart"/>
      <w:r w:rsidRPr="00B90CB6">
        <w:rPr>
          <w:iCs/>
          <w:lang w:val="en-US"/>
        </w:rPr>
        <w:t>Ligue</w:t>
      </w:r>
      <w:proofErr w:type="spellEnd"/>
      <w:r w:rsidRPr="00B90CB6">
        <w:rPr>
          <w:iCs/>
          <w:lang w:val="en-US"/>
        </w:rPr>
        <w:t xml:space="preserve"> </w:t>
      </w:r>
      <w:proofErr w:type="spellStart"/>
      <w:r w:rsidRPr="00B90CB6">
        <w:rPr>
          <w:iCs/>
          <w:lang w:val="en-US"/>
        </w:rPr>
        <w:t>Iteka</w:t>
      </w:r>
      <w:proofErr w:type="spellEnd"/>
      <w:r w:rsidR="00B90CB6">
        <w:rPr>
          <w:lang w:val="en-US"/>
        </w:rPr>
        <w:t xml:space="preserve">, </w:t>
      </w:r>
      <w:r w:rsidRPr="000811BF">
        <w:rPr>
          <w:i/>
          <w:iCs/>
          <w:lang w:val="en-US"/>
        </w:rPr>
        <w:t xml:space="preserve">Burundi : </w:t>
      </w:r>
      <w:proofErr w:type="spellStart"/>
      <w:r w:rsidRPr="000811BF">
        <w:rPr>
          <w:i/>
          <w:iCs/>
          <w:lang w:val="en-US"/>
        </w:rPr>
        <w:t>une</w:t>
      </w:r>
      <w:proofErr w:type="spellEnd"/>
      <w:r w:rsidRPr="000811BF">
        <w:rPr>
          <w:i/>
          <w:iCs/>
          <w:lang w:val="en-US"/>
        </w:rPr>
        <w:t xml:space="preserve"> </w:t>
      </w:r>
      <w:proofErr w:type="spellStart"/>
      <w:r w:rsidRPr="000811BF">
        <w:rPr>
          <w:i/>
          <w:iCs/>
          <w:lang w:val="en-US"/>
        </w:rPr>
        <w:t>répression</w:t>
      </w:r>
      <w:proofErr w:type="spellEnd"/>
      <w:r w:rsidRPr="000811BF">
        <w:rPr>
          <w:i/>
          <w:iCs/>
          <w:lang w:val="en-US"/>
        </w:rPr>
        <w:t xml:space="preserve"> aux </w:t>
      </w:r>
      <w:proofErr w:type="spellStart"/>
      <w:r w:rsidRPr="000811BF">
        <w:rPr>
          <w:i/>
          <w:iCs/>
          <w:lang w:val="en-US"/>
        </w:rPr>
        <w:t>dynamiques</w:t>
      </w:r>
      <w:proofErr w:type="spellEnd"/>
      <w:r w:rsidRPr="000811BF">
        <w:rPr>
          <w:i/>
          <w:iCs/>
          <w:lang w:val="en-US"/>
        </w:rPr>
        <w:t xml:space="preserve"> </w:t>
      </w:r>
      <w:proofErr w:type="spellStart"/>
      <w:r w:rsidRPr="000811BF">
        <w:rPr>
          <w:i/>
          <w:iCs/>
          <w:lang w:val="en-US"/>
        </w:rPr>
        <w:t>génocidaires</w:t>
      </w:r>
      <w:proofErr w:type="spellEnd"/>
      <w:r w:rsidRPr="0064448A">
        <w:rPr>
          <w:lang w:val="en-US"/>
        </w:rPr>
        <w:t xml:space="preserve">, November 2016, however, adopts a more gender neutral approach and analyses the modus operandi of sexual violence targeting women and </w:t>
      </w:r>
      <w:r>
        <w:rPr>
          <w:lang w:val="en-US"/>
        </w:rPr>
        <w:t>that</w:t>
      </w:r>
      <w:r w:rsidRPr="0064448A">
        <w:rPr>
          <w:lang w:val="en-US"/>
        </w:rPr>
        <w:t xml:space="preserve"> </w:t>
      </w:r>
      <w:r>
        <w:rPr>
          <w:lang w:val="en-US"/>
        </w:rPr>
        <w:t>which targets</w:t>
      </w:r>
      <w:r w:rsidRPr="0064448A">
        <w:rPr>
          <w:lang w:val="en-US"/>
        </w:rPr>
        <w:t xml:space="preserve"> men in the chapter devoted to sexual and gender-based violence</w:t>
      </w:r>
      <w:r>
        <w:rPr>
          <w:lang w:val="en-US"/>
        </w:rPr>
        <w:t xml:space="preserve"> </w:t>
      </w:r>
      <w:r w:rsidRPr="0064448A">
        <w:rPr>
          <w:lang w:val="en-US"/>
        </w:rPr>
        <w:t>(</w:t>
      </w:r>
      <w:hyperlink r:id="rId4" w:history="1">
        <w:r w:rsidRPr="0064448A">
          <w:rPr>
            <w:rStyle w:val="Hyperlink"/>
            <w:lang w:val="en-US"/>
          </w:rPr>
          <w:t>https://oenz.de/sites/default/files/fidh_fr.pdf</w:t>
        </w:r>
      </w:hyperlink>
      <w:r w:rsidRPr="0064448A">
        <w:rPr>
          <w:lang w:val="en-US"/>
        </w:rPr>
        <w:t>).</w:t>
      </w:r>
    </w:p>
  </w:footnote>
  <w:footnote w:id="11">
    <w:p w14:paraId="2477EDB8" w14:textId="77777777" w:rsidR="00604B4A" w:rsidRPr="00A57747" w:rsidRDefault="00604B4A" w:rsidP="00B90CB6">
      <w:pPr>
        <w:pStyle w:val="FootnoteText"/>
        <w:ind w:firstLine="0"/>
      </w:pPr>
      <w:r w:rsidRPr="00A57747">
        <w:rPr>
          <w:rStyle w:val="FootnoteReference"/>
        </w:rPr>
        <w:footnoteRef/>
      </w:r>
      <w:r w:rsidRPr="00A57747">
        <w:t xml:space="preserve"> African Commission on Human and Peoples’ Rights, </w:t>
      </w:r>
      <w:r w:rsidRPr="00A57747">
        <w:rPr>
          <w:i/>
        </w:rPr>
        <w:t>General Comment No. 4 on the African Charter on Human and Peoples’ Rights: The Right to Redress for Victims of Torture and Other Cruel, Inhuman or Degrading Punishment or Treatment (Article 5)</w:t>
      </w:r>
      <w:r w:rsidRPr="00A57747">
        <w:t xml:space="preserve"> (2017), par</w:t>
      </w:r>
      <w:r>
        <w:t>a</w:t>
      </w:r>
      <w:r w:rsidRPr="00A57747">
        <w:t>. 59.</w:t>
      </w:r>
    </w:p>
  </w:footnote>
  <w:footnote w:id="12">
    <w:p w14:paraId="27E76491" w14:textId="77777777" w:rsidR="00604B4A" w:rsidRPr="00A57747" w:rsidRDefault="00604B4A" w:rsidP="00B90CB6">
      <w:pPr>
        <w:pStyle w:val="FootnoteText"/>
        <w:ind w:firstLine="0"/>
      </w:pPr>
      <w:r w:rsidRPr="00A57747">
        <w:rPr>
          <w:rStyle w:val="FootnoteReference"/>
        </w:rPr>
        <w:footnoteRef/>
      </w:r>
      <w:r w:rsidRPr="00A57747">
        <w:t xml:space="preserve"> S. </w:t>
      </w:r>
      <w:proofErr w:type="spellStart"/>
      <w:r w:rsidRPr="00A57747">
        <w:t>Sivakumaran</w:t>
      </w:r>
      <w:proofErr w:type="spellEnd"/>
      <w:r w:rsidRPr="00A57747">
        <w:t xml:space="preserve">, </w:t>
      </w:r>
      <w:r w:rsidRPr="00A57747">
        <w:rPr>
          <w:i/>
        </w:rPr>
        <w:t>Sexual violence against men in armed conflict</w:t>
      </w:r>
      <w:r w:rsidRPr="00A57747">
        <w:t>, The European Journal of International Law, (2007) vol. 18 n. 2, p. 260.</w:t>
      </w:r>
    </w:p>
  </w:footnote>
  <w:footnote w:id="13">
    <w:p w14:paraId="5309D6E8" w14:textId="55428569" w:rsidR="00C4726F" w:rsidRPr="00C4726F" w:rsidRDefault="00C4726F" w:rsidP="00B90CB6">
      <w:pPr>
        <w:pStyle w:val="FootnoteText"/>
        <w:ind w:firstLine="0"/>
        <w:rPr>
          <w:lang w:val="fr-CH"/>
        </w:rPr>
      </w:pPr>
      <w:r>
        <w:rPr>
          <w:rStyle w:val="FootnoteReference"/>
        </w:rPr>
        <w:footnoteRef/>
      </w:r>
      <w:r w:rsidRPr="00C4726F">
        <w:rPr>
          <w:lang w:val="fr-CH"/>
        </w:rPr>
        <w:t xml:space="preserve"> </w:t>
      </w:r>
      <w:r w:rsidRPr="00C3547D">
        <w:rPr>
          <w:lang w:val="it-IT"/>
        </w:rPr>
        <w:t>CI-047, MI-046</w:t>
      </w:r>
      <w:r>
        <w:rPr>
          <w:lang w:val="it-IT"/>
        </w:rPr>
        <w:t>.</w:t>
      </w:r>
    </w:p>
  </w:footnote>
  <w:footnote w:id="14">
    <w:p w14:paraId="10D00A62" w14:textId="1D19E5D2" w:rsidR="00C4726F" w:rsidRPr="00C4726F" w:rsidRDefault="00C4726F" w:rsidP="00B90CB6">
      <w:pPr>
        <w:pStyle w:val="FootnoteText"/>
        <w:ind w:firstLine="0"/>
        <w:rPr>
          <w:lang w:val="it-IT"/>
        </w:rPr>
      </w:pPr>
      <w:r>
        <w:rPr>
          <w:rStyle w:val="FootnoteReference"/>
        </w:rPr>
        <w:footnoteRef/>
      </w:r>
      <w:r w:rsidRPr="00C4726F">
        <w:rPr>
          <w:lang w:val="fr-CH"/>
        </w:rPr>
        <w:t xml:space="preserve"> </w:t>
      </w:r>
      <w:r w:rsidRPr="00C3547D">
        <w:rPr>
          <w:lang w:val="it-IT"/>
        </w:rPr>
        <w:t>CI-04</w:t>
      </w:r>
      <w:r>
        <w:rPr>
          <w:lang w:val="it-IT"/>
        </w:rPr>
        <w:t>7</w:t>
      </w:r>
      <w:r w:rsidRPr="00C3547D">
        <w:rPr>
          <w:lang w:val="it-IT"/>
        </w:rPr>
        <w:t>, KI-005, MI-046, MI-070, TI-028, TI-031, TI-080, TI-133.</w:t>
      </w:r>
    </w:p>
  </w:footnote>
  <w:footnote w:id="15">
    <w:p w14:paraId="22F8774B" w14:textId="5D845FC6" w:rsidR="00C4726F" w:rsidRPr="00C4726F" w:rsidRDefault="00C4726F" w:rsidP="00B90CB6">
      <w:pPr>
        <w:pStyle w:val="FootnoteText"/>
        <w:ind w:firstLine="0"/>
        <w:rPr>
          <w:lang w:val="fr-CH"/>
        </w:rPr>
      </w:pPr>
      <w:r>
        <w:rPr>
          <w:rStyle w:val="FootnoteReference"/>
        </w:rPr>
        <w:footnoteRef/>
      </w:r>
      <w:r w:rsidRPr="00C4726F">
        <w:rPr>
          <w:lang w:val="fr-CH"/>
        </w:rPr>
        <w:t xml:space="preserve"> </w:t>
      </w:r>
      <w:r>
        <w:rPr>
          <w:lang w:val="it-IT"/>
        </w:rPr>
        <w:t xml:space="preserve">CI-100, </w:t>
      </w:r>
      <w:r>
        <w:rPr>
          <w:lang w:val="it-IT"/>
        </w:rPr>
        <w:t>CI-122</w:t>
      </w:r>
      <w:r w:rsidRPr="00C3547D">
        <w:rPr>
          <w:lang w:val="it-IT"/>
        </w:rPr>
        <w:t>.</w:t>
      </w:r>
    </w:p>
  </w:footnote>
  <w:footnote w:id="16">
    <w:p w14:paraId="464C2C61" w14:textId="11D82E49" w:rsidR="00C4726F" w:rsidRPr="00C4726F" w:rsidRDefault="00C4726F" w:rsidP="00B90CB6">
      <w:pPr>
        <w:pStyle w:val="FootnoteText"/>
        <w:ind w:firstLine="0"/>
        <w:rPr>
          <w:lang w:val="fr-CH"/>
        </w:rPr>
      </w:pPr>
      <w:r>
        <w:rPr>
          <w:rStyle w:val="FootnoteReference"/>
        </w:rPr>
        <w:footnoteRef/>
      </w:r>
      <w:r w:rsidRPr="00C4726F">
        <w:rPr>
          <w:lang w:val="fr-CH"/>
        </w:rPr>
        <w:t xml:space="preserve"> </w:t>
      </w:r>
      <w:r w:rsidRPr="00C3547D">
        <w:rPr>
          <w:lang w:val="it-IT"/>
        </w:rPr>
        <w:t>DI-087, MI-044, QI-062, TI-047.</w:t>
      </w:r>
    </w:p>
  </w:footnote>
  <w:footnote w:id="17">
    <w:p w14:paraId="65A466AD" w14:textId="47607038" w:rsidR="00C4726F" w:rsidRPr="007220CD" w:rsidRDefault="00C4726F" w:rsidP="00B90CB6">
      <w:pPr>
        <w:pStyle w:val="FootnoteText"/>
        <w:ind w:firstLine="0"/>
        <w:rPr>
          <w:lang w:val="fr-CH"/>
        </w:rPr>
      </w:pPr>
      <w:r>
        <w:rPr>
          <w:rStyle w:val="FootnoteReference"/>
        </w:rPr>
        <w:footnoteRef/>
      </w:r>
      <w:r w:rsidRPr="007220CD">
        <w:rPr>
          <w:lang w:val="fr-CH"/>
        </w:rPr>
        <w:t xml:space="preserve"> </w:t>
      </w:r>
      <w:r w:rsidRPr="00C3547D">
        <w:rPr>
          <w:lang w:val="it-IT"/>
        </w:rPr>
        <w:t xml:space="preserve">CI-101, </w:t>
      </w:r>
      <w:r w:rsidRPr="00C3547D">
        <w:rPr>
          <w:lang w:val="it-IT"/>
        </w:rPr>
        <w:t>DI-115, MI-082.</w:t>
      </w:r>
    </w:p>
  </w:footnote>
  <w:footnote w:id="18">
    <w:p w14:paraId="20628D15" w14:textId="6AD47376" w:rsidR="007220CD" w:rsidRPr="007220CD" w:rsidRDefault="007220CD" w:rsidP="00B90CB6">
      <w:pPr>
        <w:pStyle w:val="FootnoteText"/>
        <w:ind w:firstLine="0"/>
        <w:rPr>
          <w:lang w:val="fr-CH"/>
        </w:rPr>
      </w:pPr>
      <w:r>
        <w:rPr>
          <w:rStyle w:val="FootnoteReference"/>
        </w:rPr>
        <w:footnoteRef/>
      </w:r>
      <w:r w:rsidRPr="007220CD">
        <w:rPr>
          <w:lang w:val="fr-CH"/>
        </w:rPr>
        <w:t xml:space="preserve"> </w:t>
      </w:r>
      <w:r w:rsidRPr="00C3547D">
        <w:rPr>
          <w:lang w:val="it-IT"/>
        </w:rPr>
        <w:t xml:space="preserve">CI-100, </w:t>
      </w:r>
      <w:r w:rsidRPr="00C3547D">
        <w:rPr>
          <w:lang w:val="it-IT"/>
        </w:rPr>
        <w:t xml:space="preserve">DI-087, DI-115, </w:t>
      </w:r>
      <w:r w:rsidRPr="005177D7">
        <w:rPr>
          <w:lang w:val="it-IT"/>
        </w:rPr>
        <w:t>JI-160, JI-168</w:t>
      </w:r>
      <w:r w:rsidRPr="00C3547D">
        <w:rPr>
          <w:lang w:val="it-IT"/>
        </w:rPr>
        <w:t>, KI-004, KI-005, KI-070, MI-044, QI-062.</w:t>
      </w:r>
    </w:p>
  </w:footnote>
  <w:footnote w:id="19">
    <w:p w14:paraId="7D3E9F63" w14:textId="53B1960A" w:rsidR="007220CD" w:rsidRPr="007220CD" w:rsidRDefault="007220CD" w:rsidP="00B90CB6">
      <w:pPr>
        <w:pStyle w:val="FootnoteText"/>
        <w:ind w:firstLine="0"/>
        <w:rPr>
          <w:lang w:val="fr-CH"/>
        </w:rPr>
      </w:pPr>
      <w:r>
        <w:rPr>
          <w:rStyle w:val="FootnoteReference"/>
        </w:rPr>
        <w:footnoteRef/>
      </w:r>
      <w:r w:rsidRPr="007220CD">
        <w:rPr>
          <w:lang w:val="fr-CH"/>
        </w:rPr>
        <w:t xml:space="preserve"> </w:t>
      </w:r>
      <w:r w:rsidRPr="00C3547D">
        <w:rPr>
          <w:lang w:val="it-IT"/>
        </w:rPr>
        <w:t xml:space="preserve">CI-047, </w:t>
      </w:r>
      <w:r w:rsidRPr="00C3547D">
        <w:rPr>
          <w:lang w:val="it-IT"/>
        </w:rPr>
        <w:t>CI-101, QI-227, TI-028, TI-031, TI-080, TI-133.</w:t>
      </w:r>
    </w:p>
  </w:footnote>
  <w:footnote w:id="20">
    <w:p w14:paraId="7309D568"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CI-139.</w:t>
      </w:r>
    </w:p>
  </w:footnote>
  <w:footnote w:id="21">
    <w:p w14:paraId="5B4CE29A"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 xml:space="preserve">KI-005, </w:t>
      </w:r>
      <w:r w:rsidRPr="00553007">
        <w:rPr>
          <w:lang w:val="da-DK"/>
        </w:rPr>
        <w:t xml:space="preserve">KI-070, TI-028, TI-031. </w:t>
      </w:r>
    </w:p>
  </w:footnote>
  <w:footnote w:id="22">
    <w:p w14:paraId="2F9E1679" w14:textId="77777777" w:rsidR="00604B4A" w:rsidRPr="00553007" w:rsidRDefault="00604B4A" w:rsidP="00B90CB6">
      <w:pPr>
        <w:pStyle w:val="FootnoteText"/>
        <w:ind w:firstLine="0"/>
        <w:rPr>
          <w:i/>
          <w:lang w:val="da-DK"/>
        </w:rPr>
      </w:pPr>
      <w:r w:rsidRPr="00A57747">
        <w:rPr>
          <w:rStyle w:val="FootnoteReference"/>
        </w:rPr>
        <w:footnoteRef/>
      </w:r>
      <w:r w:rsidRPr="00553007">
        <w:rPr>
          <w:lang w:val="da-DK"/>
        </w:rPr>
        <w:t xml:space="preserve"> </w:t>
      </w:r>
      <w:r w:rsidRPr="00553007">
        <w:rPr>
          <w:lang w:val="da-DK"/>
        </w:rPr>
        <w:t xml:space="preserve">CI-047, </w:t>
      </w:r>
      <w:r w:rsidRPr="00553007">
        <w:rPr>
          <w:lang w:val="da-DK"/>
        </w:rPr>
        <w:t>CI-100, KI-005, TI-047, TI-133.</w:t>
      </w:r>
    </w:p>
  </w:footnote>
  <w:footnote w:id="23">
    <w:p w14:paraId="5ED0E258"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 xml:space="preserve">CI-101, </w:t>
      </w:r>
      <w:r w:rsidRPr="00553007">
        <w:rPr>
          <w:lang w:val="da-DK"/>
        </w:rPr>
        <w:t>JI-121, KI-004, MI-044, MI-046, MI-070.</w:t>
      </w:r>
    </w:p>
  </w:footnote>
  <w:footnote w:id="24">
    <w:p w14:paraId="0E882143"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 xml:space="preserve">JI-073, </w:t>
      </w:r>
      <w:r w:rsidRPr="00553007">
        <w:rPr>
          <w:lang w:val="da-DK"/>
        </w:rPr>
        <w:t>MI-044, MI-070, TI-028, TI-133.</w:t>
      </w:r>
    </w:p>
  </w:footnote>
  <w:footnote w:id="25">
    <w:p w14:paraId="1770D245"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JI-125, KI-018, TI-031.</w:t>
      </w:r>
    </w:p>
  </w:footnote>
  <w:footnote w:id="26">
    <w:p w14:paraId="5E3F6D1E"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CI-088, CI-101, DI-087, DI-115, JI-122, JI-125.</w:t>
      </w:r>
    </w:p>
  </w:footnote>
  <w:footnote w:id="27">
    <w:p w14:paraId="4249FFC0" w14:textId="77777777" w:rsidR="00604B4A" w:rsidRPr="00A57747" w:rsidRDefault="00604B4A" w:rsidP="00B90CB6">
      <w:pPr>
        <w:pStyle w:val="FootnoteText"/>
        <w:ind w:firstLine="0"/>
      </w:pPr>
      <w:r w:rsidRPr="00A57747">
        <w:rPr>
          <w:rStyle w:val="FootnoteReference"/>
        </w:rPr>
        <w:footnoteRef/>
      </w:r>
      <w:r w:rsidRPr="00A57747">
        <w:t xml:space="preserve"> JI-121. </w:t>
      </w:r>
      <w:r w:rsidRPr="003133F0">
        <w:t>Women have generally been</w:t>
      </w:r>
      <w:r w:rsidRPr="00553007">
        <w:t xml:space="preserve"> </w:t>
      </w:r>
      <w:r w:rsidRPr="003133F0">
        <w:t>more targeted for this reason.</w:t>
      </w:r>
    </w:p>
  </w:footnote>
  <w:footnote w:id="28">
    <w:p w14:paraId="2BE53926"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KI-005, MI-044.</w:t>
      </w:r>
    </w:p>
  </w:footnote>
  <w:footnote w:id="29">
    <w:p w14:paraId="13CE3CD3"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JI-121, </w:t>
      </w:r>
      <w:r w:rsidRPr="00553007">
        <w:rPr>
          <w:lang w:val="da-DK"/>
        </w:rPr>
        <w:t>MI-044, TI-028.</w:t>
      </w:r>
    </w:p>
  </w:footnote>
  <w:footnote w:id="30">
    <w:p w14:paraId="6A003235"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CI-144, KI-070, QI-062, TI-031.</w:t>
      </w:r>
    </w:p>
  </w:footnote>
  <w:footnote w:id="31">
    <w:p w14:paraId="24930701"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CI-139, CI-144.</w:t>
      </w:r>
    </w:p>
  </w:footnote>
  <w:footnote w:id="32">
    <w:p w14:paraId="37806C7C"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CI-139, JI-073, JI-121, MI-044, TI-031, TI-196.</w:t>
      </w:r>
    </w:p>
  </w:footnote>
  <w:footnote w:id="33">
    <w:p w14:paraId="54CE9096"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JI-073.</w:t>
      </w:r>
    </w:p>
  </w:footnote>
  <w:footnote w:id="34">
    <w:p w14:paraId="5916963A" w14:textId="0D6E4D5F" w:rsidR="00717965" w:rsidRPr="00717965" w:rsidRDefault="00717965" w:rsidP="00B90CB6">
      <w:pPr>
        <w:pStyle w:val="FootnoteText"/>
        <w:ind w:firstLine="0"/>
        <w:rPr>
          <w:lang w:val="fr-CH"/>
        </w:rPr>
      </w:pPr>
      <w:r>
        <w:rPr>
          <w:rStyle w:val="FootnoteReference"/>
        </w:rPr>
        <w:footnoteRef/>
      </w:r>
      <w:r w:rsidRPr="00717965">
        <w:rPr>
          <w:lang w:val="fr-CH"/>
        </w:rPr>
        <w:t xml:space="preserve"> </w:t>
      </w:r>
      <w:r w:rsidRPr="00A82E38">
        <w:rPr>
          <w:lang w:val="it-IT"/>
        </w:rPr>
        <w:t>CI-139</w:t>
      </w:r>
      <w:r>
        <w:rPr>
          <w:lang w:val="it-IT"/>
        </w:rPr>
        <w:t>,</w:t>
      </w:r>
      <w:r w:rsidRPr="00A82E38">
        <w:rPr>
          <w:lang w:val="it-IT"/>
        </w:rPr>
        <w:t xml:space="preserve"> CI-144</w:t>
      </w:r>
      <w:r>
        <w:rPr>
          <w:lang w:val="it-IT"/>
        </w:rPr>
        <w:t>.</w:t>
      </w:r>
    </w:p>
  </w:footnote>
  <w:footnote w:id="35">
    <w:p w14:paraId="138DA588"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CI-047, JI-073, TI-047. </w:t>
      </w:r>
    </w:p>
  </w:footnote>
  <w:footnote w:id="36">
    <w:p w14:paraId="3C14207B"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JI-073.</w:t>
      </w:r>
    </w:p>
  </w:footnote>
  <w:footnote w:id="37">
    <w:p w14:paraId="6B2EF2DC"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CI-047, DI-115, JI-073, JI-125, KI-004, MI-082, QI-062, TI-031.</w:t>
      </w:r>
    </w:p>
  </w:footnote>
  <w:footnote w:id="38">
    <w:p w14:paraId="0327DC82" w14:textId="407C676B" w:rsidR="00604B4A" w:rsidRPr="000811BF" w:rsidRDefault="00604B4A" w:rsidP="00B90CB6">
      <w:pPr>
        <w:pStyle w:val="FootnoteText"/>
        <w:ind w:firstLine="0"/>
      </w:pPr>
      <w:r w:rsidRPr="000811BF">
        <w:rPr>
          <w:rStyle w:val="FootnoteReference"/>
        </w:rPr>
        <w:footnoteRef/>
      </w:r>
      <w:r w:rsidRPr="00253F76">
        <w:t xml:space="preserve"> CI-100, CI-121, CI-139, CI-142. </w:t>
      </w:r>
      <w:r w:rsidRPr="000811BF">
        <w:t xml:space="preserve">Also see: A/HRC/33/37, </w:t>
      </w:r>
      <w:r w:rsidRPr="000811BF">
        <w:rPr>
          <w:i/>
          <w:iCs/>
        </w:rPr>
        <w:t>Report of the United Nations’ Independent Inquiry on Burundi</w:t>
      </w:r>
      <w:r w:rsidRPr="000811BF">
        <w:t xml:space="preserve"> </w:t>
      </w:r>
      <w:r w:rsidRPr="000811BF">
        <w:rPr>
          <w:i/>
        </w:rPr>
        <w:t>(EINUB),</w:t>
      </w:r>
      <w:r w:rsidRPr="000811BF">
        <w:t xml:space="preserve"> (2016), para. 53-54. Reports by </w:t>
      </w:r>
      <w:r w:rsidR="00B90CB6">
        <w:t>h</w:t>
      </w:r>
      <w:r w:rsidRPr="000811BF">
        <w:t xml:space="preserve">uman </w:t>
      </w:r>
      <w:r w:rsidR="00B90CB6">
        <w:t>r</w:t>
      </w:r>
      <w:r w:rsidRPr="000811BF">
        <w:t xml:space="preserve">ights organisations also mention the use of this type of practice, in particular those cited above by FIDH and </w:t>
      </w:r>
      <w:proofErr w:type="spellStart"/>
      <w:r w:rsidRPr="00B90CB6">
        <w:rPr>
          <w:iCs/>
        </w:rPr>
        <w:t>Ligue</w:t>
      </w:r>
      <w:proofErr w:type="spellEnd"/>
      <w:r w:rsidRPr="00B90CB6">
        <w:rPr>
          <w:iCs/>
        </w:rPr>
        <w:t xml:space="preserve"> </w:t>
      </w:r>
      <w:proofErr w:type="spellStart"/>
      <w:r w:rsidRPr="00B90CB6">
        <w:rPr>
          <w:iCs/>
        </w:rPr>
        <w:t>Iteka</w:t>
      </w:r>
      <w:proofErr w:type="spellEnd"/>
      <w:r w:rsidRPr="00B90CB6">
        <w:t>,</w:t>
      </w:r>
      <w:r w:rsidRPr="000811BF">
        <w:t xml:space="preserve"> see supra note. https://www.hrw.org/fr/news/2016/07/07/burundi-des-agents-du-service-national-de-renseignement-ont-torture-des-opposants.</w:t>
      </w:r>
    </w:p>
  </w:footnote>
  <w:footnote w:id="39">
    <w:p w14:paraId="2B4320FF" w14:textId="77777777" w:rsidR="00604B4A" w:rsidRPr="00553007" w:rsidRDefault="00604B4A" w:rsidP="00B90CB6">
      <w:pPr>
        <w:pStyle w:val="FootnoteText"/>
        <w:ind w:firstLine="0"/>
        <w:rPr>
          <w:lang w:val="fr-FR"/>
        </w:rPr>
      </w:pPr>
      <w:r w:rsidRPr="000811BF">
        <w:rPr>
          <w:rStyle w:val="FootnoteReference"/>
        </w:rPr>
        <w:footnoteRef/>
      </w:r>
      <w:r w:rsidRPr="000811BF">
        <w:rPr>
          <w:lang w:val="fr-FR"/>
        </w:rPr>
        <w:t xml:space="preserve"> CI-139, JI-125, TI-031</w:t>
      </w:r>
      <w:r w:rsidRPr="00553007">
        <w:rPr>
          <w:lang w:val="fr-FR"/>
        </w:rPr>
        <w:t xml:space="preserve">. </w:t>
      </w:r>
    </w:p>
  </w:footnote>
  <w:footnote w:id="40">
    <w:p w14:paraId="4955B234"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CI-139.</w:t>
      </w:r>
    </w:p>
  </w:footnote>
  <w:footnote w:id="41">
    <w:p w14:paraId="77A23E04"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JI-125.</w:t>
      </w:r>
    </w:p>
  </w:footnote>
  <w:footnote w:id="42">
    <w:p w14:paraId="26322A72"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JI-125.</w:t>
      </w:r>
    </w:p>
  </w:footnote>
  <w:footnote w:id="43">
    <w:p w14:paraId="6D932F27"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 xml:space="preserve">QI-227, </w:t>
      </w:r>
      <w:r w:rsidRPr="00553007">
        <w:rPr>
          <w:lang w:val="da-DK"/>
        </w:rPr>
        <w:t>TI-047, TI-066, TI-133.</w:t>
      </w:r>
    </w:p>
  </w:footnote>
  <w:footnote w:id="44">
    <w:p w14:paraId="4284DFE8"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JI-121.</w:t>
      </w:r>
    </w:p>
  </w:footnote>
  <w:footnote w:id="45">
    <w:p w14:paraId="7E8EA11E"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 xml:space="preserve">JI-125, MI-046, TI-080. </w:t>
      </w:r>
    </w:p>
  </w:footnote>
  <w:footnote w:id="46">
    <w:p w14:paraId="40C7F3EF"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CI-122.</w:t>
      </w:r>
    </w:p>
  </w:footnote>
  <w:footnote w:id="47">
    <w:p w14:paraId="51E5F15D"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MI-044.</w:t>
      </w:r>
    </w:p>
  </w:footnote>
  <w:footnote w:id="48">
    <w:p w14:paraId="7D6958F2"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JI-125, KI-004, QI-037.</w:t>
      </w:r>
    </w:p>
  </w:footnote>
  <w:footnote w:id="49">
    <w:p w14:paraId="4D8625CA"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CI-122.</w:t>
      </w:r>
    </w:p>
  </w:footnote>
  <w:footnote w:id="50">
    <w:p w14:paraId="2E648330"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KI-018.</w:t>
      </w:r>
    </w:p>
  </w:footnote>
  <w:footnote w:id="51">
    <w:p w14:paraId="610982E1"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JI-125.</w:t>
      </w:r>
    </w:p>
  </w:footnote>
  <w:footnote w:id="52">
    <w:p w14:paraId="44EEE5A7"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CI-122, TI-047.</w:t>
      </w:r>
    </w:p>
  </w:footnote>
  <w:footnote w:id="53">
    <w:p w14:paraId="1BED116F"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CI-122.</w:t>
      </w:r>
    </w:p>
  </w:footnote>
  <w:footnote w:id="54">
    <w:p w14:paraId="70C29A06" w14:textId="00C31963" w:rsidR="00604B4A" w:rsidRPr="00A57747" w:rsidRDefault="00604B4A" w:rsidP="00B90CB6">
      <w:pPr>
        <w:pStyle w:val="FootnoteText"/>
        <w:ind w:firstLine="0"/>
      </w:pPr>
      <w:r w:rsidRPr="00A57747">
        <w:rPr>
          <w:rStyle w:val="FootnoteReference"/>
        </w:rPr>
        <w:footnoteRef/>
      </w:r>
      <w:r w:rsidRPr="00A57747">
        <w:t xml:space="preserve"> R. Charli Carpenter, </w:t>
      </w:r>
      <w:r w:rsidRPr="00717965">
        <w:rPr>
          <w:i/>
        </w:rPr>
        <w:t>Recognizing gender-based violence against civilian men and boys in conflict situations</w:t>
      </w:r>
      <w:r w:rsidRPr="00A57747">
        <w:t xml:space="preserve">, in Security Dialogue, </w:t>
      </w:r>
      <w:r w:rsidR="006578A2">
        <w:t>v</w:t>
      </w:r>
      <w:r w:rsidRPr="00A57747">
        <w:t xml:space="preserve">ol. 37, </w:t>
      </w:r>
      <w:r w:rsidR="006578A2">
        <w:t>n</w:t>
      </w:r>
      <w:r w:rsidRPr="00A57747">
        <w:t xml:space="preserve">o. 1 (2006), p. 95-96; S. </w:t>
      </w:r>
      <w:proofErr w:type="spellStart"/>
      <w:r w:rsidRPr="00A57747">
        <w:t>Sivakumaran</w:t>
      </w:r>
      <w:proofErr w:type="spellEnd"/>
      <w:r w:rsidR="006578A2">
        <w:t xml:space="preserve"> (2007),</w:t>
      </w:r>
      <w:r w:rsidRPr="00A57747">
        <w:t xml:space="preserve"> </w:t>
      </w:r>
      <w:r w:rsidR="006578A2" w:rsidRPr="006578A2">
        <w:rPr>
          <w:i/>
        </w:rPr>
        <w:t>op. cit.</w:t>
      </w:r>
      <w:r w:rsidRPr="00A57747">
        <w:t xml:space="preserve">, p. 263-264. </w:t>
      </w:r>
    </w:p>
  </w:footnote>
  <w:footnote w:id="55">
    <w:p w14:paraId="749BDC0D"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CI-100.</w:t>
      </w:r>
    </w:p>
  </w:footnote>
  <w:footnote w:id="56">
    <w:p w14:paraId="1A55D2F0"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CI-096.</w:t>
      </w:r>
    </w:p>
  </w:footnote>
  <w:footnote w:id="57">
    <w:p w14:paraId="698A1089"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CI-101, KI-004. </w:t>
      </w:r>
    </w:p>
  </w:footnote>
  <w:footnote w:id="58">
    <w:p w14:paraId="70A93F51"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KI-004.</w:t>
      </w:r>
    </w:p>
  </w:footnote>
  <w:footnote w:id="59">
    <w:p w14:paraId="27EF07AE" w14:textId="77777777" w:rsidR="00604B4A" w:rsidRPr="00A57747" w:rsidRDefault="00604B4A" w:rsidP="00B90CB6">
      <w:pPr>
        <w:pStyle w:val="FootnoteText"/>
        <w:ind w:firstLine="0"/>
      </w:pPr>
      <w:r w:rsidRPr="00A57747">
        <w:rPr>
          <w:rStyle w:val="FootnoteReference"/>
        </w:rPr>
        <w:footnoteRef/>
      </w:r>
      <w:r w:rsidRPr="00A57747">
        <w:t xml:space="preserve"> CI-101.</w:t>
      </w:r>
    </w:p>
  </w:footnote>
  <w:footnote w:id="60">
    <w:p w14:paraId="18065E6D" w14:textId="77777777" w:rsidR="00604B4A" w:rsidRPr="00A57747" w:rsidRDefault="00604B4A" w:rsidP="00B90CB6">
      <w:pPr>
        <w:pStyle w:val="FootnoteText"/>
        <w:ind w:firstLine="0"/>
      </w:pPr>
      <w:r w:rsidRPr="00A57747">
        <w:rPr>
          <w:rStyle w:val="FootnoteReference"/>
        </w:rPr>
        <w:footnoteRef/>
      </w:r>
      <w:r w:rsidRPr="00A57747">
        <w:t xml:space="preserve"> KI-070.</w:t>
      </w:r>
    </w:p>
  </w:footnote>
  <w:footnote w:id="61">
    <w:p w14:paraId="7A2BF179" w14:textId="77777777" w:rsidR="00604B4A" w:rsidRPr="00553007" w:rsidRDefault="00604B4A" w:rsidP="00B90CB6">
      <w:pPr>
        <w:pStyle w:val="FootnoteText"/>
        <w:ind w:firstLine="0"/>
        <w:rPr>
          <w:lang w:val="fr-FR"/>
        </w:rPr>
      </w:pPr>
      <w:r w:rsidRPr="00A57747">
        <w:rPr>
          <w:rStyle w:val="FootnoteReference"/>
        </w:rPr>
        <w:footnoteRef/>
      </w:r>
      <w:r w:rsidRPr="00E0112C">
        <w:rPr>
          <w:lang w:val="en-US"/>
        </w:rPr>
        <w:t xml:space="preserve"> Nudity here is understood as th</w:t>
      </w:r>
      <w:r>
        <w:rPr>
          <w:lang w:val="en-US"/>
        </w:rPr>
        <w:t>e</w:t>
      </w:r>
      <w:r w:rsidRPr="00E0112C">
        <w:rPr>
          <w:lang w:val="en-US"/>
        </w:rPr>
        <w:t xml:space="preserve"> nudity of a person’s genitals or that of the</w:t>
      </w:r>
      <w:r>
        <w:rPr>
          <w:lang w:val="en-US"/>
        </w:rPr>
        <w:t>ir</w:t>
      </w:r>
      <w:r w:rsidRPr="00E0112C">
        <w:rPr>
          <w:lang w:val="en-US"/>
        </w:rPr>
        <w:t xml:space="preserve"> sexualized body parts (</w:t>
      </w:r>
      <w:r>
        <w:rPr>
          <w:lang w:val="en-US"/>
        </w:rPr>
        <w:t xml:space="preserve">breasts, </w:t>
      </w:r>
      <w:r w:rsidRPr="00E0112C">
        <w:rPr>
          <w:lang w:val="en-US"/>
        </w:rPr>
        <w:t xml:space="preserve">buttocks). </w:t>
      </w:r>
      <w:r w:rsidRPr="00553007">
        <w:rPr>
          <w:lang w:val="fr-FR"/>
        </w:rPr>
        <w:t>CI-047, CI-101, CI-122, CI-139, DI-087, JI-073, JI-121, JI-122, JI-125, KI-018, MI-044, MI-082, TI-028.</w:t>
      </w:r>
    </w:p>
  </w:footnote>
  <w:footnote w:id="62">
    <w:p w14:paraId="02DB9683" w14:textId="77777777" w:rsidR="00604B4A" w:rsidRPr="00DE2B32" w:rsidRDefault="00604B4A" w:rsidP="00B90CB6">
      <w:pPr>
        <w:pStyle w:val="FootnoteText"/>
        <w:ind w:firstLine="0"/>
      </w:pPr>
      <w:r w:rsidRPr="00A57747">
        <w:rPr>
          <w:rStyle w:val="FootnoteReference"/>
        </w:rPr>
        <w:footnoteRef/>
      </w:r>
      <w:r w:rsidRPr="00DE2B32">
        <w:t xml:space="preserve"> CI-139, JI-125.</w:t>
      </w:r>
    </w:p>
  </w:footnote>
  <w:footnote w:id="63">
    <w:p w14:paraId="3D29D444" w14:textId="737D5CA0" w:rsidR="00604B4A" w:rsidRPr="00DE2B32" w:rsidRDefault="00604B4A" w:rsidP="00B90CB6">
      <w:pPr>
        <w:pStyle w:val="FootnoteText"/>
        <w:ind w:firstLine="0"/>
      </w:pPr>
      <w:r w:rsidRPr="00A57747">
        <w:rPr>
          <w:rStyle w:val="FootnoteReference"/>
        </w:rPr>
        <w:footnoteRef/>
      </w:r>
      <w:r w:rsidRPr="00DE2B32">
        <w:t xml:space="preserve"> JI-121, KI-070. See </w:t>
      </w:r>
      <w:proofErr w:type="gramStart"/>
      <w:r w:rsidRPr="00DE2B32">
        <w:t>also :</w:t>
      </w:r>
      <w:proofErr w:type="gramEnd"/>
      <w:r w:rsidRPr="00DE2B32">
        <w:t xml:space="preserve"> S. </w:t>
      </w:r>
      <w:proofErr w:type="spellStart"/>
      <w:r w:rsidRPr="00DE2B32">
        <w:t>Sivakumaran</w:t>
      </w:r>
      <w:proofErr w:type="spellEnd"/>
      <w:r w:rsidR="006578A2">
        <w:t xml:space="preserve"> (2007), </w:t>
      </w:r>
      <w:proofErr w:type="spellStart"/>
      <w:r w:rsidR="006578A2" w:rsidRPr="006578A2">
        <w:rPr>
          <w:i/>
        </w:rPr>
        <w:t>op.cit</w:t>
      </w:r>
      <w:proofErr w:type="spellEnd"/>
      <w:r w:rsidR="006578A2">
        <w:t>.</w:t>
      </w:r>
      <w:r w:rsidRPr="00DE2B32">
        <w:t>, p. 266.</w:t>
      </w:r>
    </w:p>
  </w:footnote>
  <w:footnote w:id="64">
    <w:p w14:paraId="08C102C9"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TI-028.</w:t>
      </w:r>
    </w:p>
  </w:footnote>
  <w:footnote w:id="65">
    <w:p w14:paraId="6F948779"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JI-121.</w:t>
      </w:r>
    </w:p>
  </w:footnote>
  <w:footnote w:id="66">
    <w:p w14:paraId="301E1E7A"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MI-082, JI-121, JI 125.</w:t>
      </w:r>
    </w:p>
  </w:footnote>
  <w:footnote w:id="67">
    <w:p w14:paraId="0E83E8FE"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MI-082.</w:t>
      </w:r>
    </w:p>
  </w:footnote>
  <w:footnote w:id="68">
    <w:p w14:paraId="758E145D"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CI-101, MI-046, JI-121, TI-066.</w:t>
      </w:r>
    </w:p>
  </w:footnote>
  <w:footnote w:id="69">
    <w:p w14:paraId="66B0278C"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 xml:space="preserve">JI-121, </w:t>
      </w:r>
      <w:r w:rsidRPr="00553007">
        <w:rPr>
          <w:lang w:val="da-DK"/>
        </w:rPr>
        <w:t>JI-125.</w:t>
      </w:r>
    </w:p>
  </w:footnote>
  <w:footnote w:id="70">
    <w:p w14:paraId="0EEA1821"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 xml:space="preserve">JI-121.  </w:t>
      </w:r>
    </w:p>
  </w:footnote>
  <w:footnote w:id="71">
    <w:p w14:paraId="45AC5D8A"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MI-070.</w:t>
      </w:r>
    </w:p>
  </w:footnote>
  <w:footnote w:id="72">
    <w:p w14:paraId="008D4FC7" w14:textId="7DAAF70A"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w:t>
      </w:r>
      <w:r w:rsidR="00717965" w:rsidRPr="00B52F6A">
        <w:rPr>
          <w:lang w:val="it-IT"/>
        </w:rPr>
        <w:t>CI-070</w:t>
      </w:r>
      <w:r w:rsidR="00717965">
        <w:rPr>
          <w:lang w:val="it-IT"/>
        </w:rPr>
        <w:t>,</w:t>
      </w:r>
      <w:r w:rsidR="00717965" w:rsidRPr="00B52F6A">
        <w:rPr>
          <w:lang w:val="it-IT"/>
        </w:rPr>
        <w:t xml:space="preserve"> CI-094</w:t>
      </w:r>
      <w:r w:rsidR="00717965">
        <w:rPr>
          <w:lang w:val="it-IT"/>
        </w:rPr>
        <w:t>,</w:t>
      </w:r>
      <w:r w:rsidR="00717965" w:rsidRPr="00B52F6A">
        <w:rPr>
          <w:lang w:val="it-IT"/>
        </w:rPr>
        <w:t xml:space="preserve"> CI-096</w:t>
      </w:r>
      <w:r w:rsidR="00717965">
        <w:rPr>
          <w:lang w:val="it-IT"/>
        </w:rPr>
        <w:t>,</w:t>
      </w:r>
      <w:r w:rsidR="00717965" w:rsidRPr="00B52F6A">
        <w:rPr>
          <w:lang w:val="it-IT"/>
        </w:rPr>
        <w:t xml:space="preserve"> CI-139</w:t>
      </w:r>
      <w:r w:rsidR="00717965">
        <w:rPr>
          <w:lang w:val="it-IT"/>
        </w:rPr>
        <w:t>,</w:t>
      </w:r>
      <w:r w:rsidR="00717965" w:rsidRPr="00B52F6A">
        <w:rPr>
          <w:lang w:val="it-IT"/>
        </w:rPr>
        <w:t xml:space="preserve"> CI-144</w:t>
      </w:r>
      <w:r w:rsidR="00717965">
        <w:rPr>
          <w:lang w:val="it-IT"/>
        </w:rPr>
        <w:t>,</w:t>
      </w:r>
      <w:r w:rsidR="00717965" w:rsidRPr="00B52F6A">
        <w:rPr>
          <w:lang w:val="it-IT"/>
        </w:rPr>
        <w:t xml:space="preserve"> </w:t>
      </w:r>
      <w:r w:rsidR="00717965">
        <w:rPr>
          <w:lang w:val="it-IT"/>
        </w:rPr>
        <w:t>KI-005, MI-030,</w:t>
      </w:r>
      <w:r w:rsidR="00717965" w:rsidRPr="00B52F6A">
        <w:rPr>
          <w:lang w:val="it-IT"/>
        </w:rPr>
        <w:t>TI-196</w:t>
      </w:r>
      <w:r w:rsidR="00717965">
        <w:rPr>
          <w:lang w:val="it-IT"/>
        </w:rPr>
        <w:t>.</w:t>
      </w:r>
    </w:p>
  </w:footnote>
  <w:footnote w:id="73">
    <w:p w14:paraId="483A3433"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CI-096, CI-144, MI-030.</w:t>
      </w:r>
    </w:p>
  </w:footnote>
  <w:footnote w:id="74">
    <w:p w14:paraId="7BF15720"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CI-094, CI-139, MI-030, TI-196.</w:t>
      </w:r>
    </w:p>
  </w:footnote>
  <w:footnote w:id="75">
    <w:p w14:paraId="74A860AE"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CI-070, CI-096, CI-139, CI-144, MI-030, TI-196.</w:t>
      </w:r>
    </w:p>
  </w:footnote>
  <w:footnote w:id="76">
    <w:p w14:paraId="7A91EF5D"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CI-098, CI-135, CI-140.</w:t>
      </w:r>
    </w:p>
  </w:footnote>
  <w:footnote w:id="77">
    <w:p w14:paraId="4B98C23D"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CI-135.</w:t>
      </w:r>
    </w:p>
  </w:footnote>
  <w:footnote w:id="78">
    <w:p w14:paraId="3E6076F3"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CI-100, CI-101.</w:t>
      </w:r>
    </w:p>
  </w:footnote>
  <w:footnote w:id="79">
    <w:p w14:paraId="15C02B7C" w14:textId="1EF73D9F"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JI-168</w:t>
      </w:r>
      <w:r w:rsidR="00717965">
        <w:rPr>
          <w:lang w:val="fr-FR"/>
        </w:rPr>
        <w:t>, TI-310</w:t>
      </w:r>
      <w:r w:rsidRPr="00553007">
        <w:rPr>
          <w:lang w:val="fr-FR"/>
        </w:rPr>
        <w:t>.</w:t>
      </w:r>
    </w:p>
  </w:footnote>
  <w:footnote w:id="80">
    <w:p w14:paraId="0850FA69" w14:textId="57F87DB6"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CI-100</w:t>
      </w:r>
      <w:r w:rsidR="00717965">
        <w:rPr>
          <w:lang w:val="fr-FR"/>
        </w:rPr>
        <w:t>, TI-310</w:t>
      </w:r>
      <w:r w:rsidRPr="00553007">
        <w:rPr>
          <w:lang w:val="fr-FR"/>
        </w:rPr>
        <w:t>.</w:t>
      </w:r>
    </w:p>
  </w:footnote>
  <w:footnote w:id="81">
    <w:p w14:paraId="04307986" w14:textId="6EDF11B7" w:rsidR="00717965" w:rsidRPr="00717965" w:rsidRDefault="00717965" w:rsidP="00B90CB6">
      <w:pPr>
        <w:pStyle w:val="FootnoteText"/>
        <w:ind w:firstLine="0"/>
        <w:rPr>
          <w:lang w:val="fr-CH"/>
        </w:rPr>
      </w:pPr>
      <w:r>
        <w:rPr>
          <w:rStyle w:val="FootnoteReference"/>
        </w:rPr>
        <w:footnoteRef/>
      </w:r>
      <w:r w:rsidRPr="00717965">
        <w:rPr>
          <w:lang w:val="fr-CH"/>
        </w:rPr>
        <w:t xml:space="preserve"> </w:t>
      </w:r>
      <w:r>
        <w:rPr>
          <w:lang w:val="fr-CH"/>
        </w:rPr>
        <w:t>CI-101, JI-168.</w:t>
      </w:r>
    </w:p>
  </w:footnote>
  <w:footnote w:id="82">
    <w:p w14:paraId="25A330C3"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CI-121, MI-082, QI-037, TI-133.</w:t>
      </w:r>
    </w:p>
  </w:footnote>
  <w:footnote w:id="83">
    <w:p w14:paraId="00927F89"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 xml:space="preserve">CI-047, </w:t>
      </w:r>
      <w:r w:rsidRPr="00553007">
        <w:rPr>
          <w:lang w:val="da-DK"/>
        </w:rPr>
        <w:t>DI-115, JI-073, JI-121, JI-125, KI-004, KI-018, QI-178, TI-133.</w:t>
      </w:r>
    </w:p>
  </w:footnote>
  <w:footnote w:id="84">
    <w:p w14:paraId="0F336451" w14:textId="77777777" w:rsidR="00604B4A" w:rsidRPr="00553007" w:rsidRDefault="00604B4A" w:rsidP="00B90CB6">
      <w:pPr>
        <w:pStyle w:val="FootnoteText"/>
        <w:ind w:firstLine="0"/>
        <w:rPr>
          <w:lang w:val="da-DK"/>
        </w:rPr>
      </w:pPr>
      <w:r w:rsidRPr="00A57747">
        <w:rPr>
          <w:rStyle w:val="FootnoteReference"/>
        </w:rPr>
        <w:footnoteRef/>
      </w:r>
      <w:r w:rsidRPr="00553007">
        <w:rPr>
          <w:lang w:val="da-DK"/>
        </w:rPr>
        <w:t xml:space="preserve"> </w:t>
      </w:r>
      <w:r w:rsidRPr="00553007">
        <w:rPr>
          <w:lang w:val="da-DK"/>
        </w:rPr>
        <w:t xml:space="preserve">DI-115, </w:t>
      </w:r>
      <w:r w:rsidRPr="00553007">
        <w:rPr>
          <w:lang w:val="da-DK"/>
        </w:rPr>
        <w:t xml:space="preserve">JI-125, KI-004, KI-005, KI-018, TI-047. </w:t>
      </w:r>
    </w:p>
  </w:footnote>
  <w:footnote w:id="85">
    <w:p w14:paraId="419C3E16"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KI-004.</w:t>
      </w:r>
    </w:p>
  </w:footnote>
  <w:footnote w:id="86">
    <w:p w14:paraId="22069BFC"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MI-046, QI-227.</w:t>
      </w:r>
    </w:p>
  </w:footnote>
  <w:footnote w:id="87">
    <w:p w14:paraId="729AE75D"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CI-119, KI-070.</w:t>
      </w:r>
    </w:p>
  </w:footnote>
  <w:footnote w:id="88">
    <w:p w14:paraId="3BAACC4D"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KI-070.</w:t>
      </w:r>
    </w:p>
  </w:footnote>
  <w:footnote w:id="89">
    <w:p w14:paraId="226C8702"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CI-101, CI-117, JI-121, JI-122, JI-125, TI-047.</w:t>
      </w:r>
    </w:p>
  </w:footnote>
  <w:footnote w:id="90">
    <w:p w14:paraId="388413D2"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CI-125.</w:t>
      </w:r>
    </w:p>
  </w:footnote>
  <w:footnote w:id="91">
    <w:p w14:paraId="3DF92CB1"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CI-047, CI-101, CI-119, KI-070.</w:t>
      </w:r>
    </w:p>
  </w:footnote>
  <w:footnote w:id="92">
    <w:p w14:paraId="1B344E21"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CI-047.</w:t>
      </w:r>
    </w:p>
  </w:footnote>
  <w:footnote w:id="93">
    <w:p w14:paraId="40A61AEF"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CI-100, CI-101, CI-119, KI-070.</w:t>
      </w:r>
    </w:p>
  </w:footnote>
  <w:footnote w:id="94">
    <w:p w14:paraId="3F641F96"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CI-101.</w:t>
      </w:r>
    </w:p>
  </w:footnote>
  <w:footnote w:id="95">
    <w:p w14:paraId="7F1C9262"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CI-119, KI-070.</w:t>
      </w:r>
    </w:p>
  </w:footnote>
  <w:footnote w:id="96">
    <w:p w14:paraId="0628B217"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CI-070.</w:t>
      </w:r>
    </w:p>
  </w:footnote>
  <w:footnote w:id="97">
    <w:p w14:paraId="6244D2D4"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CI-122.</w:t>
      </w:r>
    </w:p>
  </w:footnote>
  <w:footnote w:id="98">
    <w:p w14:paraId="0558EAE2" w14:textId="47C2066E" w:rsidR="00604B4A" w:rsidRPr="00553007" w:rsidRDefault="00604B4A" w:rsidP="00B90CB6">
      <w:pPr>
        <w:pStyle w:val="FootnoteText"/>
        <w:ind w:firstLine="0"/>
        <w:rPr>
          <w:lang w:val="en-US"/>
        </w:rPr>
      </w:pPr>
      <w:r w:rsidRPr="00A57747">
        <w:rPr>
          <w:rStyle w:val="FootnoteReference"/>
        </w:rPr>
        <w:footnoteRef/>
      </w:r>
      <w:r w:rsidRPr="00715454">
        <w:t xml:space="preserve"> On the importance of family in the Burundian society and the gender roles associated </w:t>
      </w:r>
      <w:r>
        <w:t>to</w:t>
      </w:r>
      <w:r w:rsidRPr="00715454">
        <w:t xml:space="preserve"> it</w:t>
      </w:r>
      <w:r>
        <w:t xml:space="preserve">, also see </w:t>
      </w:r>
      <w:r w:rsidRPr="00715454">
        <w:t>par</w:t>
      </w:r>
      <w:r>
        <w:t>a</w:t>
      </w:r>
      <w:r w:rsidRPr="00715454">
        <w:t xml:space="preserve">. </w:t>
      </w:r>
      <w:r w:rsidR="00717965" w:rsidRPr="00B90CB6">
        <w:t>342-371</w:t>
      </w:r>
      <w:r w:rsidR="00717965" w:rsidRPr="000C7C69">
        <w:rPr>
          <w:lang w:val="en-US"/>
        </w:rPr>
        <w:t xml:space="preserve"> </w:t>
      </w:r>
      <w:r w:rsidRPr="000C7C69">
        <w:rPr>
          <w:lang w:val="en-US"/>
        </w:rPr>
        <w:t>(women</w:t>
      </w:r>
      <w:r w:rsidR="00023D92" w:rsidRPr="000C7C69">
        <w:rPr>
          <w:lang w:val="en-US"/>
        </w:rPr>
        <w:t xml:space="preserve">’s </w:t>
      </w:r>
      <w:r w:rsidRPr="000C7C69">
        <w:rPr>
          <w:lang w:val="en-US"/>
        </w:rPr>
        <w:t>political participation)</w:t>
      </w:r>
      <w:r w:rsidRPr="00023D92">
        <w:rPr>
          <w:lang w:val="en-US"/>
        </w:rPr>
        <w:t>.</w:t>
      </w:r>
    </w:p>
  </w:footnote>
  <w:footnote w:id="99">
    <w:p w14:paraId="3F3787BD" w14:textId="77777777" w:rsidR="00604B4A" w:rsidRPr="00A57747" w:rsidRDefault="00604B4A" w:rsidP="00B90CB6">
      <w:pPr>
        <w:pStyle w:val="FootnoteText"/>
        <w:ind w:firstLine="0"/>
      </w:pPr>
      <w:r w:rsidRPr="00A57747">
        <w:rPr>
          <w:rStyle w:val="FootnoteReference"/>
        </w:rPr>
        <w:footnoteRef/>
      </w:r>
      <w:r w:rsidRPr="00A57747">
        <w:t xml:space="preserve"> Care Burundi, </w:t>
      </w:r>
      <w:r w:rsidRPr="00A57747">
        <w:rPr>
          <w:i/>
        </w:rPr>
        <w:t>Norms and practices impeding gender equality in Burundian society</w:t>
      </w:r>
      <w:r w:rsidRPr="00A57747">
        <w:t xml:space="preserve"> (2017), p. 5 (</w:t>
      </w:r>
      <w:hyperlink r:id="rId5" w:history="1">
        <w:r w:rsidRPr="00A57747">
          <w:rPr>
            <w:rStyle w:val="Hyperlink"/>
          </w:rPr>
          <w:t>http://careevaluations.org/wp-content/uploads/Norms-and-practices-impeding-Gender-Equality-in-Burundi.pdf</w:t>
        </w:r>
      </w:hyperlink>
      <w:r w:rsidRPr="00A57747">
        <w:t>).</w:t>
      </w:r>
    </w:p>
  </w:footnote>
  <w:footnote w:id="100">
    <w:p w14:paraId="505F3ADF"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MI-047.</w:t>
      </w:r>
    </w:p>
  </w:footnote>
  <w:footnote w:id="101">
    <w:p w14:paraId="70625559"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JI-122.</w:t>
      </w:r>
    </w:p>
  </w:footnote>
  <w:footnote w:id="102">
    <w:p w14:paraId="07713D75" w14:textId="77777777" w:rsidR="00604B4A" w:rsidRPr="00553007" w:rsidRDefault="00604B4A" w:rsidP="00B90CB6">
      <w:pPr>
        <w:pStyle w:val="FootnoteText"/>
        <w:ind w:firstLine="0"/>
        <w:rPr>
          <w:lang w:val="fr-FR"/>
        </w:rPr>
      </w:pPr>
      <w:r w:rsidRPr="00A57747">
        <w:rPr>
          <w:rStyle w:val="FootnoteReference"/>
        </w:rPr>
        <w:footnoteRef/>
      </w:r>
      <w:r w:rsidRPr="00553007">
        <w:rPr>
          <w:lang w:val="fr-FR"/>
        </w:rPr>
        <w:t xml:space="preserve"> CI-100, CI-101, CI-122.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numStart w:val="55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80"/>
    <w:rsid w:val="00002B8E"/>
    <w:rsid w:val="000068E9"/>
    <w:rsid w:val="00015040"/>
    <w:rsid w:val="00015B8E"/>
    <w:rsid w:val="00023D92"/>
    <w:rsid w:val="00025394"/>
    <w:rsid w:val="000538D8"/>
    <w:rsid w:val="00055525"/>
    <w:rsid w:val="00065153"/>
    <w:rsid w:val="00066BC9"/>
    <w:rsid w:val="0007160D"/>
    <w:rsid w:val="000811BF"/>
    <w:rsid w:val="00087305"/>
    <w:rsid w:val="00090725"/>
    <w:rsid w:val="000944E0"/>
    <w:rsid w:val="00095E72"/>
    <w:rsid w:val="000B01D7"/>
    <w:rsid w:val="000B23FD"/>
    <w:rsid w:val="000C46F9"/>
    <w:rsid w:val="000C4E20"/>
    <w:rsid w:val="000C7C69"/>
    <w:rsid w:val="000D0B01"/>
    <w:rsid w:val="000D69C8"/>
    <w:rsid w:val="0010553E"/>
    <w:rsid w:val="00116217"/>
    <w:rsid w:val="0011721C"/>
    <w:rsid w:val="001177BF"/>
    <w:rsid w:val="00143EB5"/>
    <w:rsid w:val="0015095A"/>
    <w:rsid w:val="00151D4F"/>
    <w:rsid w:val="001656D5"/>
    <w:rsid w:val="001A5B24"/>
    <w:rsid w:val="001B7740"/>
    <w:rsid w:val="001C093E"/>
    <w:rsid w:val="001D3E41"/>
    <w:rsid w:val="001E67E2"/>
    <w:rsid w:val="001E6B9F"/>
    <w:rsid w:val="001F3235"/>
    <w:rsid w:val="001F55FC"/>
    <w:rsid w:val="002005D7"/>
    <w:rsid w:val="00204CB6"/>
    <w:rsid w:val="002204F6"/>
    <w:rsid w:val="0022699A"/>
    <w:rsid w:val="002310D8"/>
    <w:rsid w:val="00253F76"/>
    <w:rsid w:val="00267ED8"/>
    <w:rsid w:val="002879FE"/>
    <w:rsid w:val="00287E95"/>
    <w:rsid w:val="002A0868"/>
    <w:rsid w:val="002B633A"/>
    <w:rsid w:val="002D3D3A"/>
    <w:rsid w:val="002E3F07"/>
    <w:rsid w:val="002E53F2"/>
    <w:rsid w:val="002E6053"/>
    <w:rsid w:val="002E71AC"/>
    <w:rsid w:val="003133F0"/>
    <w:rsid w:val="0031358F"/>
    <w:rsid w:val="00320D15"/>
    <w:rsid w:val="00321EC2"/>
    <w:rsid w:val="00342E63"/>
    <w:rsid w:val="003533C5"/>
    <w:rsid w:val="00390E17"/>
    <w:rsid w:val="003911E4"/>
    <w:rsid w:val="003B56C4"/>
    <w:rsid w:val="003D3304"/>
    <w:rsid w:val="003E164F"/>
    <w:rsid w:val="0040299C"/>
    <w:rsid w:val="0041116A"/>
    <w:rsid w:val="00456209"/>
    <w:rsid w:val="00465815"/>
    <w:rsid w:val="00465E80"/>
    <w:rsid w:val="004834D5"/>
    <w:rsid w:val="004A11D6"/>
    <w:rsid w:val="004A745A"/>
    <w:rsid w:val="004B04F9"/>
    <w:rsid w:val="004B0FD9"/>
    <w:rsid w:val="004E57CA"/>
    <w:rsid w:val="004F2D5B"/>
    <w:rsid w:val="00513276"/>
    <w:rsid w:val="005201C7"/>
    <w:rsid w:val="005207E0"/>
    <w:rsid w:val="005208B7"/>
    <w:rsid w:val="00525119"/>
    <w:rsid w:val="00553007"/>
    <w:rsid w:val="00555977"/>
    <w:rsid w:val="00562505"/>
    <w:rsid w:val="00565A49"/>
    <w:rsid w:val="00570216"/>
    <w:rsid w:val="00587662"/>
    <w:rsid w:val="005A2217"/>
    <w:rsid w:val="005A6AFD"/>
    <w:rsid w:val="005B4E45"/>
    <w:rsid w:val="005B6A08"/>
    <w:rsid w:val="005E6111"/>
    <w:rsid w:val="005F6908"/>
    <w:rsid w:val="005F6DEB"/>
    <w:rsid w:val="006009EC"/>
    <w:rsid w:val="00604B4A"/>
    <w:rsid w:val="00615B3F"/>
    <w:rsid w:val="006329AF"/>
    <w:rsid w:val="00633262"/>
    <w:rsid w:val="006347B5"/>
    <w:rsid w:val="006377F3"/>
    <w:rsid w:val="0064448A"/>
    <w:rsid w:val="0065602A"/>
    <w:rsid w:val="006578A2"/>
    <w:rsid w:val="00664CDF"/>
    <w:rsid w:val="00697B04"/>
    <w:rsid w:val="006B5425"/>
    <w:rsid w:val="006C049B"/>
    <w:rsid w:val="006D70B9"/>
    <w:rsid w:val="006F13B9"/>
    <w:rsid w:val="006F1A55"/>
    <w:rsid w:val="00715454"/>
    <w:rsid w:val="00717965"/>
    <w:rsid w:val="007220CD"/>
    <w:rsid w:val="00743A3F"/>
    <w:rsid w:val="00750336"/>
    <w:rsid w:val="00760846"/>
    <w:rsid w:val="00767FF6"/>
    <w:rsid w:val="00792F32"/>
    <w:rsid w:val="00797231"/>
    <w:rsid w:val="007B2D74"/>
    <w:rsid w:val="007D32F7"/>
    <w:rsid w:val="007D622B"/>
    <w:rsid w:val="007E213B"/>
    <w:rsid w:val="007E279D"/>
    <w:rsid w:val="007E3A50"/>
    <w:rsid w:val="007E6FD0"/>
    <w:rsid w:val="007F4634"/>
    <w:rsid w:val="00800C51"/>
    <w:rsid w:val="00813110"/>
    <w:rsid w:val="008308B4"/>
    <w:rsid w:val="0083649E"/>
    <w:rsid w:val="00847029"/>
    <w:rsid w:val="008633FB"/>
    <w:rsid w:val="008706E4"/>
    <w:rsid w:val="00872E08"/>
    <w:rsid w:val="00881249"/>
    <w:rsid w:val="0089285A"/>
    <w:rsid w:val="008A22C2"/>
    <w:rsid w:val="008A79CC"/>
    <w:rsid w:val="008D4764"/>
    <w:rsid w:val="008D51F5"/>
    <w:rsid w:val="008E2E40"/>
    <w:rsid w:val="008E410D"/>
    <w:rsid w:val="008F1B99"/>
    <w:rsid w:val="00924194"/>
    <w:rsid w:val="00947916"/>
    <w:rsid w:val="00962FCD"/>
    <w:rsid w:val="00967681"/>
    <w:rsid w:val="00970D46"/>
    <w:rsid w:val="00973804"/>
    <w:rsid w:val="00980A8E"/>
    <w:rsid w:val="00987342"/>
    <w:rsid w:val="00995C4A"/>
    <w:rsid w:val="009A2D8D"/>
    <w:rsid w:val="009B41D9"/>
    <w:rsid w:val="009C05CF"/>
    <w:rsid w:val="009C430D"/>
    <w:rsid w:val="009D14A5"/>
    <w:rsid w:val="009D71F0"/>
    <w:rsid w:val="009E012C"/>
    <w:rsid w:val="009E707E"/>
    <w:rsid w:val="009F5155"/>
    <w:rsid w:val="00A032C5"/>
    <w:rsid w:val="00A21286"/>
    <w:rsid w:val="00A24706"/>
    <w:rsid w:val="00A46A70"/>
    <w:rsid w:val="00A50E7A"/>
    <w:rsid w:val="00A57747"/>
    <w:rsid w:val="00A742F0"/>
    <w:rsid w:val="00A80509"/>
    <w:rsid w:val="00A96D18"/>
    <w:rsid w:val="00AA4054"/>
    <w:rsid w:val="00AB1E44"/>
    <w:rsid w:val="00AC0903"/>
    <w:rsid w:val="00AC1B8A"/>
    <w:rsid w:val="00AC3AE7"/>
    <w:rsid w:val="00AC4D70"/>
    <w:rsid w:val="00AC4FFF"/>
    <w:rsid w:val="00AE63D1"/>
    <w:rsid w:val="00AF092C"/>
    <w:rsid w:val="00AF5367"/>
    <w:rsid w:val="00AF7062"/>
    <w:rsid w:val="00B01816"/>
    <w:rsid w:val="00B1045D"/>
    <w:rsid w:val="00B1660F"/>
    <w:rsid w:val="00B24147"/>
    <w:rsid w:val="00B24D7E"/>
    <w:rsid w:val="00B36A88"/>
    <w:rsid w:val="00B45933"/>
    <w:rsid w:val="00B567D7"/>
    <w:rsid w:val="00B8425F"/>
    <w:rsid w:val="00B90CB6"/>
    <w:rsid w:val="00B94580"/>
    <w:rsid w:val="00BE7091"/>
    <w:rsid w:val="00BF13CC"/>
    <w:rsid w:val="00BF75DD"/>
    <w:rsid w:val="00BF7902"/>
    <w:rsid w:val="00C12969"/>
    <w:rsid w:val="00C32E74"/>
    <w:rsid w:val="00C40E6D"/>
    <w:rsid w:val="00C4726F"/>
    <w:rsid w:val="00C718E6"/>
    <w:rsid w:val="00C8563C"/>
    <w:rsid w:val="00CA0ACD"/>
    <w:rsid w:val="00CA2403"/>
    <w:rsid w:val="00CA486C"/>
    <w:rsid w:val="00CB1068"/>
    <w:rsid w:val="00CB5595"/>
    <w:rsid w:val="00CC4FFE"/>
    <w:rsid w:val="00CC65AF"/>
    <w:rsid w:val="00CE6745"/>
    <w:rsid w:val="00CF2C17"/>
    <w:rsid w:val="00D06EAE"/>
    <w:rsid w:val="00D14830"/>
    <w:rsid w:val="00D3355E"/>
    <w:rsid w:val="00D61251"/>
    <w:rsid w:val="00D64C54"/>
    <w:rsid w:val="00D66BEF"/>
    <w:rsid w:val="00D71058"/>
    <w:rsid w:val="00D76ACC"/>
    <w:rsid w:val="00D805EF"/>
    <w:rsid w:val="00D851C4"/>
    <w:rsid w:val="00DA202B"/>
    <w:rsid w:val="00DC0BDB"/>
    <w:rsid w:val="00DC3FDB"/>
    <w:rsid w:val="00DD425F"/>
    <w:rsid w:val="00DE2B32"/>
    <w:rsid w:val="00DE32BA"/>
    <w:rsid w:val="00DE515F"/>
    <w:rsid w:val="00DF2372"/>
    <w:rsid w:val="00E0112C"/>
    <w:rsid w:val="00E04051"/>
    <w:rsid w:val="00E05283"/>
    <w:rsid w:val="00E07046"/>
    <w:rsid w:val="00E20266"/>
    <w:rsid w:val="00E25C5D"/>
    <w:rsid w:val="00E33180"/>
    <w:rsid w:val="00E57C63"/>
    <w:rsid w:val="00E6022E"/>
    <w:rsid w:val="00E66CEA"/>
    <w:rsid w:val="00E671F4"/>
    <w:rsid w:val="00E96DA8"/>
    <w:rsid w:val="00EA17B7"/>
    <w:rsid w:val="00EA6189"/>
    <w:rsid w:val="00ED0F37"/>
    <w:rsid w:val="00ED2E19"/>
    <w:rsid w:val="00EE0373"/>
    <w:rsid w:val="00EE2B3E"/>
    <w:rsid w:val="00EF4865"/>
    <w:rsid w:val="00F06AD7"/>
    <w:rsid w:val="00F13D37"/>
    <w:rsid w:val="00F32E6F"/>
    <w:rsid w:val="00F3351C"/>
    <w:rsid w:val="00F409E8"/>
    <w:rsid w:val="00F54C6B"/>
    <w:rsid w:val="00F917ED"/>
    <w:rsid w:val="00F91E5A"/>
    <w:rsid w:val="00F962E3"/>
    <w:rsid w:val="00FC50A5"/>
    <w:rsid w:val="00FD0821"/>
    <w:rsid w:val="00FE016D"/>
    <w:rsid w:val="00FE351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F1C8"/>
  <w15:chartTrackingRefBased/>
  <w15:docId w15:val="{16B36370-3632-46BC-AC72-E3682E2E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580"/>
    <w:pPr>
      <w:suppressAutoHyphens/>
      <w:spacing w:after="0" w:line="240" w:lineRule="atLeast"/>
    </w:pPr>
    <w:rPr>
      <w:rFonts w:ascii="Times New Roman" w:eastAsia="Times New Roman" w:hAnsi="Times New Roman" w:cs="Times New Roman"/>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B94580"/>
    <w:pPr>
      <w:spacing w:after="120"/>
      <w:ind w:left="1134" w:right="1134"/>
      <w:jc w:val="both"/>
    </w:pPr>
  </w:style>
  <w:style w:type="character" w:customStyle="1" w:styleId="SingleTxtGChar">
    <w:name w:val="_ Single Txt_G Char"/>
    <w:link w:val="SingleTxtG"/>
    <w:locked/>
    <w:rsid w:val="00B94580"/>
    <w:rPr>
      <w:rFonts w:ascii="Times New Roman" w:eastAsia="Times New Roman" w:hAnsi="Times New Roman" w:cs="Times New Roman"/>
      <w:sz w:val="20"/>
      <w:szCs w:val="20"/>
      <w:lang w:val="fr-FR"/>
    </w:rPr>
  </w:style>
  <w:style w:type="character" w:styleId="FootnoteReference">
    <w:name w:val="footnote reference"/>
    <w:aliases w:val="4_G,4_G Char Char,ftref,Знак сноски 1,16 Point,Superscript 6 Point,Car Car Char Car Char Car Car Char Car Char Char,Car Car Car Car Car Car Car Car Char Car Car Char Car Car Car Char Car Char Char Char,BVI fnr,Ref,de nota al pie"/>
    <w:basedOn w:val="DefaultParagraphFont"/>
    <w:uiPriority w:val="99"/>
    <w:qFormat/>
    <w:rsid w:val="00B94580"/>
    <w:rPr>
      <w:rFonts w:ascii="Times New Roman" w:hAnsi="Times New Roman"/>
      <w:sz w:val="18"/>
      <w:vertAlign w:val="superscript"/>
    </w:rPr>
  </w:style>
  <w:style w:type="paragraph" w:styleId="FootnoteText">
    <w:name w:val="footnote text"/>
    <w:aliases w:val="5_G,fn,ALTS FOOTNOTE,single space,Footnote Text Quote,FOOTNOTES,Note de bas de page2,Note de bas de page Car Car Car,Note de bas de page Car Car,Note de bas de page Car Car Car2,Char,ft,AD,12pt,Footnote Text Char2 Cha"/>
    <w:basedOn w:val="Normal"/>
    <w:link w:val="FootnoteTextChar"/>
    <w:qFormat/>
    <w:rsid w:val="00B94580"/>
    <w:pPr>
      <w:tabs>
        <w:tab w:val="right" w:pos="1021"/>
      </w:tabs>
      <w:spacing w:line="220" w:lineRule="exact"/>
      <w:ind w:left="1134" w:right="1134" w:hanging="1134"/>
    </w:pPr>
    <w:rPr>
      <w:sz w:val="18"/>
      <w:lang w:val="en-GB"/>
    </w:rPr>
  </w:style>
  <w:style w:type="character" w:customStyle="1" w:styleId="FootnoteTextChar">
    <w:name w:val="Footnote Text Char"/>
    <w:aliases w:val="5_G Char,fn Char,ALTS FOOTNOTE Char,single space Char,Footnote Text Quote Char,FOOTNOTES Char,Note de bas de page2 Char,Note de bas de page Car Car Car Char,Note de bas de page Car Car Char,Note de bas de page Car Car Car2 Char"/>
    <w:basedOn w:val="DefaultParagraphFont"/>
    <w:link w:val="FootnoteText"/>
    <w:rsid w:val="00B94580"/>
    <w:rPr>
      <w:rFonts w:ascii="Times New Roman" w:eastAsia="Times New Roman" w:hAnsi="Times New Roman" w:cs="Times New Roman"/>
      <w:sz w:val="18"/>
      <w:szCs w:val="20"/>
    </w:rPr>
  </w:style>
  <w:style w:type="paragraph" w:customStyle="1" w:styleId="H23G">
    <w:name w:val="_ H_2/3_G"/>
    <w:basedOn w:val="Normal"/>
    <w:next w:val="Normal"/>
    <w:qFormat/>
    <w:rsid w:val="00B94580"/>
    <w:pPr>
      <w:keepNext/>
      <w:keepLines/>
      <w:tabs>
        <w:tab w:val="right" w:pos="851"/>
      </w:tabs>
      <w:spacing w:before="240" w:after="120" w:line="240" w:lineRule="exact"/>
      <w:ind w:left="1134" w:right="1134" w:hanging="1134"/>
    </w:pPr>
    <w:rPr>
      <w:b/>
    </w:rPr>
  </w:style>
  <w:style w:type="character" w:styleId="Hyperlink">
    <w:name w:val="Hyperlink"/>
    <w:basedOn w:val="DefaultParagraphFont"/>
    <w:rsid w:val="00B94580"/>
    <w:rPr>
      <w:color w:val="auto"/>
      <w:u w:val="none"/>
    </w:rPr>
  </w:style>
  <w:style w:type="paragraph" w:customStyle="1" w:styleId="HChG">
    <w:name w:val="_ H _Ch_G"/>
    <w:basedOn w:val="Normal"/>
    <w:next w:val="Normal"/>
    <w:qFormat/>
    <w:rsid w:val="00B94580"/>
    <w:pPr>
      <w:keepNext/>
      <w:keepLines/>
      <w:tabs>
        <w:tab w:val="right" w:pos="851"/>
      </w:tabs>
      <w:spacing w:before="360" w:after="240" w:line="300" w:lineRule="exact"/>
      <w:ind w:left="1134" w:right="1134" w:hanging="1134"/>
    </w:pPr>
    <w:rPr>
      <w:b/>
      <w:sz w:val="28"/>
      <w:lang w:val="fr-CH"/>
    </w:rPr>
  </w:style>
  <w:style w:type="paragraph" w:customStyle="1" w:styleId="H1G">
    <w:name w:val="_ H_1_G"/>
    <w:basedOn w:val="Normal"/>
    <w:next w:val="Normal"/>
    <w:qFormat/>
    <w:rsid w:val="00B94580"/>
    <w:pPr>
      <w:keepNext/>
      <w:keepLines/>
      <w:tabs>
        <w:tab w:val="right" w:pos="851"/>
      </w:tabs>
      <w:spacing w:before="360" w:after="240" w:line="270" w:lineRule="exact"/>
      <w:ind w:left="1134" w:right="1134" w:hanging="1134"/>
    </w:pPr>
    <w:rPr>
      <w:b/>
      <w:sz w:val="24"/>
      <w:lang w:val="en-GB"/>
    </w:rPr>
  </w:style>
  <w:style w:type="paragraph" w:styleId="BalloonText">
    <w:name w:val="Balloon Text"/>
    <w:basedOn w:val="Normal"/>
    <w:link w:val="BalloonTextChar"/>
    <w:uiPriority w:val="99"/>
    <w:semiHidden/>
    <w:unhideWhenUsed/>
    <w:rsid w:val="00DD425F"/>
    <w:pPr>
      <w:spacing w:line="240" w:lineRule="auto"/>
    </w:pPr>
    <w:rPr>
      <w:sz w:val="18"/>
      <w:szCs w:val="18"/>
    </w:rPr>
  </w:style>
  <w:style w:type="character" w:customStyle="1" w:styleId="BalloonTextChar">
    <w:name w:val="Balloon Text Char"/>
    <w:basedOn w:val="DefaultParagraphFont"/>
    <w:link w:val="BalloonText"/>
    <w:uiPriority w:val="99"/>
    <w:semiHidden/>
    <w:rsid w:val="00DD425F"/>
    <w:rPr>
      <w:rFonts w:ascii="Times New Roman" w:eastAsia="Times New Roman" w:hAnsi="Times New Roman" w:cs="Times New Roman"/>
      <w:sz w:val="18"/>
      <w:szCs w:val="18"/>
      <w:lang w:val="fr-FR"/>
    </w:rPr>
  </w:style>
  <w:style w:type="character" w:styleId="FollowedHyperlink">
    <w:name w:val="FollowedHyperlink"/>
    <w:basedOn w:val="DefaultParagraphFont"/>
    <w:uiPriority w:val="99"/>
    <w:semiHidden/>
    <w:unhideWhenUsed/>
    <w:rsid w:val="003911E4"/>
    <w:rPr>
      <w:color w:val="954F72" w:themeColor="followedHyperlink"/>
      <w:u w:val="single"/>
    </w:rPr>
  </w:style>
  <w:style w:type="paragraph" w:styleId="Header">
    <w:name w:val="header"/>
    <w:basedOn w:val="Normal"/>
    <w:link w:val="HeaderChar"/>
    <w:uiPriority w:val="99"/>
    <w:unhideWhenUsed/>
    <w:rsid w:val="00973804"/>
    <w:pPr>
      <w:tabs>
        <w:tab w:val="center" w:pos="4513"/>
        <w:tab w:val="right" w:pos="9026"/>
      </w:tabs>
      <w:spacing w:line="240" w:lineRule="auto"/>
    </w:pPr>
  </w:style>
  <w:style w:type="character" w:customStyle="1" w:styleId="HeaderChar">
    <w:name w:val="Header Char"/>
    <w:basedOn w:val="DefaultParagraphFont"/>
    <w:link w:val="Header"/>
    <w:uiPriority w:val="99"/>
    <w:rsid w:val="00973804"/>
    <w:rPr>
      <w:rFonts w:ascii="Times New Roman" w:eastAsia="Times New Roman" w:hAnsi="Times New Roman" w:cs="Times New Roman"/>
      <w:sz w:val="20"/>
      <w:szCs w:val="20"/>
      <w:lang w:val="fr-FR"/>
    </w:rPr>
  </w:style>
  <w:style w:type="paragraph" w:styleId="Footer">
    <w:name w:val="footer"/>
    <w:basedOn w:val="Normal"/>
    <w:link w:val="FooterChar"/>
    <w:uiPriority w:val="99"/>
    <w:unhideWhenUsed/>
    <w:rsid w:val="00973804"/>
    <w:pPr>
      <w:tabs>
        <w:tab w:val="center" w:pos="4513"/>
        <w:tab w:val="right" w:pos="9026"/>
      </w:tabs>
      <w:spacing w:line="240" w:lineRule="auto"/>
    </w:pPr>
  </w:style>
  <w:style w:type="character" w:customStyle="1" w:styleId="FooterChar">
    <w:name w:val="Footer Char"/>
    <w:basedOn w:val="DefaultParagraphFont"/>
    <w:link w:val="Footer"/>
    <w:uiPriority w:val="99"/>
    <w:rsid w:val="00973804"/>
    <w:rPr>
      <w:rFonts w:ascii="Times New Roman" w:eastAsia="Times New Roman" w:hAnsi="Times New Roman" w:cs="Times New Roman"/>
      <w:sz w:val="20"/>
      <w:szCs w:val="20"/>
      <w:lang w:val="fr-FR"/>
    </w:rPr>
  </w:style>
  <w:style w:type="character" w:styleId="CommentReference">
    <w:name w:val="annotation reference"/>
    <w:basedOn w:val="DefaultParagraphFont"/>
    <w:uiPriority w:val="99"/>
    <w:semiHidden/>
    <w:unhideWhenUsed/>
    <w:rsid w:val="00EE0373"/>
    <w:rPr>
      <w:sz w:val="16"/>
      <w:szCs w:val="16"/>
    </w:rPr>
  </w:style>
  <w:style w:type="paragraph" w:styleId="CommentText">
    <w:name w:val="annotation text"/>
    <w:basedOn w:val="Normal"/>
    <w:link w:val="CommentTextChar"/>
    <w:uiPriority w:val="99"/>
    <w:semiHidden/>
    <w:unhideWhenUsed/>
    <w:rsid w:val="00EE0373"/>
    <w:pPr>
      <w:spacing w:line="240" w:lineRule="auto"/>
    </w:pPr>
  </w:style>
  <w:style w:type="character" w:customStyle="1" w:styleId="CommentTextChar">
    <w:name w:val="Comment Text Char"/>
    <w:basedOn w:val="DefaultParagraphFont"/>
    <w:link w:val="CommentText"/>
    <w:uiPriority w:val="99"/>
    <w:semiHidden/>
    <w:rsid w:val="00EE0373"/>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EE0373"/>
    <w:rPr>
      <w:b/>
      <w:bCs/>
    </w:rPr>
  </w:style>
  <w:style w:type="character" w:customStyle="1" w:styleId="CommentSubjectChar">
    <w:name w:val="Comment Subject Char"/>
    <w:basedOn w:val="CommentTextChar"/>
    <w:link w:val="CommentSubject"/>
    <w:uiPriority w:val="99"/>
    <w:semiHidden/>
    <w:rsid w:val="00EE0373"/>
    <w:rPr>
      <w:rFonts w:ascii="Times New Roman" w:eastAsia="Times New Roman" w:hAnsi="Times New Roman" w:cs="Times New Roman"/>
      <w:b/>
      <w:bCs/>
      <w:sz w:val="20"/>
      <w:szCs w:val="20"/>
      <w:lang w:val="fr-FR"/>
    </w:rPr>
  </w:style>
  <w:style w:type="paragraph" w:styleId="Revision">
    <w:name w:val="Revision"/>
    <w:hidden/>
    <w:uiPriority w:val="99"/>
    <w:semiHidden/>
    <w:rsid w:val="000811BF"/>
    <w:pPr>
      <w:spacing w:after="0" w:line="240" w:lineRule="auto"/>
    </w:pPr>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https://www.chathamhouse.org/expert/comment/ignoring-male-victims-sexual-violence-conflict-short-sighted-and-wrong"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70F31-8FE2-4471-AAB1-0E0BA6ED2F6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28416fd-f5ff-4c2c-9217-9a0681051042"/>
    <ds:schemaRef ds:uri="http://www.w3.org/XML/1998/namespace"/>
    <ds:schemaRef ds:uri="http://purl.org/dc/dcmitype/"/>
  </ds:schemaRefs>
</ds:datastoreItem>
</file>

<file path=customXml/itemProps2.xml><?xml version="1.0" encoding="utf-8"?>
<ds:datastoreItem xmlns:ds="http://schemas.openxmlformats.org/officeDocument/2006/customXml" ds:itemID="{CA2E90DF-60A2-46A7-8560-03F73AA6F7DF}">
  <ds:schemaRefs>
    <ds:schemaRef ds:uri="http://schemas.microsoft.com/sharepoint/v3/contenttype/forms"/>
  </ds:schemaRefs>
</ds:datastoreItem>
</file>

<file path=customXml/itemProps3.xml><?xml version="1.0" encoding="utf-8"?>
<ds:datastoreItem xmlns:ds="http://schemas.openxmlformats.org/officeDocument/2006/customXml" ds:itemID="{FFE50AA4-3D4C-484A-9B07-B2F7B3D1A419}"/>
</file>

<file path=customXml/itemProps4.xml><?xml version="1.0" encoding="utf-8"?>
<ds:datastoreItem xmlns:ds="http://schemas.openxmlformats.org/officeDocument/2006/customXml" ds:itemID="{7FB09F1B-6693-4497-A9FF-DF3DFC9B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3966</Words>
  <Characters>22610</Characters>
  <Application>Microsoft Office Word</Application>
  <DocSecurity>0</DocSecurity>
  <Lines>188</Lines>
  <Paragraphs>53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OHCHR</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BULLMAN Celine</dc:creator>
  <cp:keywords/>
  <dc:description/>
  <cp:lastModifiedBy>ANDRE Laurence</cp:lastModifiedBy>
  <cp:revision>2</cp:revision>
  <dcterms:created xsi:type="dcterms:W3CDTF">2020-12-02T15:15:00Z</dcterms:created>
  <dcterms:modified xsi:type="dcterms:W3CDTF">2020-12-02T15:15:00Z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