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8B0EF4" w14:paraId="759E53A3" w14:textId="77777777" w:rsidTr="0040017C">
        <w:trPr>
          <w:trHeight w:val="851"/>
        </w:trPr>
        <w:tc>
          <w:tcPr>
            <w:tcW w:w="1259" w:type="dxa"/>
            <w:tcBorders>
              <w:top w:val="nil"/>
              <w:left w:val="nil"/>
              <w:bottom w:val="single" w:sz="4" w:space="0" w:color="auto"/>
              <w:right w:val="nil"/>
            </w:tcBorders>
          </w:tcPr>
          <w:p w14:paraId="2DBC5DCB" w14:textId="77777777" w:rsidR="00E52109" w:rsidRPr="008B0EF4" w:rsidRDefault="00E52109" w:rsidP="0040017C">
            <w:pPr>
              <w:pStyle w:val="HMG"/>
            </w:pPr>
            <w:bookmarkStart w:id="0" w:name="_GoBack"/>
            <w:bookmarkEnd w:id="0"/>
          </w:p>
        </w:tc>
        <w:tc>
          <w:tcPr>
            <w:tcW w:w="2236" w:type="dxa"/>
            <w:tcBorders>
              <w:top w:val="nil"/>
              <w:left w:val="nil"/>
              <w:bottom w:val="single" w:sz="4" w:space="0" w:color="auto"/>
              <w:right w:val="nil"/>
            </w:tcBorders>
            <w:vAlign w:val="bottom"/>
          </w:tcPr>
          <w:p w14:paraId="2E670033" w14:textId="2E39697C" w:rsidR="00E52109" w:rsidRPr="008B0EF4"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07F7AFF" w14:textId="77777777" w:rsidR="00E52109" w:rsidRPr="008B0EF4" w:rsidRDefault="003928BC" w:rsidP="00B02186">
            <w:pPr>
              <w:spacing w:after="20"/>
              <w:jc w:val="right"/>
            </w:pPr>
            <w:r w:rsidRPr="008B0EF4">
              <w:rPr>
                <w:sz w:val="40"/>
              </w:rPr>
              <w:t>A</w:t>
            </w:r>
            <w:r w:rsidRPr="008B0EF4">
              <w:t>/HRC/4</w:t>
            </w:r>
            <w:r w:rsidR="00250688" w:rsidRPr="008B0EF4">
              <w:t>3/57</w:t>
            </w:r>
          </w:p>
        </w:tc>
      </w:tr>
      <w:tr w:rsidR="00E52109" w:rsidRPr="008B0EF4" w14:paraId="193228B8" w14:textId="77777777" w:rsidTr="0040017C">
        <w:trPr>
          <w:trHeight w:val="2835"/>
        </w:trPr>
        <w:tc>
          <w:tcPr>
            <w:tcW w:w="1259" w:type="dxa"/>
            <w:tcBorders>
              <w:top w:val="single" w:sz="4" w:space="0" w:color="auto"/>
              <w:left w:val="nil"/>
              <w:bottom w:val="single" w:sz="12" w:space="0" w:color="auto"/>
              <w:right w:val="nil"/>
            </w:tcBorders>
          </w:tcPr>
          <w:p w14:paraId="55FB8D99" w14:textId="01152333" w:rsidR="00E52109" w:rsidRPr="008B0EF4"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2E740A50" w14:textId="4DA8E759" w:rsidR="00E52109" w:rsidRPr="008B0EF4" w:rsidRDefault="00E05399"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34BC6FD6" w14:textId="77777777" w:rsidR="00E52109" w:rsidRPr="008B0EF4" w:rsidRDefault="003928BC" w:rsidP="003928BC">
            <w:pPr>
              <w:spacing w:before="240"/>
            </w:pPr>
            <w:r w:rsidRPr="008B0EF4">
              <w:t>Distr.: General</w:t>
            </w:r>
          </w:p>
          <w:p w14:paraId="3C1B373D" w14:textId="22A3F0DF" w:rsidR="003928BC" w:rsidRPr="008B0EF4" w:rsidRDefault="00C83D89" w:rsidP="003928BC">
            <w:r>
              <w:t>2</w:t>
            </w:r>
            <w:r w:rsidR="009E1362">
              <w:t>8</w:t>
            </w:r>
            <w:r w:rsidRPr="008B0EF4">
              <w:t xml:space="preserve"> </w:t>
            </w:r>
            <w:r w:rsidR="006A33EC" w:rsidRPr="008B0EF4">
              <w:t xml:space="preserve">January </w:t>
            </w:r>
            <w:r w:rsidR="00250688" w:rsidRPr="008B0EF4">
              <w:t>20</w:t>
            </w:r>
            <w:r w:rsidR="00B02186" w:rsidRPr="008B0EF4">
              <w:t>20</w:t>
            </w:r>
          </w:p>
          <w:p w14:paraId="7B22F879" w14:textId="77777777" w:rsidR="006A33EC" w:rsidRPr="008B0EF4" w:rsidRDefault="006A33EC" w:rsidP="003928BC"/>
          <w:p w14:paraId="07A32795" w14:textId="77777777" w:rsidR="003928BC" w:rsidRPr="008B0EF4" w:rsidRDefault="003928BC" w:rsidP="003928BC">
            <w:r w:rsidRPr="008B0EF4">
              <w:t>Original: English</w:t>
            </w:r>
          </w:p>
        </w:tc>
      </w:tr>
    </w:tbl>
    <w:p w14:paraId="3450C70D" w14:textId="77777777" w:rsidR="00BE3AC9" w:rsidRPr="008B0EF4" w:rsidRDefault="00BE3AC9" w:rsidP="006A33EC">
      <w:pPr>
        <w:pStyle w:val="Caption"/>
      </w:pPr>
      <w:r w:rsidRPr="008B0EF4">
        <w:t>Human Rights Council</w:t>
      </w:r>
    </w:p>
    <w:p w14:paraId="19F11E02" w14:textId="77777777" w:rsidR="00BE3AC9" w:rsidRPr="008B0EF4" w:rsidRDefault="00BE3AC9" w:rsidP="00BE3AC9">
      <w:pPr>
        <w:rPr>
          <w:b/>
          <w:bCs/>
        </w:rPr>
      </w:pPr>
      <w:r w:rsidRPr="008B0EF4">
        <w:rPr>
          <w:b/>
          <w:bCs/>
        </w:rPr>
        <w:t>Forty-</w:t>
      </w:r>
      <w:r w:rsidR="00B02186" w:rsidRPr="008B0EF4">
        <w:rPr>
          <w:b/>
          <w:bCs/>
        </w:rPr>
        <w:t>third</w:t>
      </w:r>
      <w:r w:rsidRPr="008B0EF4">
        <w:rPr>
          <w:b/>
          <w:bCs/>
        </w:rPr>
        <w:t xml:space="preserve"> session</w:t>
      </w:r>
    </w:p>
    <w:p w14:paraId="5218F5DD" w14:textId="77777777" w:rsidR="00BE3AC9" w:rsidRPr="008B0EF4" w:rsidRDefault="006A33EC" w:rsidP="00BE3AC9">
      <w:r w:rsidRPr="008B0EF4">
        <w:t>24 February–20</w:t>
      </w:r>
      <w:r w:rsidR="00BE3AC9" w:rsidRPr="008B0EF4">
        <w:t xml:space="preserve"> </w:t>
      </w:r>
      <w:r w:rsidR="00B02186" w:rsidRPr="008B0EF4">
        <w:t xml:space="preserve">March </w:t>
      </w:r>
      <w:r w:rsidRPr="008B0EF4">
        <w:t>2020</w:t>
      </w:r>
    </w:p>
    <w:p w14:paraId="229CEF89" w14:textId="77777777" w:rsidR="00BE3AC9" w:rsidRPr="008B0EF4" w:rsidRDefault="00BE3AC9" w:rsidP="00BE3AC9">
      <w:r w:rsidRPr="008B0EF4">
        <w:t xml:space="preserve">Agenda item </w:t>
      </w:r>
      <w:proofErr w:type="gramStart"/>
      <w:r w:rsidRPr="008B0EF4">
        <w:t>4</w:t>
      </w:r>
      <w:proofErr w:type="gramEnd"/>
    </w:p>
    <w:p w14:paraId="799E22D9" w14:textId="77777777" w:rsidR="00BE3AC9" w:rsidRPr="008B0EF4" w:rsidRDefault="00BE3AC9" w:rsidP="00BE3AC9">
      <w:pPr>
        <w:rPr>
          <w:b/>
          <w:bCs/>
        </w:rPr>
      </w:pPr>
      <w:r w:rsidRPr="008B0EF4">
        <w:rPr>
          <w:b/>
          <w:bCs/>
        </w:rPr>
        <w:t>Human rights situations that require the Council’s attention</w:t>
      </w:r>
    </w:p>
    <w:p w14:paraId="42ABD4FE" w14:textId="77777777" w:rsidR="00BE3AC9" w:rsidRPr="008B0EF4" w:rsidRDefault="00BE3AC9" w:rsidP="00BE3AC9">
      <w:pPr>
        <w:pStyle w:val="HChG"/>
      </w:pPr>
      <w:r w:rsidRPr="008B0EF4">
        <w:tab/>
      </w:r>
      <w:r w:rsidRPr="008B0EF4">
        <w:tab/>
      </w:r>
      <w:bookmarkStart w:id="1" w:name="_Toc16754909"/>
      <w:r w:rsidRPr="008B0EF4">
        <w:t>Report of the Independent International Commission of Inquiry on the Syrian Arab Republic</w:t>
      </w:r>
      <w:r w:rsidRPr="008B0EF4">
        <w:rPr>
          <w:rStyle w:val="FootnoteReference"/>
          <w:b w:val="0"/>
          <w:bCs/>
          <w:sz w:val="20"/>
          <w:vertAlign w:val="baseline"/>
        </w:rPr>
        <w:footnoteReference w:customMarkFollows="1" w:id="2"/>
        <w:t>*</w:t>
      </w:r>
      <w:r w:rsidRPr="008B0EF4">
        <w:rPr>
          <w:rStyle w:val="FootnoteReference"/>
          <w:b w:val="0"/>
          <w:bCs/>
          <w:position w:val="8"/>
          <w:sz w:val="20"/>
          <w:vertAlign w:val="baseline"/>
        </w:rPr>
        <w:t>,</w:t>
      </w:r>
      <w:r w:rsidRPr="008B0EF4">
        <w:rPr>
          <w:rStyle w:val="FootnoteReference"/>
          <w:b w:val="0"/>
          <w:bCs/>
          <w:sz w:val="20"/>
          <w:vertAlign w:val="baseline"/>
        </w:rPr>
        <w:t xml:space="preserve"> </w:t>
      </w:r>
      <w:r w:rsidRPr="008B0EF4">
        <w:rPr>
          <w:rStyle w:val="FootnoteReference"/>
          <w:b w:val="0"/>
          <w:bCs/>
          <w:sz w:val="20"/>
          <w:vertAlign w:val="baseline"/>
        </w:rPr>
        <w:footnoteReference w:customMarkFollows="1" w:id="3"/>
        <w:t>**</w:t>
      </w:r>
      <w:bookmarkEnd w:id="1"/>
    </w:p>
    <w:tbl>
      <w:tblPr>
        <w:tblStyle w:val="TableGrid"/>
        <w:tblW w:w="0" w:type="auto"/>
        <w:jc w:val="center"/>
        <w:tblLook w:val="05E0" w:firstRow="1" w:lastRow="1" w:firstColumn="1" w:lastColumn="1" w:noHBand="0" w:noVBand="1"/>
      </w:tblPr>
      <w:tblGrid>
        <w:gridCol w:w="9629"/>
      </w:tblGrid>
      <w:tr w:rsidR="00BE3AC9" w:rsidRPr="008B0EF4" w14:paraId="6E4EC276" w14:textId="77777777" w:rsidTr="0062347E">
        <w:trPr>
          <w:jc w:val="center"/>
        </w:trPr>
        <w:tc>
          <w:tcPr>
            <w:tcW w:w="9629" w:type="dxa"/>
            <w:tcBorders>
              <w:bottom w:val="nil"/>
            </w:tcBorders>
          </w:tcPr>
          <w:p w14:paraId="5516FF58" w14:textId="77777777" w:rsidR="00BE3AC9" w:rsidRPr="008B0EF4" w:rsidRDefault="00BE3AC9" w:rsidP="00BE3AC9">
            <w:pPr>
              <w:tabs>
                <w:tab w:val="left" w:pos="255"/>
              </w:tabs>
              <w:suppressAutoHyphens w:val="0"/>
              <w:spacing w:before="240" w:after="120" w:line="240" w:lineRule="atLeast"/>
              <w:rPr>
                <w:sz w:val="24"/>
              </w:rPr>
            </w:pPr>
            <w:r w:rsidRPr="008B0EF4">
              <w:tab/>
            </w:r>
            <w:r w:rsidRPr="008B0EF4">
              <w:rPr>
                <w:i/>
                <w:sz w:val="24"/>
              </w:rPr>
              <w:t>Summary</w:t>
            </w:r>
          </w:p>
        </w:tc>
      </w:tr>
      <w:tr w:rsidR="00B02186" w:rsidRPr="008B0EF4" w14:paraId="29503860" w14:textId="77777777" w:rsidTr="00DB4721">
        <w:trPr>
          <w:jc w:val="center"/>
        </w:trPr>
        <w:tc>
          <w:tcPr>
            <w:tcW w:w="9629" w:type="dxa"/>
            <w:tcBorders>
              <w:top w:val="nil"/>
              <w:bottom w:val="nil"/>
            </w:tcBorders>
          </w:tcPr>
          <w:p w14:paraId="5E870D7F" w14:textId="399EF4B9" w:rsidR="00B02186" w:rsidRPr="008B0EF4" w:rsidRDefault="00504A8F" w:rsidP="00DB4721">
            <w:pPr>
              <w:pStyle w:val="SingleTxtG"/>
              <w:ind w:firstLine="567"/>
              <w:rPr>
                <w:lang w:eastAsia="en-US"/>
              </w:rPr>
            </w:pPr>
            <w:r w:rsidRPr="008B0EF4">
              <w:rPr>
                <w:lang w:eastAsia="en-US"/>
              </w:rPr>
              <w:t>S</w:t>
            </w:r>
            <w:r w:rsidR="00B02186" w:rsidRPr="008B0EF4">
              <w:rPr>
                <w:lang w:eastAsia="en-US"/>
              </w:rPr>
              <w:t>ince the start of the conflict in the Syrian Arab Republic, hostilities show little sign of abating in several parts of the country with a large number of State and non-State actors participating across different theatres of conflict. Multiple</w:t>
            </w:r>
            <w:r w:rsidR="00C83D89">
              <w:rPr>
                <w:lang w:eastAsia="en-US"/>
              </w:rPr>
              <w:t>,</w:t>
            </w:r>
            <w:r w:rsidR="00B02186" w:rsidRPr="008B0EF4">
              <w:rPr>
                <w:lang w:eastAsia="en-US"/>
              </w:rPr>
              <w:t xml:space="preserve"> rapidly shifting alliances among these parties continue to create volatility and power vacuums that facilitate violations</w:t>
            </w:r>
            <w:r w:rsidR="0024069C">
              <w:rPr>
                <w:lang w:eastAsia="en-US"/>
              </w:rPr>
              <w:t xml:space="preserve"> of international law</w:t>
            </w:r>
            <w:r w:rsidR="00B02186" w:rsidRPr="008B0EF4">
              <w:rPr>
                <w:lang w:eastAsia="en-US"/>
              </w:rPr>
              <w:t>. The absence of an effective peace process</w:t>
            </w:r>
            <w:r w:rsidR="009A10D1">
              <w:rPr>
                <w:lang w:eastAsia="en-US"/>
              </w:rPr>
              <w:t>,</w:t>
            </w:r>
            <w:r w:rsidR="00B02186" w:rsidRPr="008B0EF4">
              <w:rPr>
                <w:lang w:eastAsia="en-US"/>
              </w:rPr>
              <w:t xml:space="preserve"> coupled with the failure of conflicting parties to provide unfettered access to humanitarian actors and independent monitors, renders distant the prospect of improving the immediate protection environment for civilians. </w:t>
            </w:r>
          </w:p>
          <w:p w14:paraId="7E1D98E0" w14:textId="5F2B7D79" w:rsidR="00B02186" w:rsidRPr="008B0EF4" w:rsidRDefault="00B02186" w:rsidP="00DB4721">
            <w:pPr>
              <w:pStyle w:val="SingleTxtG"/>
              <w:ind w:firstLine="567"/>
              <w:rPr>
                <w:lang w:eastAsia="en-US"/>
              </w:rPr>
            </w:pPr>
            <w:r w:rsidRPr="008B0EF4">
              <w:rPr>
                <w:lang w:eastAsia="en-US"/>
              </w:rPr>
              <w:t xml:space="preserve">The operations by Turkish </w:t>
            </w:r>
            <w:r w:rsidR="009A10D1">
              <w:rPr>
                <w:lang w:eastAsia="en-US"/>
              </w:rPr>
              <w:t>f</w:t>
            </w:r>
            <w:r w:rsidR="009A10D1" w:rsidRPr="008B0EF4">
              <w:rPr>
                <w:lang w:eastAsia="en-US"/>
              </w:rPr>
              <w:t xml:space="preserve">orces </w:t>
            </w:r>
            <w:r w:rsidRPr="008B0EF4">
              <w:rPr>
                <w:lang w:eastAsia="en-US"/>
              </w:rPr>
              <w:t xml:space="preserve">and the Syrian National Army, under the moniker Operation Peace Spring, </w:t>
            </w:r>
            <w:r w:rsidR="00504A8F" w:rsidRPr="008B0EF4">
              <w:rPr>
                <w:lang w:eastAsia="en-US"/>
              </w:rPr>
              <w:t>followed</w:t>
            </w:r>
            <w:r w:rsidRPr="008B0EF4">
              <w:rPr>
                <w:lang w:eastAsia="en-US"/>
              </w:rPr>
              <w:t xml:space="preserve"> the sudden withdrawal of </w:t>
            </w:r>
            <w:r w:rsidR="009A10D1" w:rsidRPr="008B0EF4">
              <w:rPr>
                <w:lang w:eastAsia="en-US"/>
              </w:rPr>
              <w:t xml:space="preserve">troops </w:t>
            </w:r>
            <w:r w:rsidR="009A10D1">
              <w:rPr>
                <w:lang w:eastAsia="en-US"/>
              </w:rPr>
              <w:t xml:space="preserve">of the </w:t>
            </w:r>
            <w:r w:rsidRPr="008B0EF4">
              <w:rPr>
                <w:lang w:eastAsia="en-US"/>
              </w:rPr>
              <w:t>United States</w:t>
            </w:r>
            <w:r w:rsidR="009A10D1">
              <w:rPr>
                <w:lang w:eastAsia="en-US"/>
              </w:rPr>
              <w:t xml:space="preserve"> of America</w:t>
            </w:r>
            <w:r w:rsidRPr="008B0EF4">
              <w:rPr>
                <w:lang w:eastAsia="en-US"/>
              </w:rPr>
              <w:t xml:space="preserve"> in early October. The resulting rapid waves of civilians fleeing from the area between </w:t>
            </w:r>
            <w:r w:rsidR="00A37D0D" w:rsidRPr="00D6133C">
              <w:rPr>
                <w:lang w:eastAsia="en-US"/>
              </w:rPr>
              <w:t>Ayn Isa</w:t>
            </w:r>
            <w:r w:rsidRPr="00A37D0D">
              <w:rPr>
                <w:lang w:eastAsia="en-US"/>
              </w:rPr>
              <w:t xml:space="preserve"> and </w:t>
            </w:r>
            <w:r w:rsidR="00A37D0D" w:rsidRPr="00D6133C">
              <w:rPr>
                <w:lang w:eastAsia="en-US"/>
              </w:rPr>
              <w:t xml:space="preserve">Tall </w:t>
            </w:r>
            <w:proofErr w:type="spellStart"/>
            <w:r w:rsidR="00A37D0D" w:rsidRPr="00D6133C">
              <w:rPr>
                <w:lang w:eastAsia="en-US"/>
              </w:rPr>
              <w:t>Tamr</w:t>
            </w:r>
            <w:proofErr w:type="spellEnd"/>
            <w:r w:rsidRPr="00A37D0D">
              <w:rPr>
                <w:lang w:eastAsia="en-US"/>
              </w:rPr>
              <w:t xml:space="preserve"> contributed</w:t>
            </w:r>
            <w:r w:rsidRPr="008B0EF4">
              <w:rPr>
                <w:lang w:eastAsia="en-US"/>
              </w:rPr>
              <w:t xml:space="preserve"> to an already dire displacement situation for many</w:t>
            </w:r>
            <w:r w:rsidR="005E4A11" w:rsidRPr="008B0EF4">
              <w:rPr>
                <w:lang w:eastAsia="en-US"/>
              </w:rPr>
              <w:t>, including</w:t>
            </w:r>
            <w:r w:rsidRPr="008B0EF4">
              <w:rPr>
                <w:lang w:eastAsia="en-US"/>
              </w:rPr>
              <w:t xml:space="preserve"> children</w:t>
            </w:r>
            <w:r w:rsidR="005E4A11" w:rsidRPr="008B0EF4">
              <w:rPr>
                <w:lang w:eastAsia="en-US"/>
              </w:rPr>
              <w:t>,</w:t>
            </w:r>
            <w:r w:rsidRPr="008B0EF4">
              <w:rPr>
                <w:lang w:eastAsia="en-US"/>
              </w:rPr>
              <w:t xml:space="preserve"> in areas under the control of the </w:t>
            </w:r>
            <w:bookmarkStart w:id="2" w:name="_Hlk30490818"/>
            <w:r w:rsidRPr="008B0EF4">
              <w:rPr>
                <w:lang w:eastAsia="en-US"/>
              </w:rPr>
              <w:t>Syrian Democratic Forces</w:t>
            </w:r>
            <w:bookmarkEnd w:id="2"/>
            <w:r w:rsidRPr="008B0EF4">
              <w:rPr>
                <w:lang w:eastAsia="en-US"/>
              </w:rPr>
              <w:t xml:space="preserve">. </w:t>
            </w:r>
          </w:p>
          <w:p w14:paraId="507EBE1D" w14:textId="2B2FFD54" w:rsidR="0062347E" w:rsidRPr="008B0EF4" w:rsidRDefault="00B02186" w:rsidP="001F7849">
            <w:pPr>
              <w:pStyle w:val="SingleTxtG"/>
              <w:ind w:firstLine="567"/>
              <w:rPr>
                <w:rFonts w:eastAsia="SimSun"/>
              </w:rPr>
            </w:pPr>
            <w:r w:rsidRPr="008B0EF4">
              <w:rPr>
                <w:lang w:eastAsia="en-US"/>
              </w:rPr>
              <w:t xml:space="preserve">As battles waged over strategic areas in southern </w:t>
            </w:r>
            <w:bookmarkStart w:id="3" w:name="_Hlk30490840"/>
            <w:proofErr w:type="spellStart"/>
            <w:r w:rsidRPr="008B0EF4">
              <w:rPr>
                <w:lang w:eastAsia="en-US"/>
              </w:rPr>
              <w:t>Idlib</w:t>
            </w:r>
            <w:proofErr w:type="spellEnd"/>
            <w:r w:rsidRPr="008B0EF4">
              <w:rPr>
                <w:lang w:eastAsia="en-US"/>
              </w:rPr>
              <w:t xml:space="preserve">, </w:t>
            </w:r>
            <w:proofErr w:type="spellStart"/>
            <w:r w:rsidRPr="008B0EF4">
              <w:rPr>
                <w:lang w:eastAsia="en-US"/>
              </w:rPr>
              <w:t>Hay’at</w:t>
            </w:r>
            <w:proofErr w:type="spellEnd"/>
            <w:r w:rsidRPr="008B0EF4">
              <w:rPr>
                <w:lang w:eastAsia="en-US"/>
              </w:rPr>
              <w:t xml:space="preserve"> </w:t>
            </w:r>
            <w:proofErr w:type="spellStart"/>
            <w:r w:rsidRPr="008B0EF4">
              <w:rPr>
                <w:lang w:eastAsia="en-US"/>
              </w:rPr>
              <w:t>Tahrir</w:t>
            </w:r>
            <w:proofErr w:type="spellEnd"/>
            <w:r w:rsidRPr="008B0EF4">
              <w:rPr>
                <w:lang w:eastAsia="en-US"/>
              </w:rPr>
              <w:t xml:space="preserve"> al-Sham </w:t>
            </w:r>
            <w:bookmarkEnd w:id="3"/>
            <w:r w:rsidRPr="008B0EF4">
              <w:rPr>
                <w:lang w:eastAsia="en-US"/>
              </w:rPr>
              <w:t xml:space="preserve">terrorists attempted to tighten </w:t>
            </w:r>
            <w:r w:rsidR="00504A8F" w:rsidRPr="008B0EF4">
              <w:rPr>
                <w:lang w:eastAsia="en-US"/>
              </w:rPr>
              <w:t>their</w:t>
            </w:r>
            <w:r w:rsidRPr="008B0EF4">
              <w:rPr>
                <w:lang w:eastAsia="en-US"/>
              </w:rPr>
              <w:t xml:space="preserve"> grip over the population. Activists, journ</w:t>
            </w:r>
            <w:r w:rsidR="00504A8F" w:rsidRPr="008B0EF4">
              <w:rPr>
                <w:lang w:eastAsia="en-US"/>
              </w:rPr>
              <w:t>alists and civilians</w:t>
            </w:r>
            <w:r w:rsidRPr="008B0EF4">
              <w:rPr>
                <w:lang w:eastAsia="en-US"/>
              </w:rPr>
              <w:t xml:space="preserve"> continue to </w:t>
            </w:r>
            <w:proofErr w:type="gramStart"/>
            <w:r w:rsidRPr="008B0EF4">
              <w:rPr>
                <w:lang w:eastAsia="en-US"/>
              </w:rPr>
              <w:t>be un</w:t>
            </w:r>
            <w:r w:rsidR="00504A8F" w:rsidRPr="008B0EF4">
              <w:rPr>
                <w:lang w:eastAsia="en-US"/>
              </w:rPr>
              <w:t>lawfully detained</w:t>
            </w:r>
            <w:proofErr w:type="gramEnd"/>
            <w:r w:rsidR="00504A8F" w:rsidRPr="008B0EF4">
              <w:rPr>
                <w:lang w:eastAsia="en-US"/>
              </w:rPr>
              <w:t xml:space="preserve"> for criticizing </w:t>
            </w:r>
            <w:r w:rsidRPr="008B0EF4">
              <w:rPr>
                <w:lang w:eastAsia="en-US"/>
              </w:rPr>
              <w:t>the group’s mounting interference. Pro-</w:t>
            </w:r>
            <w:r w:rsidR="009A10D1">
              <w:rPr>
                <w:lang w:eastAsia="en-US"/>
              </w:rPr>
              <w:t>g</w:t>
            </w:r>
            <w:r w:rsidRPr="008B0EF4">
              <w:rPr>
                <w:lang w:eastAsia="en-US"/>
              </w:rPr>
              <w:t>overnment forces</w:t>
            </w:r>
            <w:r w:rsidR="00504A8F" w:rsidRPr="008B0EF4">
              <w:rPr>
                <w:lang w:eastAsia="en-US"/>
              </w:rPr>
              <w:t xml:space="preserve"> also carried</w:t>
            </w:r>
            <w:r w:rsidRPr="008B0EF4">
              <w:rPr>
                <w:lang w:eastAsia="en-US"/>
              </w:rPr>
              <w:t xml:space="preserve"> out aerial and ground attacks in southern </w:t>
            </w:r>
            <w:proofErr w:type="spellStart"/>
            <w:r w:rsidRPr="008B0EF4">
              <w:rPr>
                <w:lang w:eastAsia="en-US"/>
              </w:rPr>
              <w:t>Idlib</w:t>
            </w:r>
            <w:proofErr w:type="spellEnd"/>
            <w:r w:rsidRPr="008B0EF4">
              <w:rPr>
                <w:lang w:eastAsia="en-US"/>
              </w:rPr>
              <w:t xml:space="preserve"> against terrorist organizations, </w:t>
            </w:r>
            <w:r w:rsidR="00504A8F" w:rsidRPr="008B0EF4">
              <w:rPr>
                <w:lang w:eastAsia="en-US"/>
              </w:rPr>
              <w:t>striking</w:t>
            </w:r>
            <w:r w:rsidRPr="008B0EF4">
              <w:rPr>
                <w:lang w:eastAsia="en-US"/>
              </w:rPr>
              <w:t xml:space="preserve"> civilian infrastructure, including protected objects such </w:t>
            </w:r>
            <w:r w:rsidR="00D20459" w:rsidRPr="008B0EF4">
              <w:rPr>
                <w:lang w:eastAsia="en-US"/>
              </w:rPr>
              <w:t>as</w:t>
            </w:r>
            <w:r w:rsidR="00250688" w:rsidRPr="008B0EF4">
              <w:rPr>
                <w:lang w:eastAsia="en-US"/>
              </w:rPr>
              <w:t xml:space="preserve"> </w:t>
            </w:r>
            <w:r w:rsidRPr="008B0EF4">
              <w:rPr>
                <w:lang w:eastAsia="en-US"/>
              </w:rPr>
              <w:t xml:space="preserve">medical facilities. Access to medical care for the wounded was thus undermined, while attacks on </w:t>
            </w:r>
            <w:proofErr w:type="gramStart"/>
            <w:r w:rsidRPr="008B0EF4">
              <w:rPr>
                <w:lang w:eastAsia="en-US"/>
              </w:rPr>
              <w:t>women’s</w:t>
            </w:r>
            <w:proofErr w:type="gramEnd"/>
            <w:r w:rsidRPr="008B0EF4">
              <w:rPr>
                <w:lang w:eastAsia="en-US"/>
              </w:rPr>
              <w:t xml:space="preserve"> and children’s hospitals prevented pregnant women and new mothers from receiving medical care. Between May 2019 and early January 2020, these attacks caused the displacement of 700,000 civilians.</w:t>
            </w:r>
            <w:r w:rsidRPr="008B0EF4">
              <w:rPr>
                <w:rFonts w:eastAsia="SimSun"/>
              </w:rPr>
              <w:t xml:space="preserve">  </w:t>
            </w:r>
          </w:p>
        </w:tc>
      </w:tr>
      <w:tr w:rsidR="00DB4721" w:rsidRPr="008B0EF4" w14:paraId="6F0FB03F" w14:textId="77777777" w:rsidTr="00DA59F3">
        <w:trPr>
          <w:trHeight w:val="80"/>
          <w:jc w:val="center"/>
        </w:trPr>
        <w:tc>
          <w:tcPr>
            <w:tcW w:w="9629" w:type="dxa"/>
            <w:tcBorders>
              <w:top w:val="nil"/>
            </w:tcBorders>
          </w:tcPr>
          <w:p w14:paraId="058F8C8D" w14:textId="77777777" w:rsidR="00DB4721" w:rsidRPr="008B0EF4" w:rsidRDefault="00DB4721" w:rsidP="00DB4721">
            <w:pPr>
              <w:spacing w:after="120"/>
              <w:ind w:right="1134"/>
              <w:jc w:val="both"/>
            </w:pPr>
          </w:p>
        </w:tc>
      </w:tr>
    </w:tbl>
    <w:p w14:paraId="47E9557A" w14:textId="77777777" w:rsidR="006A33EC" w:rsidRPr="008B0EF4" w:rsidRDefault="006A33EC" w:rsidP="0062347E">
      <w:pPr>
        <w:suppressAutoHyphens/>
        <w:spacing w:after="120" w:line="240" w:lineRule="atLeast"/>
      </w:pPr>
      <w:r w:rsidRPr="008B0EF4">
        <w:br w:type="page"/>
      </w:r>
    </w:p>
    <w:tbl>
      <w:tblPr>
        <w:tblStyle w:val="TableGrid"/>
        <w:tblW w:w="0" w:type="auto"/>
        <w:jc w:val="center"/>
        <w:tblBorders>
          <w:insideH w:val="none" w:sz="0" w:space="0" w:color="auto"/>
          <w:insideV w:val="none" w:sz="0" w:space="0" w:color="auto"/>
        </w:tblBorders>
        <w:tblLook w:val="05E0" w:firstRow="1" w:lastRow="1" w:firstColumn="1" w:lastColumn="1" w:noHBand="0" w:noVBand="1"/>
      </w:tblPr>
      <w:tblGrid>
        <w:gridCol w:w="9629"/>
      </w:tblGrid>
      <w:tr w:rsidR="0062347E" w:rsidRPr="008B0EF4" w14:paraId="3746A5E1" w14:textId="77777777" w:rsidTr="004E3FF9">
        <w:trPr>
          <w:jc w:val="center"/>
        </w:trPr>
        <w:tc>
          <w:tcPr>
            <w:tcW w:w="9629" w:type="dxa"/>
            <w:shd w:val="clear" w:color="auto" w:fill="auto"/>
          </w:tcPr>
          <w:p w14:paraId="5D80F512" w14:textId="6A32E621" w:rsidR="0062347E" w:rsidRPr="008B0EF4" w:rsidRDefault="0062347E" w:rsidP="001F7849">
            <w:pPr>
              <w:pStyle w:val="SingleTxtG"/>
              <w:ind w:firstLine="567"/>
              <w:rPr>
                <w:lang w:eastAsia="en-US"/>
              </w:rPr>
            </w:pPr>
            <w:r w:rsidRPr="008B0EF4">
              <w:rPr>
                <w:lang w:eastAsia="en-US"/>
              </w:rPr>
              <w:lastRenderedPageBreak/>
              <w:t xml:space="preserve">In </w:t>
            </w:r>
            <w:r w:rsidR="00822778">
              <w:rPr>
                <w:lang w:eastAsia="en-US"/>
              </w:rPr>
              <w:t>g</w:t>
            </w:r>
            <w:r w:rsidRPr="008B0EF4">
              <w:rPr>
                <w:lang w:eastAsia="en-US"/>
              </w:rPr>
              <w:t>overnment</w:t>
            </w:r>
            <w:r w:rsidR="009A10D1">
              <w:rPr>
                <w:lang w:eastAsia="en-US"/>
              </w:rPr>
              <w:t>-</w:t>
            </w:r>
            <w:r w:rsidRPr="008B0EF4">
              <w:rPr>
                <w:lang w:eastAsia="en-US"/>
              </w:rPr>
              <w:t xml:space="preserve">controlled areas, conditions for return remained largely </w:t>
            </w:r>
            <w:r w:rsidR="005E4A11" w:rsidRPr="008B0EF4">
              <w:rPr>
                <w:lang w:eastAsia="en-US"/>
              </w:rPr>
              <w:t xml:space="preserve">absent   </w:t>
            </w:r>
            <w:r w:rsidRPr="008B0EF4">
              <w:rPr>
                <w:lang w:eastAsia="en-US"/>
              </w:rPr>
              <w:t xml:space="preserve">with significant barriers in place for civilians to claim their property, including expropriation by the Government. In formerly besieged towns and villages where </w:t>
            </w:r>
            <w:r w:rsidR="009A10D1">
              <w:rPr>
                <w:lang w:eastAsia="en-US"/>
              </w:rPr>
              <w:t>“</w:t>
            </w:r>
            <w:r w:rsidRPr="008B0EF4">
              <w:rPr>
                <w:lang w:eastAsia="en-US"/>
              </w:rPr>
              <w:t>reconciliation</w:t>
            </w:r>
            <w:r w:rsidR="009A10D1">
              <w:rPr>
                <w:lang w:eastAsia="en-US"/>
              </w:rPr>
              <w:t>”</w:t>
            </w:r>
            <w:r w:rsidRPr="008B0EF4">
              <w:rPr>
                <w:lang w:eastAsia="en-US"/>
              </w:rPr>
              <w:t xml:space="preserve"> agreements </w:t>
            </w:r>
            <w:proofErr w:type="gramStart"/>
            <w:r w:rsidR="00822778">
              <w:rPr>
                <w:lang w:eastAsia="en-US"/>
              </w:rPr>
              <w:t>have been</w:t>
            </w:r>
            <w:r w:rsidRPr="008B0EF4">
              <w:rPr>
                <w:lang w:eastAsia="en-US"/>
              </w:rPr>
              <w:t xml:space="preserve"> imposed</w:t>
            </w:r>
            <w:proofErr w:type="gramEnd"/>
            <w:r w:rsidRPr="008B0EF4">
              <w:rPr>
                <w:lang w:eastAsia="en-US"/>
              </w:rPr>
              <w:t xml:space="preserve">, ubiquitous checkpoints created fear among the civilian population and restricted freedom of movement and access to basic services. </w:t>
            </w:r>
          </w:p>
        </w:tc>
      </w:tr>
      <w:tr w:rsidR="0062347E" w:rsidRPr="008B0EF4" w14:paraId="0EEA6D49" w14:textId="77777777" w:rsidTr="0062347E">
        <w:trPr>
          <w:jc w:val="center"/>
        </w:trPr>
        <w:tc>
          <w:tcPr>
            <w:tcW w:w="9629" w:type="dxa"/>
            <w:shd w:val="clear" w:color="auto" w:fill="auto"/>
          </w:tcPr>
          <w:p w14:paraId="2C56899F" w14:textId="4D0DE20E" w:rsidR="0062347E" w:rsidRPr="008B0EF4" w:rsidRDefault="0062347E" w:rsidP="001F7849">
            <w:pPr>
              <w:pStyle w:val="SingleTxtG"/>
              <w:ind w:firstLine="567"/>
              <w:rPr>
                <w:lang w:eastAsia="en-US"/>
              </w:rPr>
            </w:pPr>
            <w:r w:rsidRPr="008B0EF4">
              <w:rPr>
                <w:lang w:eastAsia="en-US"/>
              </w:rPr>
              <w:t xml:space="preserve">These circumstances left little respite for those in </w:t>
            </w:r>
            <w:r w:rsidR="00955A2F">
              <w:rPr>
                <w:lang w:eastAsia="en-US"/>
              </w:rPr>
              <w:t xml:space="preserve">the </w:t>
            </w:r>
            <w:r w:rsidRPr="008B0EF4">
              <w:rPr>
                <w:lang w:eastAsia="en-US"/>
              </w:rPr>
              <w:t xml:space="preserve">Syrian </w:t>
            </w:r>
            <w:r w:rsidR="00955A2F">
              <w:rPr>
                <w:lang w:eastAsia="en-US"/>
              </w:rPr>
              <w:t xml:space="preserve">Arab Republic </w:t>
            </w:r>
            <w:r w:rsidRPr="008B0EF4">
              <w:rPr>
                <w:lang w:eastAsia="en-US"/>
              </w:rPr>
              <w:t>and the multitude of violations outl</w:t>
            </w:r>
            <w:r w:rsidR="00504A8F" w:rsidRPr="008B0EF4">
              <w:rPr>
                <w:lang w:eastAsia="en-US"/>
              </w:rPr>
              <w:t xml:space="preserve">ined in </w:t>
            </w:r>
            <w:r w:rsidR="00955A2F" w:rsidRPr="008B0EF4">
              <w:rPr>
                <w:lang w:eastAsia="en-US"/>
              </w:rPr>
              <w:t>th</w:t>
            </w:r>
            <w:r w:rsidR="00955A2F">
              <w:rPr>
                <w:lang w:eastAsia="en-US"/>
              </w:rPr>
              <w:t>e</w:t>
            </w:r>
            <w:r w:rsidR="00955A2F" w:rsidRPr="008B0EF4">
              <w:rPr>
                <w:lang w:eastAsia="en-US"/>
              </w:rPr>
              <w:t xml:space="preserve"> </w:t>
            </w:r>
            <w:r w:rsidR="00504A8F" w:rsidRPr="008B0EF4">
              <w:rPr>
                <w:lang w:eastAsia="en-US"/>
              </w:rPr>
              <w:t>report demonstrate</w:t>
            </w:r>
            <w:r w:rsidRPr="008B0EF4">
              <w:rPr>
                <w:lang w:eastAsia="en-US"/>
              </w:rPr>
              <w:t xml:space="preserve"> a stark reality for countless women, men and children. Gender roles, and the inequalities that underpin them, have fuelled and amplified the direct impact of these violations. Women, and in particular those belonging to certain religious and ethnic communities, have been adversely affected by the conflict.  In camps in </w:t>
            </w:r>
            <w:r w:rsidR="00687D98" w:rsidRPr="008B0EF4">
              <w:rPr>
                <w:lang w:eastAsia="en-US"/>
              </w:rPr>
              <w:t>areas</w:t>
            </w:r>
            <w:r w:rsidR="00687D98">
              <w:rPr>
                <w:lang w:eastAsia="en-US"/>
              </w:rPr>
              <w:t xml:space="preserve"> </w:t>
            </w:r>
            <w:r w:rsidRPr="008B0EF4">
              <w:rPr>
                <w:lang w:eastAsia="en-US"/>
              </w:rPr>
              <w:t xml:space="preserve">controlled </w:t>
            </w:r>
            <w:r w:rsidR="00687D98">
              <w:rPr>
                <w:lang w:eastAsia="en-US"/>
              </w:rPr>
              <w:t xml:space="preserve">by </w:t>
            </w:r>
            <w:r w:rsidR="00687D98" w:rsidRPr="006E4468">
              <w:rPr>
                <w:lang w:eastAsia="en-US"/>
              </w:rPr>
              <w:t>Syrian Democratic Forces</w:t>
            </w:r>
            <w:r w:rsidRPr="008B0EF4">
              <w:rPr>
                <w:lang w:eastAsia="en-US"/>
              </w:rPr>
              <w:t xml:space="preserve">, foreign children with alleged familial links to the Islamic State in Iraq and the Levant continued </w:t>
            </w:r>
            <w:r w:rsidR="00687D98">
              <w:rPr>
                <w:lang w:eastAsia="en-US"/>
              </w:rPr>
              <w:t xml:space="preserve">to </w:t>
            </w:r>
            <w:r w:rsidRPr="008B0EF4">
              <w:rPr>
                <w:lang w:eastAsia="en-US"/>
              </w:rPr>
              <w:t>languish in despair</w:t>
            </w:r>
            <w:r w:rsidR="005E4A11" w:rsidRPr="008B0EF4">
              <w:rPr>
                <w:lang w:eastAsia="en-US"/>
              </w:rPr>
              <w:t>,</w:t>
            </w:r>
            <w:r w:rsidR="00504A8F" w:rsidRPr="008B0EF4">
              <w:rPr>
                <w:lang w:eastAsia="en-US"/>
              </w:rPr>
              <w:t xml:space="preserve"> becoming</w:t>
            </w:r>
            <w:r w:rsidRPr="008B0EF4">
              <w:rPr>
                <w:lang w:eastAsia="en-US"/>
              </w:rPr>
              <w:t xml:space="preserve"> increasingly vulnerable. As many of their countries of origin refuse repatriation, thousands of children, many unaccompanied, remain in a legal limbo.</w:t>
            </w:r>
          </w:p>
        </w:tc>
      </w:tr>
      <w:tr w:rsidR="0062347E" w:rsidRPr="008B0EF4" w14:paraId="0FE2DB8E" w14:textId="77777777" w:rsidTr="0062347E">
        <w:trPr>
          <w:jc w:val="center"/>
        </w:trPr>
        <w:tc>
          <w:tcPr>
            <w:tcW w:w="9629" w:type="dxa"/>
            <w:shd w:val="clear" w:color="auto" w:fill="auto"/>
          </w:tcPr>
          <w:p w14:paraId="526F38CC" w14:textId="77777777" w:rsidR="0062347E" w:rsidRPr="008B0EF4" w:rsidRDefault="0062347E" w:rsidP="00DB4721">
            <w:pPr>
              <w:pStyle w:val="SingleTxtG"/>
              <w:ind w:firstLine="567"/>
              <w:rPr>
                <w:lang w:eastAsia="en-US"/>
              </w:rPr>
            </w:pPr>
            <w:r w:rsidRPr="008B0EF4">
              <w:rPr>
                <w:lang w:eastAsia="en-US"/>
              </w:rPr>
              <w:t>All warring parties continue to ignore or deny protection, including guarantees of sustained and unhindered humanitarian assistance, to vulnerable civilians. Despite appeals and recommendations in previous reports for warring parties to take corrective action, the calls have largely gone unheeded.</w:t>
            </w:r>
          </w:p>
        </w:tc>
      </w:tr>
      <w:tr w:rsidR="0062347E" w:rsidRPr="008B0EF4" w14:paraId="5B7C1939" w14:textId="77777777" w:rsidTr="005E4A11">
        <w:trPr>
          <w:trHeight w:val="80"/>
          <w:jc w:val="center"/>
        </w:trPr>
        <w:tc>
          <w:tcPr>
            <w:tcW w:w="9629" w:type="dxa"/>
            <w:shd w:val="clear" w:color="auto" w:fill="auto"/>
          </w:tcPr>
          <w:p w14:paraId="0D0D8A37" w14:textId="77777777" w:rsidR="0062347E" w:rsidRPr="008B0EF4" w:rsidRDefault="0062347E" w:rsidP="005E4A11">
            <w:pPr>
              <w:spacing w:after="120"/>
              <w:ind w:right="1134"/>
              <w:jc w:val="both"/>
              <w:rPr>
                <w:rFonts w:eastAsia="SimSun"/>
              </w:rPr>
            </w:pPr>
          </w:p>
        </w:tc>
      </w:tr>
    </w:tbl>
    <w:p w14:paraId="40A95C62" w14:textId="33AEA992" w:rsidR="007300E3" w:rsidRPr="008B0EF4" w:rsidRDefault="003928BC">
      <w:pPr>
        <w:pStyle w:val="HChG"/>
      </w:pPr>
      <w:r w:rsidRPr="008B0EF4">
        <w:br w:type="page"/>
      </w:r>
      <w:r w:rsidR="007300E3" w:rsidRPr="008B0EF4">
        <w:lastRenderedPageBreak/>
        <w:tab/>
      </w:r>
      <w:bookmarkStart w:id="4" w:name="_Toc16754910"/>
      <w:r w:rsidR="007300E3" w:rsidRPr="008B0EF4">
        <w:t>I.</w:t>
      </w:r>
      <w:r w:rsidR="007300E3" w:rsidRPr="008B0EF4">
        <w:tab/>
        <w:t>Mandate and methodology</w:t>
      </w:r>
      <w:bookmarkEnd w:id="4"/>
    </w:p>
    <w:p w14:paraId="3C49E183" w14:textId="453D8948" w:rsidR="00970F68" w:rsidRPr="008B0EF4" w:rsidRDefault="007300E3" w:rsidP="00970F68">
      <w:pPr>
        <w:spacing w:after="120" w:line="240" w:lineRule="atLeast"/>
        <w:ind w:left="1134" w:right="1134"/>
        <w:jc w:val="both"/>
      </w:pPr>
      <w:r w:rsidRPr="008B0EF4">
        <w:t>1.</w:t>
      </w:r>
      <w:r w:rsidRPr="008B0EF4">
        <w:tab/>
      </w:r>
      <w:r w:rsidR="00970F68" w:rsidRPr="008B0EF4">
        <w:t>In the present report, submitted to the Human Rights Council pursuant to its resolution 40/17, the Independent International Commission of Inquiry on the Syrian Arab Republic presents its findings based on investigations conducted from 11 July 2019 to 10 January 2020.</w:t>
      </w:r>
      <w:r w:rsidR="00970F68" w:rsidRPr="008B0EF4">
        <w:rPr>
          <w:rStyle w:val="FootnoteReference"/>
        </w:rPr>
        <w:footnoteReference w:id="4"/>
      </w:r>
      <w:r w:rsidR="00970F68" w:rsidRPr="008B0EF4">
        <w:t xml:space="preserve"> The methodology employed by the Commission </w:t>
      </w:r>
      <w:proofErr w:type="gramStart"/>
      <w:r w:rsidR="00970F68" w:rsidRPr="008B0EF4">
        <w:t>was based</w:t>
      </w:r>
      <w:proofErr w:type="gramEnd"/>
      <w:r w:rsidR="00970F68" w:rsidRPr="008B0EF4">
        <w:t xml:space="preserve"> on the best practices of Commissions of </w:t>
      </w:r>
      <w:r w:rsidR="00B250C6" w:rsidRPr="008B0EF4">
        <w:t>inquiry and fact-finding missions</w:t>
      </w:r>
      <w:r w:rsidR="00970F68" w:rsidRPr="008B0EF4">
        <w:t>.</w:t>
      </w:r>
    </w:p>
    <w:p w14:paraId="795D241F" w14:textId="77777777" w:rsidR="00970F68" w:rsidRPr="008B0EF4" w:rsidRDefault="00970F68" w:rsidP="00970F68">
      <w:pPr>
        <w:spacing w:after="120" w:line="240" w:lineRule="atLeast"/>
        <w:ind w:left="1134" w:right="1134"/>
        <w:jc w:val="both"/>
      </w:pPr>
      <w:r w:rsidRPr="008B0EF4">
        <w:t>2.</w:t>
      </w:r>
      <w:r w:rsidRPr="008B0EF4">
        <w:tab/>
        <w:t xml:space="preserve">The information contained herein </w:t>
      </w:r>
      <w:proofErr w:type="gramStart"/>
      <w:r w:rsidRPr="008B0EF4">
        <w:t>is based</w:t>
      </w:r>
      <w:proofErr w:type="gramEnd"/>
      <w:r w:rsidRPr="008B0EF4">
        <w:t xml:space="preserve"> on </w:t>
      </w:r>
      <w:r w:rsidR="0034141B" w:rsidRPr="008B0EF4">
        <w:t>233</w:t>
      </w:r>
      <w:r w:rsidRPr="008B0EF4">
        <w:t xml:space="preserve"> interviews conducted in the region and from Geneva. The Commission collected, reviewed and analysed satellite imagery, photographs, videos and medical records. Communications from Governments and non-governmental organizations </w:t>
      </w:r>
      <w:proofErr w:type="gramStart"/>
      <w:r w:rsidRPr="008B0EF4">
        <w:t>were taken</w:t>
      </w:r>
      <w:proofErr w:type="gramEnd"/>
      <w:r w:rsidRPr="008B0EF4">
        <w:t xml:space="preserve"> into consideration, as were United Nations reports.</w:t>
      </w:r>
    </w:p>
    <w:p w14:paraId="053FA8AF" w14:textId="3235C871" w:rsidR="00970F68" w:rsidRPr="008B0EF4" w:rsidRDefault="00970F68" w:rsidP="00970F68">
      <w:pPr>
        <w:spacing w:after="120" w:line="240" w:lineRule="atLeast"/>
        <w:ind w:left="1134" w:right="1134"/>
        <w:jc w:val="both"/>
      </w:pPr>
      <w:r w:rsidRPr="008B0EF4">
        <w:t>3.</w:t>
      </w:r>
      <w:r w:rsidRPr="008B0EF4">
        <w:tab/>
        <w:t xml:space="preserve">The standard of proof was considered met when the Commission obtained and corroborated a reliable body of information sufficient </w:t>
      </w:r>
      <w:r w:rsidR="00B250C6">
        <w:t xml:space="preserve">for it </w:t>
      </w:r>
      <w:r w:rsidRPr="008B0EF4">
        <w:t xml:space="preserve">to conclude that there were reasonable grounds to believe the incidents occurred as described and </w:t>
      </w:r>
      <w:proofErr w:type="gramStart"/>
      <w:r w:rsidRPr="008B0EF4">
        <w:t>that violations were committed by the identified party</w:t>
      </w:r>
      <w:proofErr w:type="gramEnd"/>
      <w:r w:rsidRPr="008B0EF4">
        <w:t xml:space="preserve">. </w:t>
      </w:r>
    </w:p>
    <w:p w14:paraId="7636F8F1" w14:textId="77777777" w:rsidR="00970F68" w:rsidRPr="008B0EF4" w:rsidRDefault="00970F68" w:rsidP="00970F68">
      <w:pPr>
        <w:spacing w:after="120" w:line="240" w:lineRule="atLeast"/>
        <w:ind w:left="1134" w:right="1134"/>
        <w:jc w:val="both"/>
      </w:pPr>
      <w:r w:rsidRPr="008B0EF4">
        <w:t>4.</w:t>
      </w:r>
      <w:r w:rsidRPr="008B0EF4">
        <w:tab/>
        <w:t>While the Commission remains open to discussing its findings with the authorities of the Syrian Arab Republic, its investigations remain curtailed by the denial of access to the country. Protection concerns in relation to interviewees further affected the Commission’s inquiry. In all cases, the Commission remained guided by the principle of “do no harm”</w:t>
      </w:r>
      <w:r w:rsidR="007300E3" w:rsidRPr="008B0EF4">
        <w:t xml:space="preserve">. </w:t>
      </w:r>
    </w:p>
    <w:p w14:paraId="35F93EAC" w14:textId="77777777" w:rsidR="007300E3" w:rsidRPr="008B0EF4" w:rsidRDefault="007300E3" w:rsidP="00156BAE">
      <w:pPr>
        <w:pStyle w:val="HChG"/>
      </w:pPr>
      <w:r w:rsidRPr="008B0EF4">
        <w:tab/>
      </w:r>
      <w:bookmarkStart w:id="5" w:name="_Toc16754912"/>
      <w:r w:rsidR="00970F68" w:rsidRPr="008B0EF4">
        <w:t>I</w:t>
      </w:r>
      <w:r w:rsidRPr="008B0EF4">
        <w:t>I.</w:t>
      </w:r>
      <w:r w:rsidRPr="008B0EF4">
        <w:tab/>
        <w:t>Political and military developments</w:t>
      </w:r>
      <w:bookmarkEnd w:id="5"/>
    </w:p>
    <w:p w14:paraId="35E60F8C" w14:textId="72F1082F" w:rsidR="00970F68" w:rsidRPr="008B0EF4" w:rsidRDefault="00970F68" w:rsidP="00970F68">
      <w:pPr>
        <w:spacing w:after="120" w:line="240" w:lineRule="atLeast"/>
        <w:ind w:left="1134" w:right="1134"/>
        <w:jc w:val="both"/>
      </w:pPr>
      <w:r w:rsidRPr="008B0EF4">
        <w:t>5</w:t>
      </w:r>
      <w:r w:rsidR="007300E3" w:rsidRPr="008B0EF4">
        <w:t>.</w:t>
      </w:r>
      <w:r w:rsidR="007300E3" w:rsidRPr="008B0EF4">
        <w:tab/>
      </w:r>
      <w:r w:rsidRPr="008B0EF4">
        <w:t xml:space="preserve">There were sustained international efforts to revitalize the political process in the reporting period. The Secretary-General announced in late September that the Government </w:t>
      </w:r>
      <w:r w:rsidR="00520653">
        <w:t xml:space="preserve">of the </w:t>
      </w:r>
      <w:r w:rsidR="00520653" w:rsidRPr="008B0EF4">
        <w:t xml:space="preserve">Syrian </w:t>
      </w:r>
      <w:r w:rsidR="00520653">
        <w:t xml:space="preserve">Arab Republic </w:t>
      </w:r>
      <w:r w:rsidRPr="008B0EF4">
        <w:t xml:space="preserve">and the </w:t>
      </w:r>
      <w:r w:rsidRPr="00A37D0D">
        <w:t>opposition’s Syrian Negotiation Commission had agreed</w:t>
      </w:r>
      <w:r w:rsidRPr="008B0EF4">
        <w:t xml:space="preserve"> to begin the work of the </w:t>
      </w:r>
      <w:r w:rsidRPr="00A37D0D">
        <w:t>Constitutional Committee</w:t>
      </w:r>
      <w:r w:rsidRPr="008B0EF4">
        <w:t xml:space="preserve">. </w:t>
      </w:r>
      <w:r w:rsidR="00520653">
        <w:t>The</w:t>
      </w:r>
      <w:r w:rsidRPr="008B0EF4">
        <w:t xml:space="preserve"> Special Envoy</w:t>
      </w:r>
      <w:r w:rsidR="00520653">
        <w:t xml:space="preserve"> of the Secretary-General for Syria</w:t>
      </w:r>
      <w:r w:rsidRPr="008B0EF4">
        <w:t xml:space="preserve"> characterized the agreement as a “door opener” to a broader political process. The Constitutional Committee was officially launched in Geneva and its 45-member drafting body met on </w:t>
      </w:r>
      <w:proofErr w:type="gramStart"/>
      <w:r w:rsidRPr="008B0EF4">
        <w:t>4</w:t>
      </w:r>
      <w:proofErr w:type="gramEnd"/>
      <w:r w:rsidRPr="008B0EF4">
        <w:t xml:space="preserve"> and 25 November. The second gathering ended without the drafting body </w:t>
      </w:r>
      <w:proofErr w:type="gramStart"/>
      <w:r w:rsidRPr="008B0EF4">
        <w:t>being convened</w:t>
      </w:r>
      <w:proofErr w:type="gramEnd"/>
      <w:r w:rsidRPr="008B0EF4">
        <w:t xml:space="preserve"> due to a lack of consensus over the agenda. The pace of developments in the Constitutional Committee highlights the challenge of overcoming the lack of trust among the negotiating parties, and</w:t>
      </w:r>
      <w:r w:rsidR="005E4A11" w:rsidRPr="008B0EF4">
        <w:t xml:space="preserve"> </w:t>
      </w:r>
      <w:r w:rsidRPr="008B0EF4">
        <w:t>achiev</w:t>
      </w:r>
      <w:r w:rsidR="00520653">
        <w:t>ing</w:t>
      </w:r>
      <w:r w:rsidRPr="008B0EF4">
        <w:t xml:space="preserve"> tangible progress in the implementation of Security </w:t>
      </w:r>
      <w:r w:rsidRPr="00FF74BF">
        <w:t>Council resolution 2254 (2015).</w:t>
      </w:r>
    </w:p>
    <w:p w14:paraId="55EF3723" w14:textId="725D1EB0" w:rsidR="00970F68" w:rsidRPr="008B0EF4" w:rsidRDefault="006A33EC" w:rsidP="00970F68">
      <w:pPr>
        <w:spacing w:after="120" w:line="240" w:lineRule="atLeast"/>
        <w:ind w:left="1134" w:right="1134"/>
        <w:jc w:val="both"/>
      </w:pPr>
      <w:r w:rsidRPr="008B0EF4">
        <w:t>6.</w:t>
      </w:r>
      <w:r w:rsidR="00970F68" w:rsidRPr="008B0EF4">
        <w:tab/>
        <w:t>The humanitarian situation worsened in many parts of the country. Against this backdrop, on 20 December, the Security Council failed to agree on the renewal of the cross-</w:t>
      </w:r>
      <w:r w:rsidR="00970F68" w:rsidRPr="00FF74BF">
        <w:t>border</w:t>
      </w:r>
      <w:r w:rsidR="00FF74BF" w:rsidRPr="00FF74BF">
        <w:t xml:space="preserve"> and </w:t>
      </w:r>
      <w:r w:rsidR="00970F68" w:rsidRPr="00FF74BF">
        <w:t xml:space="preserve">cross-line aid delivery mechanism. </w:t>
      </w:r>
      <w:r w:rsidR="00520653" w:rsidRPr="00FF74BF">
        <w:t>The</w:t>
      </w:r>
      <w:r w:rsidR="00520653">
        <w:t xml:space="preserve"> </w:t>
      </w:r>
      <w:r w:rsidR="00970F68" w:rsidRPr="008B0EF4">
        <w:t>Russia</w:t>
      </w:r>
      <w:r w:rsidR="00FF74BF">
        <w:t>n Federation</w:t>
      </w:r>
      <w:r w:rsidR="00970F68" w:rsidRPr="008B0EF4">
        <w:t xml:space="preserve"> and China vetoed the resolution arguing that it must be adapted to the current situation. The Security Council reached, on 10 January, a last-minute agreement to extend the authorization of cross-</w:t>
      </w:r>
      <w:r w:rsidR="00DA59F3" w:rsidRPr="008B0EF4">
        <w:t xml:space="preserve">border aid delivery through </w:t>
      </w:r>
      <w:proofErr w:type="gramStart"/>
      <w:r w:rsidR="00DA59F3" w:rsidRPr="008B0EF4">
        <w:t>two</w:t>
      </w:r>
      <w:proofErr w:type="gramEnd"/>
      <w:r w:rsidR="00DA59F3" w:rsidRPr="008B0EF4">
        <w:t>, rather than the previous four,</w:t>
      </w:r>
      <w:r w:rsidR="00970F68" w:rsidRPr="008B0EF4">
        <w:t xml:space="preserve"> border crossings </w:t>
      </w:r>
      <w:r w:rsidR="009D6E2A" w:rsidRPr="008B0EF4">
        <w:t xml:space="preserve">and </w:t>
      </w:r>
      <w:r w:rsidR="00970F68" w:rsidRPr="008B0EF4">
        <w:t>for only six months.</w:t>
      </w:r>
      <w:r w:rsidR="00970F68" w:rsidRPr="008B0EF4">
        <w:rPr>
          <w:rStyle w:val="FootnoteReference"/>
        </w:rPr>
        <w:footnoteReference w:id="5"/>
      </w:r>
      <w:r w:rsidR="00970F68" w:rsidRPr="008B0EF4">
        <w:t xml:space="preserve"> The failure to </w:t>
      </w:r>
      <w:r w:rsidR="00970F68" w:rsidRPr="00F4383F">
        <w:t xml:space="preserve">reauthorize the </w:t>
      </w:r>
      <w:proofErr w:type="spellStart"/>
      <w:proofErr w:type="gramStart"/>
      <w:r w:rsidR="00A37D0D" w:rsidRPr="00D6133C">
        <w:t>Ya‘rubiyah</w:t>
      </w:r>
      <w:proofErr w:type="spellEnd"/>
      <w:proofErr w:type="gramEnd"/>
      <w:r w:rsidR="00970F68" w:rsidRPr="00F4383F">
        <w:t xml:space="preserve"> border</w:t>
      </w:r>
      <w:r w:rsidR="00970F68" w:rsidRPr="008B0EF4">
        <w:t xml:space="preserve"> crossing to Iraq is expected to severely affect the entry of humanitarian aid into </w:t>
      </w:r>
      <w:r w:rsidR="00FF74BF">
        <w:t>the n</w:t>
      </w:r>
      <w:r w:rsidR="00970F68" w:rsidRPr="008B0EF4">
        <w:t>orth</w:t>
      </w:r>
      <w:r w:rsidR="00FF74BF">
        <w:t>-</w:t>
      </w:r>
      <w:r w:rsidR="00970F68" w:rsidRPr="008B0EF4">
        <w:t xml:space="preserve">east </w:t>
      </w:r>
      <w:r w:rsidR="00FF74BF">
        <w:t xml:space="preserve">of the </w:t>
      </w:r>
      <w:r w:rsidR="00970F68" w:rsidRPr="008B0EF4">
        <w:t>Syria</w:t>
      </w:r>
      <w:r w:rsidR="00FF74BF">
        <w:t>n Arab Republic</w:t>
      </w:r>
      <w:r w:rsidR="00970F68" w:rsidRPr="008B0EF4">
        <w:t xml:space="preserve">, in particular medical supplies. </w:t>
      </w:r>
    </w:p>
    <w:p w14:paraId="55232C47" w14:textId="4DD96979" w:rsidR="00970F68" w:rsidRPr="008B0EF4" w:rsidRDefault="006A33EC" w:rsidP="00970F68">
      <w:pPr>
        <w:spacing w:after="120" w:line="240" w:lineRule="atLeast"/>
        <w:ind w:left="1134" w:right="1134"/>
        <w:jc w:val="both"/>
      </w:pPr>
      <w:r w:rsidRPr="008B0EF4">
        <w:t>7.</w:t>
      </w:r>
      <w:r w:rsidR="00970F68" w:rsidRPr="008B0EF4">
        <w:tab/>
        <w:t>In terms of ongoing hostilities, fighting between pro-</w:t>
      </w:r>
      <w:r w:rsidR="00A14617">
        <w:t>g</w:t>
      </w:r>
      <w:r w:rsidR="00970F68" w:rsidRPr="008B0EF4">
        <w:t>overnment forces and armed opposition groups</w:t>
      </w:r>
      <w:r w:rsidR="00754BD3" w:rsidRPr="008B0EF4">
        <w:t xml:space="preserve">, including </w:t>
      </w:r>
      <w:proofErr w:type="spellStart"/>
      <w:r w:rsidR="00052F8A" w:rsidRPr="006E4468">
        <w:rPr>
          <w:lang w:eastAsia="en-US"/>
        </w:rPr>
        <w:t>Hay’at</w:t>
      </w:r>
      <w:proofErr w:type="spellEnd"/>
      <w:r w:rsidR="00052F8A" w:rsidRPr="006E4468">
        <w:rPr>
          <w:lang w:eastAsia="en-US"/>
        </w:rPr>
        <w:t xml:space="preserve"> </w:t>
      </w:r>
      <w:proofErr w:type="spellStart"/>
      <w:r w:rsidR="00052F8A" w:rsidRPr="006E4468">
        <w:rPr>
          <w:lang w:eastAsia="en-US"/>
        </w:rPr>
        <w:t>Tahrir</w:t>
      </w:r>
      <w:proofErr w:type="spellEnd"/>
      <w:r w:rsidR="00052F8A" w:rsidRPr="006E4468">
        <w:rPr>
          <w:lang w:eastAsia="en-US"/>
        </w:rPr>
        <w:t xml:space="preserve"> al-Sham</w:t>
      </w:r>
      <w:r w:rsidR="00754BD3" w:rsidRPr="008B0EF4">
        <w:t>,</w:t>
      </w:r>
      <w:r w:rsidR="00970F68" w:rsidRPr="008B0EF4">
        <w:t xml:space="preserve"> in </w:t>
      </w:r>
      <w:proofErr w:type="spellStart"/>
      <w:r w:rsidR="00970F68" w:rsidRPr="008B0EF4">
        <w:t>Idlib</w:t>
      </w:r>
      <w:proofErr w:type="spellEnd"/>
      <w:r w:rsidR="00970F68" w:rsidRPr="008B0EF4">
        <w:t xml:space="preserve">, northern Hama, </w:t>
      </w:r>
      <w:proofErr w:type="spellStart"/>
      <w:r w:rsidR="00970F68" w:rsidRPr="008B0EF4">
        <w:t>Ladhiqiyah</w:t>
      </w:r>
      <w:proofErr w:type="spellEnd"/>
      <w:r w:rsidR="00970F68" w:rsidRPr="008B0EF4">
        <w:t xml:space="preserve"> and western Aleppo Governorates intensified. The escalation of violence in the north</w:t>
      </w:r>
      <w:r w:rsidR="00052F8A">
        <w:t>-</w:t>
      </w:r>
      <w:r w:rsidR="00970F68" w:rsidRPr="008B0EF4">
        <w:t>west continued in July and August when offensives by pro-</w:t>
      </w:r>
      <w:r w:rsidR="00052F8A">
        <w:t>g</w:t>
      </w:r>
      <w:r w:rsidR="00052F8A" w:rsidRPr="008B0EF4">
        <w:t xml:space="preserve">overnment </w:t>
      </w:r>
      <w:r w:rsidR="00970F68" w:rsidRPr="008B0EF4">
        <w:t xml:space="preserve">forces targeted armed opposition groups near the </w:t>
      </w:r>
      <w:r w:rsidR="00970F68" w:rsidRPr="00DB51C0">
        <w:t>Al-</w:t>
      </w:r>
      <w:proofErr w:type="spellStart"/>
      <w:r w:rsidR="00970F68" w:rsidRPr="00DB51C0">
        <w:t>Ghaab</w:t>
      </w:r>
      <w:proofErr w:type="spellEnd"/>
      <w:r w:rsidR="00970F68" w:rsidRPr="00DB51C0">
        <w:t xml:space="preserve"> </w:t>
      </w:r>
      <w:r w:rsidR="00970F68" w:rsidRPr="005602D6">
        <w:t xml:space="preserve">plain, </w:t>
      </w:r>
      <w:r w:rsidR="00DB51C0" w:rsidRPr="00D6133C">
        <w:t xml:space="preserve">Khan </w:t>
      </w:r>
      <w:proofErr w:type="spellStart"/>
      <w:r w:rsidR="00DB51C0" w:rsidRPr="00D6133C">
        <w:t>Shaykhun</w:t>
      </w:r>
      <w:proofErr w:type="spellEnd"/>
      <w:r w:rsidR="00970F68" w:rsidRPr="005602D6">
        <w:t>,</w:t>
      </w:r>
      <w:r w:rsidR="00970F68" w:rsidRPr="00DB51C0">
        <w:t xml:space="preserve"> </w:t>
      </w:r>
      <w:bookmarkStart w:id="6" w:name="_Hlk30596206"/>
      <w:proofErr w:type="spellStart"/>
      <w:r w:rsidR="00DB51C0" w:rsidRPr="00D6133C">
        <w:t>Ma‘arrat</w:t>
      </w:r>
      <w:proofErr w:type="spellEnd"/>
      <w:r w:rsidR="00DB51C0" w:rsidRPr="00D6133C">
        <w:t xml:space="preserve"> al-</w:t>
      </w:r>
      <w:proofErr w:type="spellStart"/>
      <w:r w:rsidR="00DB51C0" w:rsidRPr="00D6133C">
        <w:t>Nu‘man</w:t>
      </w:r>
      <w:bookmarkEnd w:id="6"/>
      <w:proofErr w:type="spellEnd"/>
      <w:r w:rsidR="00970F68" w:rsidRPr="00DB51C0">
        <w:t xml:space="preserve">, </w:t>
      </w:r>
      <w:proofErr w:type="spellStart"/>
      <w:r w:rsidR="00970F68" w:rsidRPr="00DB51C0">
        <w:t>Saraqib</w:t>
      </w:r>
      <w:proofErr w:type="spellEnd"/>
      <w:r w:rsidR="00970F68" w:rsidRPr="00DB51C0">
        <w:t xml:space="preserve">, </w:t>
      </w:r>
      <w:proofErr w:type="spellStart"/>
      <w:r w:rsidR="00970F68" w:rsidRPr="00DA1D4A">
        <w:t>Ariha</w:t>
      </w:r>
      <w:proofErr w:type="spellEnd"/>
      <w:r w:rsidR="00970F68" w:rsidRPr="00DA1D4A">
        <w:t xml:space="preserve"> and </w:t>
      </w:r>
      <w:proofErr w:type="spellStart"/>
      <w:r w:rsidR="00DA1D4A" w:rsidRPr="00D6133C">
        <w:t>Jisr</w:t>
      </w:r>
      <w:proofErr w:type="spellEnd"/>
      <w:r w:rsidR="00DA1D4A" w:rsidRPr="00D6133C">
        <w:t xml:space="preserve"> al-</w:t>
      </w:r>
      <w:proofErr w:type="spellStart"/>
      <w:r w:rsidR="00DA1D4A" w:rsidRPr="00D6133C">
        <w:t>Shughur</w:t>
      </w:r>
      <w:proofErr w:type="spellEnd"/>
      <w:r w:rsidR="00970F68" w:rsidRPr="00DA1D4A">
        <w:t>. Following</w:t>
      </w:r>
      <w:r w:rsidR="00970F68" w:rsidRPr="008B0EF4">
        <w:t xml:space="preserve"> the collapse of a conditional ceasefire on 5 August, Syrian army units began a major ground offensive. By 21 August, pro-</w:t>
      </w:r>
      <w:r w:rsidR="002316B7">
        <w:t>g</w:t>
      </w:r>
      <w:r w:rsidR="00970F68" w:rsidRPr="008B0EF4">
        <w:t xml:space="preserve">overnment forces </w:t>
      </w:r>
      <w:r w:rsidR="002316B7">
        <w:t xml:space="preserve">had </w:t>
      </w:r>
      <w:r w:rsidR="00970F68" w:rsidRPr="008B0EF4">
        <w:t>cut</w:t>
      </w:r>
      <w:r w:rsidR="002316B7">
        <w:t xml:space="preserve"> </w:t>
      </w:r>
      <w:r w:rsidR="00970F68" w:rsidRPr="008B0EF4">
        <w:t xml:space="preserve">off the M5 </w:t>
      </w:r>
      <w:r w:rsidR="009E15D7" w:rsidRPr="008B0EF4">
        <w:t>motorway</w:t>
      </w:r>
      <w:r w:rsidR="00970F68" w:rsidRPr="008B0EF4">
        <w:t xml:space="preserve">, encircled the Turkish </w:t>
      </w:r>
      <w:r w:rsidR="00970F68" w:rsidRPr="00B33114">
        <w:t xml:space="preserve">observation post in </w:t>
      </w:r>
      <w:proofErr w:type="spellStart"/>
      <w:r w:rsidR="00970F68" w:rsidRPr="00B33114">
        <w:t>M</w:t>
      </w:r>
      <w:r w:rsidR="00DA1D4A" w:rsidRPr="00D6133C">
        <w:t>u</w:t>
      </w:r>
      <w:r w:rsidR="00970F68" w:rsidRPr="00B33114">
        <w:t>r</w:t>
      </w:r>
      <w:r w:rsidR="00DA1D4A" w:rsidRPr="00D6133C">
        <w:t>a</w:t>
      </w:r>
      <w:r w:rsidR="00970F68" w:rsidRPr="00B33114">
        <w:t>k</w:t>
      </w:r>
      <w:proofErr w:type="spellEnd"/>
      <w:r w:rsidR="00970F68" w:rsidRPr="00B33114">
        <w:t xml:space="preserve"> and</w:t>
      </w:r>
      <w:r w:rsidR="00970F68" w:rsidRPr="008B0EF4">
        <w:t xml:space="preserve"> recaptured several towns in northern Hama and southern </w:t>
      </w:r>
      <w:proofErr w:type="spellStart"/>
      <w:r w:rsidR="00970F68" w:rsidRPr="008B0EF4">
        <w:t>Idlib</w:t>
      </w:r>
      <w:proofErr w:type="spellEnd"/>
      <w:r w:rsidR="00970F68" w:rsidRPr="008B0EF4">
        <w:t xml:space="preserve">. </w:t>
      </w:r>
    </w:p>
    <w:p w14:paraId="41669595" w14:textId="5E26C8AA" w:rsidR="00970F68" w:rsidRPr="008B0EF4" w:rsidRDefault="006A33EC" w:rsidP="00970F68">
      <w:pPr>
        <w:spacing w:after="120" w:line="240" w:lineRule="atLeast"/>
        <w:ind w:left="1134" w:right="1134"/>
        <w:jc w:val="both"/>
      </w:pPr>
      <w:r w:rsidRPr="008B0EF4">
        <w:t>8.</w:t>
      </w:r>
      <w:r w:rsidR="00970F68" w:rsidRPr="008B0EF4">
        <w:tab/>
        <w:t xml:space="preserve">The Russian Federation declared that </w:t>
      </w:r>
      <w:proofErr w:type="gramStart"/>
      <w:r w:rsidR="00970F68" w:rsidRPr="008B0EF4">
        <w:t xml:space="preserve">an agreement </w:t>
      </w:r>
      <w:r w:rsidR="002316B7">
        <w:t>had been</w:t>
      </w:r>
      <w:r w:rsidR="002316B7" w:rsidRPr="008B0EF4">
        <w:t xml:space="preserve"> </w:t>
      </w:r>
      <w:r w:rsidR="00970F68" w:rsidRPr="008B0EF4">
        <w:t>reached for a unilateral ceasefire by the Syrian Government</w:t>
      </w:r>
      <w:proofErr w:type="gramEnd"/>
      <w:r w:rsidR="00970F68" w:rsidRPr="008B0EF4">
        <w:t xml:space="preserve"> on 30 August. Despite the truce, air</w:t>
      </w:r>
      <w:r w:rsidR="005C5415">
        <w:t xml:space="preserve"> </w:t>
      </w:r>
      <w:r w:rsidR="00970F68" w:rsidRPr="008B0EF4">
        <w:t xml:space="preserve">strikes targeting localities in </w:t>
      </w:r>
      <w:proofErr w:type="spellStart"/>
      <w:r w:rsidR="00970F68" w:rsidRPr="008B0EF4">
        <w:t>Idlib</w:t>
      </w:r>
      <w:proofErr w:type="spellEnd"/>
      <w:r w:rsidR="00970F68" w:rsidRPr="008B0EF4">
        <w:t xml:space="preserve"> and </w:t>
      </w:r>
      <w:bookmarkStart w:id="7" w:name="_Hlk30494772"/>
      <w:proofErr w:type="spellStart"/>
      <w:r w:rsidR="00970F68" w:rsidRPr="008B0EF4">
        <w:t>Ladhiqiyah</w:t>
      </w:r>
      <w:proofErr w:type="spellEnd"/>
      <w:r w:rsidR="00970F68" w:rsidRPr="008B0EF4">
        <w:t xml:space="preserve"> </w:t>
      </w:r>
      <w:bookmarkEnd w:id="7"/>
      <w:r w:rsidR="00970F68" w:rsidRPr="008B0EF4">
        <w:t xml:space="preserve">persisted throughout September and October. At the international level, following an appeal by 10 Security Council </w:t>
      </w:r>
      <w:r w:rsidR="002316B7">
        <w:t>m</w:t>
      </w:r>
      <w:r w:rsidR="002316B7" w:rsidRPr="008B0EF4">
        <w:t>embers</w:t>
      </w:r>
      <w:r w:rsidR="00970F68" w:rsidRPr="008B0EF4">
        <w:t xml:space="preserve">, </w:t>
      </w:r>
      <w:r w:rsidR="002316B7">
        <w:t>the</w:t>
      </w:r>
      <w:r w:rsidR="00970F68" w:rsidRPr="008B0EF4">
        <w:t xml:space="preserve"> Secretary-General declared the establishment of a </w:t>
      </w:r>
      <w:r w:rsidR="002316B7" w:rsidRPr="008B0EF4">
        <w:t xml:space="preserve">board of inquiry </w:t>
      </w:r>
      <w:r w:rsidR="00970F68" w:rsidRPr="008B0EF4">
        <w:t xml:space="preserve">to investigate </w:t>
      </w:r>
      <w:r w:rsidR="002316B7">
        <w:t xml:space="preserve">the </w:t>
      </w:r>
      <w:r w:rsidR="00970F68" w:rsidRPr="008B0EF4">
        <w:t xml:space="preserve">destruction of, or damage to, facilities on the </w:t>
      </w:r>
      <w:r w:rsidR="002316B7" w:rsidRPr="008B0EF4">
        <w:t>U</w:t>
      </w:r>
      <w:r w:rsidR="002316B7">
        <w:t>nited Nations</w:t>
      </w:r>
      <w:r w:rsidR="002316B7" w:rsidRPr="008B0EF4">
        <w:t xml:space="preserve"> </w:t>
      </w:r>
      <w:r w:rsidR="00970F68" w:rsidRPr="008B0EF4">
        <w:t xml:space="preserve">de-confliction list and </w:t>
      </w:r>
      <w:r w:rsidR="00E946FA" w:rsidRPr="008B0EF4">
        <w:t xml:space="preserve">facilities </w:t>
      </w:r>
      <w:r w:rsidR="00970F68" w:rsidRPr="008B0EF4">
        <w:t>supported</w:t>
      </w:r>
      <w:r w:rsidR="00E946FA">
        <w:t xml:space="preserve"> by the United Nations</w:t>
      </w:r>
      <w:r w:rsidR="00970F68" w:rsidRPr="008B0EF4">
        <w:t xml:space="preserve"> in </w:t>
      </w:r>
      <w:r w:rsidR="00E946FA">
        <w:t xml:space="preserve">the </w:t>
      </w:r>
      <w:r w:rsidR="00970F68" w:rsidRPr="008B0EF4">
        <w:t>north</w:t>
      </w:r>
      <w:r w:rsidR="00E946FA">
        <w:t>-</w:t>
      </w:r>
      <w:r w:rsidR="00970F68" w:rsidRPr="008B0EF4">
        <w:t xml:space="preserve">west </w:t>
      </w:r>
      <w:r w:rsidR="00E946FA">
        <w:t xml:space="preserve">of the </w:t>
      </w:r>
      <w:r w:rsidR="00970F68" w:rsidRPr="008B0EF4">
        <w:t>Syria</w:t>
      </w:r>
      <w:r w:rsidR="00E946FA">
        <w:t>n Arab Republic</w:t>
      </w:r>
      <w:r w:rsidR="00970F68" w:rsidRPr="008B0EF4">
        <w:t xml:space="preserve"> since April. </w:t>
      </w:r>
    </w:p>
    <w:p w14:paraId="17853D4A" w14:textId="527E6360" w:rsidR="00970F68" w:rsidRPr="008B0EF4" w:rsidRDefault="006A33EC" w:rsidP="00970F68">
      <w:pPr>
        <w:spacing w:after="120" w:line="240" w:lineRule="atLeast"/>
        <w:ind w:left="1134" w:right="1134"/>
        <w:jc w:val="both"/>
      </w:pPr>
      <w:r w:rsidRPr="008B0EF4">
        <w:t>9.</w:t>
      </w:r>
      <w:r w:rsidR="00970F68" w:rsidRPr="008B0EF4">
        <w:tab/>
        <w:t>The President of the United States</w:t>
      </w:r>
      <w:r w:rsidR="00E946FA">
        <w:t>,</w:t>
      </w:r>
      <w:r w:rsidR="00970F68" w:rsidRPr="008B0EF4">
        <w:t xml:space="preserve"> Donald Trump</w:t>
      </w:r>
      <w:r w:rsidR="00E946FA">
        <w:t>,</w:t>
      </w:r>
      <w:r w:rsidR="00970F68" w:rsidRPr="008B0EF4">
        <w:t xml:space="preserve"> announced that, on 27 October, </w:t>
      </w:r>
      <w:r w:rsidR="00E946FA">
        <w:t xml:space="preserve">the </w:t>
      </w:r>
      <w:r w:rsidR="00E946FA" w:rsidRPr="008B0EF4">
        <w:t xml:space="preserve">leader </w:t>
      </w:r>
      <w:r w:rsidR="00E946FA">
        <w:t xml:space="preserve">of </w:t>
      </w:r>
      <w:r w:rsidR="00970F68" w:rsidRPr="008B0EF4">
        <w:t>ISIL</w:t>
      </w:r>
      <w:r w:rsidR="00E946FA">
        <w:t>,</w:t>
      </w:r>
      <w:r w:rsidR="00970F68" w:rsidRPr="008B0EF4">
        <w:t xml:space="preserve"> Abu Bakr al-Baghdadi</w:t>
      </w:r>
      <w:r w:rsidR="00E946FA">
        <w:t>,</w:t>
      </w:r>
      <w:r w:rsidR="00970F68" w:rsidRPr="008B0EF4">
        <w:t xml:space="preserve"> </w:t>
      </w:r>
      <w:r w:rsidR="00E946FA">
        <w:t>had been</w:t>
      </w:r>
      <w:r w:rsidR="00E946FA" w:rsidRPr="008B0EF4">
        <w:t xml:space="preserve"> </w:t>
      </w:r>
      <w:r w:rsidR="00970F68" w:rsidRPr="008B0EF4">
        <w:t xml:space="preserve">killed during a raid by </w:t>
      </w:r>
      <w:r w:rsidR="00E946FA" w:rsidRPr="008B0EF4">
        <w:t>U</w:t>
      </w:r>
      <w:r w:rsidR="00E946FA">
        <w:t>nited States</w:t>
      </w:r>
      <w:r w:rsidR="00E946FA" w:rsidRPr="008B0EF4">
        <w:t xml:space="preserve"> </w:t>
      </w:r>
      <w:proofErr w:type="gramStart"/>
      <w:r w:rsidR="00E946FA" w:rsidRPr="008B0EF4">
        <w:t xml:space="preserve">special </w:t>
      </w:r>
      <w:r w:rsidR="00E946FA" w:rsidRPr="00B33114">
        <w:t>forces</w:t>
      </w:r>
      <w:proofErr w:type="gramEnd"/>
      <w:r w:rsidR="00E946FA" w:rsidRPr="00B33114">
        <w:t xml:space="preserve"> </w:t>
      </w:r>
      <w:r w:rsidR="00970F68" w:rsidRPr="00B33114">
        <w:t xml:space="preserve">in </w:t>
      </w:r>
      <w:proofErr w:type="spellStart"/>
      <w:r w:rsidR="00970F68" w:rsidRPr="00B33114">
        <w:t>Barisha</w:t>
      </w:r>
      <w:proofErr w:type="spellEnd"/>
      <w:r w:rsidR="00970F68" w:rsidRPr="00B33114">
        <w:t xml:space="preserve"> (</w:t>
      </w:r>
      <w:proofErr w:type="spellStart"/>
      <w:r w:rsidR="00970F68" w:rsidRPr="00B33114">
        <w:t>Idlib</w:t>
      </w:r>
      <w:proofErr w:type="spellEnd"/>
      <w:r w:rsidR="00970F68" w:rsidRPr="008B0EF4">
        <w:t xml:space="preserve"> Governorate). Meanwhile, protests against </w:t>
      </w:r>
      <w:r w:rsidR="00201664">
        <w:t xml:space="preserve">the </w:t>
      </w:r>
      <w:r w:rsidR="00201664" w:rsidRPr="00B33114">
        <w:t>National Salvation Government</w:t>
      </w:r>
      <w:r w:rsidR="00201664">
        <w:t xml:space="preserve">, which </w:t>
      </w:r>
      <w:proofErr w:type="gramStart"/>
      <w:r w:rsidR="00201664">
        <w:t>is</w:t>
      </w:r>
      <w:r w:rsidR="00201664" w:rsidRPr="008B0EF4">
        <w:t xml:space="preserve"> affiliated</w:t>
      </w:r>
      <w:proofErr w:type="gramEnd"/>
      <w:r w:rsidR="00201664" w:rsidRPr="008B0EF4">
        <w:t xml:space="preserve"> </w:t>
      </w:r>
      <w:r w:rsidR="00201664">
        <w:t xml:space="preserve">to </w:t>
      </w:r>
      <w:proofErr w:type="spellStart"/>
      <w:r w:rsidR="00970F68" w:rsidRPr="008B0EF4">
        <w:t>Hay’at</w:t>
      </w:r>
      <w:proofErr w:type="spellEnd"/>
      <w:r w:rsidR="00970F68" w:rsidRPr="008B0EF4">
        <w:t xml:space="preserve"> </w:t>
      </w:r>
      <w:proofErr w:type="spellStart"/>
      <w:r w:rsidR="00970F68" w:rsidRPr="008B0EF4">
        <w:t>Tahrir</w:t>
      </w:r>
      <w:proofErr w:type="spellEnd"/>
      <w:r w:rsidR="00970F68" w:rsidRPr="008B0EF4">
        <w:t xml:space="preserve"> al-Sham</w:t>
      </w:r>
      <w:r w:rsidR="00201664">
        <w:t>,</w:t>
      </w:r>
      <w:r w:rsidR="00970F68" w:rsidRPr="008B0EF4">
        <w:t xml:space="preserve"> in parts of </w:t>
      </w:r>
      <w:proofErr w:type="spellStart"/>
      <w:r w:rsidR="00970F68" w:rsidRPr="008B0EF4">
        <w:t>Idlib</w:t>
      </w:r>
      <w:proofErr w:type="spellEnd"/>
      <w:r w:rsidR="00970F68" w:rsidRPr="008B0EF4">
        <w:t xml:space="preserve"> intensified after the terrorist group further restricted political and civil activity and imposed new “taxes”. </w:t>
      </w:r>
    </w:p>
    <w:p w14:paraId="6D8CF049" w14:textId="2DE7AD5A" w:rsidR="00970F68" w:rsidRPr="008B0EF4" w:rsidRDefault="006A33EC" w:rsidP="00970F68">
      <w:pPr>
        <w:spacing w:after="120" w:line="240" w:lineRule="atLeast"/>
        <w:ind w:left="1134" w:right="1134"/>
        <w:jc w:val="both"/>
      </w:pPr>
      <w:r w:rsidRPr="008B0EF4">
        <w:t>10.</w:t>
      </w:r>
      <w:r w:rsidR="00970F68" w:rsidRPr="008B0EF4">
        <w:tab/>
        <w:t xml:space="preserve">Attacks on </w:t>
      </w:r>
      <w:r w:rsidR="0066640E" w:rsidRPr="008B0EF4">
        <w:t xml:space="preserve">territories held </w:t>
      </w:r>
      <w:r w:rsidR="0066640E">
        <w:t xml:space="preserve">by </w:t>
      </w:r>
      <w:r w:rsidR="00970F68" w:rsidRPr="008B0EF4">
        <w:t>opposition</w:t>
      </w:r>
      <w:r w:rsidR="0066640E">
        <w:t xml:space="preserve"> forces </w:t>
      </w:r>
      <w:r w:rsidR="00970F68" w:rsidRPr="008B0EF4">
        <w:t xml:space="preserve">and </w:t>
      </w:r>
      <w:proofErr w:type="spellStart"/>
      <w:r w:rsidR="00A14617">
        <w:t>Hay’at</w:t>
      </w:r>
      <w:proofErr w:type="spellEnd"/>
      <w:r w:rsidR="00A14617">
        <w:t xml:space="preserve"> </w:t>
      </w:r>
      <w:proofErr w:type="spellStart"/>
      <w:r w:rsidR="00A14617">
        <w:t>Tahrir</w:t>
      </w:r>
      <w:proofErr w:type="spellEnd"/>
      <w:r w:rsidR="00A14617">
        <w:t xml:space="preserve"> al-Sham</w:t>
      </w:r>
      <w:r w:rsidR="00970F68" w:rsidRPr="008B0EF4">
        <w:t xml:space="preserve"> continued in November and December. Airstrikes and shelling peaked in mid-December when pro-</w:t>
      </w:r>
      <w:r w:rsidR="0066640E">
        <w:t>g</w:t>
      </w:r>
      <w:r w:rsidR="00970F68" w:rsidRPr="008B0EF4">
        <w:t xml:space="preserve">overnment forces began a major offensive against </w:t>
      </w:r>
      <w:proofErr w:type="spellStart"/>
      <w:r w:rsidR="00970F68" w:rsidRPr="008B0EF4">
        <w:t>Ma</w:t>
      </w:r>
      <w:r w:rsidR="0066640E">
        <w:t>‘</w:t>
      </w:r>
      <w:r w:rsidR="00970F68" w:rsidRPr="008B0EF4">
        <w:t>arat</w:t>
      </w:r>
      <w:proofErr w:type="spellEnd"/>
      <w:r w:rsidR="00970F68" w:rsidRPr="008B0EF4">
        <w:t xml:space="preserve"> al-</w:t>
      </w:r>
      <w:proofErr w:type="spellStart"/>
      <w:r w:rsidR="00970F68" w:rsidRPr="008B0EF4">
        <w:t>Nu</w:t>
      </w:r>
      <w:r w:rsidR="0066640E">
        <w:t>‘</w:t>
      </w:r>
      <w:r w:rsidR="00970F68" w:rsidRPr="008B0EF4">
        <w:t>man</w:t>
      </w:r>
      <w:proofErr w:type="spellEnd"/>
      <w:r w:rsidR="00970F68" w:rsidRPr="008B0EF4">
        <w:t xml:space="preserve">, </w:t>
      </w:r>
      <w:proofErr w:type="spellStart"/>
      <w:r w:rsidR="00970F68" w:rsidRPr="00DB51C0">
        <w:t>Saraqib</w:t>
      </w:r>
      <w:proofErr w:type="spellEnd"/>
      <w:r w:rsidR="00970F68" w:rsidRPr="008B0EF4">
        <w:t xml:space="preserve"> and</w:t>
      </w:r>
      <w:r w:rsidR="00DB4721" w:rsidRPr="008B0EF4">
        <w:t xml:space="preserve"> </w:t>
      </w:r>
      <w:r w:rsidR="00970F68" w:rsidRPr="008B0EF4">
        <w:t xml:space="preserve">surrounding rural areas. The campaign enabled the Syrian army to recapture several locations in southern </w:t>
      </w:r>
      <w:proofErr w:type="spellStart"/>
      <w:r w:rsidR="00970F68" w:rsidRPr="008B0EF4">
        <w:t>Idlib</w:t>
      </w:r>
      <w:proofErr w:type="spellEnd"/>
      <w:r w:rsidR="00970F68" w:rsidRPr="008B0EF4">
        <w:t xml:space="preserve"> around the M5 motorway</w:t>
      </w:r>
      <w:r w:rsidR="009D6E2A" w:rsidRPr="008B0EF4">
        <w:t>.</w:t>
      </w:r>
      <w:r w:rsidR="00970F68" w:rsidRPr="008B0EF4">
        <w:t xml:space="preserve"> Retaliatory attacks by armed opposition groups followed in southern Aleppo and </w:t>
      </w:r>
      <w:proofErr w:type="spellStart"/>
      <w:r w:rsidR="00970F68" w:rsidRPr="008B0EF4">
        <w:t>Ladhiqiyah</w:t>
      </w:r>
      <w:proofErr w:type="spellEnd"/>
      <w:r w:rsidR="00970F68" w:rsidRPr="008B0EF4">
        <w:t xml:space="preserve">. The ground and air campaigns resulted in civilian casualties and massive displacement. Between May 2019 and early January 2020, these attacks induced the displacement of 700,000 civilians towards the northern parts of the </w:t>
      </w:r>
      <w:r w:rsidR="0066640E">
        <w:t>g</w:t>
      </w:r>
      <w:r w:rsidR="0066640E" w:rsidRPr="008B0EF4">
        <w:t>overnorate</w:t>
      </w:r>
      <w:r w:rsidR="00970F68" w:rsidRPr="008B0EF4">
        <w:t xml:space="preserve">. Areas surrounding </w:t>
      </w:r>
      <w:proofErr w:type="spellStart"/>
      <w:r w:rsidR="0066640E">
        <w:t>Ma‘arat</w:t>
      </w:r>
      <w:proofErr w:type="spellEnd"/>
      <w:r w:rsidR="0066640E">
        <w:t xml:space="preserve"> al-</w:t>
      </w:r>
      <w:proofErr w:type="spellStart"/>
      <w:r w:rsidR="0066640E">
        <w:t>Nu‘man</w:t>
      </w:r>
      <w:proofErr w:type="spellEnd"/>
      <w:r w:rsidR="00970F68" w:rsidRPr="008B0EF4">
        <w:t xml:space="preserve"> and </w:t>
      </w:r>
      <w:proofErr w:type="spellStart"/>
      <w:r w:rsidR="00970F68" w:rsidRPr="00DB51C0">
        <w:t>Saraqib</w:t>
      </w:r>
      <w:proofErr w:type="spellEnd"/>
      <w:r w:rsidR="00970F68" w:rsidRPr="008B0EF4">
        <w:t xml:space="preserve"> were completely depopulated. </w:t>
      </w:r>
    </w:p>
    <w:p w14:paraId="52EB0765" w14:textId="15B470E8" w:rsidR="00970F68" w:rsidRPr="008B0EF4" w:rsidRDefault="006A33EC" w:rsidP="00970F68">
      <w:pPr>
        <w:spacing w:after="120" w:line="240" w:lineRule="atLeast"/>
        <w:ind w:left="1134" w:right="1134"/>
        <w:jc w:val="both"/>
      </w:pPr>
      <w:r w:rsidRPr="008B0EF4">
        <w:t>11.</w:t>
      </w:r>
      <w:r w:rsidR="00970F68" w:rsidRPr="008B0EF4">
        <w:tab/>
        <w:t xml:space="preserve">In </w:t>
      </w:r>
      <w:r w:rsidR="0066640E">
        <w:t xml:space="preserve">the </w:t>
      </w:r>
      <w:proofErr w:type="gramStart"/>
      <w:r w:rsidR="00970F68" w:rsidRPr="008B0EF4">
        <w:t>north</w:t>
      </w:r>
      <w:r w:rsidR="0066640E">
        <w:t>-</w:t>
      </w:r>
      <w:r w:rsidR="00970F68" w:rsidRPr="008B0EF4">
        <w:t>east</w:t>
      </w:r>
      <w:proofErr w:type="gramEnd"/>
      <w:r w:rsidR="00970F68" w:rsidRPr="008B0EF4">
        <w:t xml:space="preserve"> </w:t>
      </w:r>
      <w:r w:rsidR="0066640E">
        <w:t xml:space="preserve">of the </w:t>
      </w:r>
      <w:r w:rsidR="00970F68" w:rsidRPr="008B0EF4">
        <w:t>Syria</w:t>
      </w:r>
      <w:r w:rsidR="0066640E">
        <w:t>n Arab Republic</w:t>
      </w:r>
      <w:r w:rsidR="00970F68" w:rsidRPr="008B0EF4">
        <w:t xml:space="preserve">, following President Erdogan’s repeated </w:t>
      </w:r>
      <w:r w:rsidR="00970F68" w:rsidRPr="00252D08">
        <w:t xml:space="preserve">warnings that Turkey was planning to launch a cross-border offensive against the </w:t>
      </w:r>
      <w:bookmarkStart w:id="8" w:name="_Hlk30496163"/>
      <w:r w:rsidR="00970F68" w:rsidRPr="00252D08">
        <w:t>Kurdish People’s Protection Units</w:t>
      </w:r>
      <w:bookmarkEnd w:id="8"/>
      <w:r w:rsidR="00970F68" w:rsidRPr="00252D08">
        <w:t xml:space="preserve">, the </w:t>
      </w:r>
      <w:r w:rsidR="00252D08" w:rsidRPr="00252D08">
        <w:t xml:space="preserve">Governments of the </w:t>
      </w:r>
      <w:r w:rsidR="00970F68" w:rsidRPr="00252D08">
        <w:t>U</w:t>
      </w:r>
      <w:r w:rsidR="00252D08" w:rsidRPr="00252D08">
        <w:t>nited States</w:t>
      </w:r>
      <w:r w:rsidR="00970F68" w:rsidRPr="00252D08">
        <w:t xml:space="preserve"> and </w:t>
      </w:r>
      <w:r w:rsidR="00252D08" w:rsidRPr="00252D08">
        <w:t>Turk</w:t>
      </w:r>
      <w:r w:rsidR="00252D08">
        <w:t>e</w:t>
      </w:r>
      <w:r w:rsidR="00252D08" w:rsidRPr="00252D08">
        <w:t xml:space="preserve">y </w:t>
      </w:r>
      <w:r w:rsidR="00970F68" w:rsidRPr="00252D08">
        <w:t>agreed to form a joint operations cent</w:t>
      </w:r>
      <w:r w:rsidR="00252D08" w:rsidRPr="00252D08">
        <w:t>re</w:t>
      </w:r>
      <w:r w:rsidR="00970F68" w:rsidRPr="00252D08">
        <w:t xml:space="preserve"> and coordinate the establishment of a “safe zone”. Pursuant to the agreement, </w:t>
      </w:r>
      <w:r w:rsidR="00252D08">
        <w:t>Syrian Democratic Forces</w:t>
      </w:r>
      <w:r w:rsidR="00970F68" w:rsidRPr="00252D08">
        <w:t xml:space="preserve"> and affiliated </w:t>
      </w:r>
      <w:r w:rsidR="004816B9" w:rsidRPr="00792DD8">
        <w:t xml:space="preserve">forces </w:t>
      </w:r>
      <w:r w:rsidR="004816B9">
        <w:t xml:space="preserve">of the </w:t>
      </w:r>
      <w:r w:rsidR="004816B9" w:rsidRPr="00D17D60">
        <w:t>Kurdish People’s Protection Units</w:t>
      </w:r>
      <w:r w:rsidR="00970F68" w:rsidRPr="00252D08">
        <w:t xml:space="preserve"> agreed to destroy their positions and withdraw from border areas. While the</w:t>
      </w:r>
      <w:r w:rsidR="00970F68" w:rsidRPr="008B0EF4">
        <w:t xml:space="preserve"> Government </w:t>
      </w:r>
      <w:r w:rsidR="004816B9">
        <w:t xml:space="preserve">of the United States </w:t>
      </w:r>
      <w:r w:rsidR="00970F68" w:rsidRPr="008B0EF4">
        <w:t xml:space="preserve">announced that the “safe zone” agreement </w:t>
      </w:r>
      <w:proofErr w:type="gramStart"/>
      <w:r w:rsidR="00970F68" w:rsidRPr="008B0EF4">
        <w:t>would be implemented</w:t>
      </w:r>
      <w:proofErr w:type="gramEnd"/>
      <w:r w:rsidR="00970F68" w:rsidRPr="008B0EF4">
        <w:t xml:space="preserve"> in stages, Turkish authorities expressed dissatisfaction and affirmed that they would act if Turkish security interests were not addressed.</w:t>
      </w:r>
    </w:p>
    <w:p w14:paraId="1D8796AB" w14:textId="00D0902D" w:rsidR="00970F68" w:rsidRPr="008B0EF4" w:rsidRDefault="006A33EC" w:rsidP="00970F68">
      <w:pPr>
        <w:spacing w:after="120" w:line="240" w:lineRule="atLeast"/>
        <w:ind w:left="1134" w:right="1134"/>
        <w:jc w:val="both"/>
      </w:pPr>
      <w:r w:rsidRPr="008B0EF4">
        <w:t>12.</w:t>
      </w:r>
      <w:r w:rsidR="00970F68" w:rsidRPr="008B0EF4">
        <w:tab/>
        <w:t xml:space="preserve">Following a </w:t>
      </w:r>
      <w:r w:rsidR="004816B9">
        <w:t>tele</w:t>
      </w:r>
      <w:r w:rsidR="00970F68" w:rsidRPr="008B0EF4">
        <w:t>phone</w:t>
      </w:r>
      <w:r w:rsidR="009D6E2A" w:rsidRPr="008B0EF4">
        <w:t xml:space="preserve"> </w:t>
      </w:r>
      <w:r w:rsidR="00970F68" w:rsidRPr="008B0EF4">
        <w:t xml:space="preserve">call between the </w:t>
      </w:r>
      <w:r w:rsidR="004816B9" w:rsidRPr="008B0EF4">
        <w:t xml:space="preserve">Presidents </w:t>
      </w:r>
      <w:r w:rsidR="00557E2F">
        <w:t xml:space="preserve">of the </w:t>
      </w:r>
      <w:r w:rsidR="00970F68" w:rsidRPr="008B0EF4">
        <w:t>U</w:t>
      </w:r>
      <w:r w:rsidR="00557E2F">
        <w:t>nited States</w:t>
      </w:r>
      <w:r w:rsidR="00970F68" w:rsidRPr="008B0EF4">
        <w:t xml:space="preserve"> and </w:t>
      </w:r>
      <w:r w:rsidR="00557E2F" w:rsidRPr="008B0EF4">
        <w:t>Turk</w:t>
      </w:r>
      <w:r w:rsidR="00557E2F">
        <w:t>ey</w:t>
      </w:r>
      <w:r w:rsidR="00557E2F" w:rsidRPr="008B0EF4">
        <w:t xml:space="preserve"> </w:t>
      </w:r>
      <w:r w:rsidR="00970F68" w:rsidRPr="008B0EF4">
        <w:t xml:space="preserve">on 6 October, the White House announced that Turkey would soon be starting an operation in </w:t>
      </w:r>
      <w:r w:rsidR="00557E2F">
        <w:t xml:space="preserve">the </w:t>
      </w:r>
      <w:r w:rsidR="00970F68" w:rsidRPr="008B0EF4">
        <w:t>north</w:t>
      </w:r>
      <w:r w:rsidR="00557E2F">
        <w:t xml:space="preserve"> of the</w:t>
      </w:r>
      <w:r w:rsidR="00970F68" w:rsidRPr="008B0EF4">
        <w:t xml:space="preserve"> Syria</w:t>
      </w:r>
      <w:r w:rsidR="00557E2F">
        <w:t>n Arab Republic</w:t>
      </w:r>
      <w:r w:rsidR="00970F68" w:rsidRPr="008B0EF4">
        <w:t xml:space="preserve"> and that </w:t>
      </w:r>
      <w:r w:rsidR="00557E2F" w:rsidRPr="008B0EF4">
        <w:t>U</w:t>
      </w:r>
      <w:r w:rsidR="00557E2F">
        <w:t>nited States</w:t>
      </w:r>
      <w:r w:rsidR="00557E2F" w:rsidRPr="008B0EF4">
        <w:t xml:space="preserve"> </w:t>
      </w:r>
      <w:r w:rsidR="00970F68" w:rsidRPr="008B0EF4">
        <w:t xml:space="preserve">forces would withdraw. On 9 October, President Erdogan declared the launch of </w:t>
      </w:r>
      <w:r w:rsidR="00970F68" w:rsidRPr="00B33114">
        <w:t>Operation Peace Spring</w:t>
      </w:r>
      <w:r w:rsidR="00970F68" w:rsidRPr="008B0EF4">
        <w:t xml:space="preserve"> by the Turkish Armed Forces, together with the </w:t>
      </w:r>
      <w:bookmarkStart w:id="9" w:name="_Hlk30498778"/>
      <w:r w:rsidR="00970F68" w:rsidRPr="008B0EF4">
        <w:t>Syrian National Army</w:t>
      </w:r>
      <w:bookmarkEnd w:id="9"/>
      <w:r w:rsidR="00970F68" w:rsidRPr="008B0EF4">
        <w:t>.</w:t>
      </w:r>
      <w:r w:rsidR="00970F68" w:rsidRPr="008B0EF4">
        <w:rPr>
          <w:rStyle w:val="FootnoteReference"/>
        </w:rPr>
        <w:footnoteReference w:id="6"/>
      </w:r>
      <w:r w:rsidR="00970F68" w:rsidRPr="008B0EF4">
        <w:t xml:space="preserve"> Turkish forces, supported by the </w:t>
      </w:r>
      <w:r w:rsidR="00CD33C3" w:rsidRPr="008B0EF4">
        <w:t>Syrian National Army</w:t>
      </w:r>
      <w:r w:rsidR="00CD33C3">
        <w:t>,</w:t>
      </w:r>
      <w:r w:rsidR="00970F68" w:rsidRPr="008B0EF4">
        <w:t xml:space="preserve"> began attacking Kurdish positions in several border</w:t>
      </w:r>
      <w:r w:rsidR="00CD33C3">
        <w:t xml:space="preserve"> </w:t>
      </w:r>
      <w:r w:rsidR="00970F68" w:rsidRPr="008B0EF4">
        <w:t>towns</w:t>
      </w:r>
      <w:r w:rsidR="00CD33C3">
        <w:t>,</w:t>
      </w:r>
      <w:r w:rsidR="00970F68" w:rsidRPr="008B0EF4">
        <w:t xml:space="preserve"> including </w:t>
      </w:r>
      <w:r w:rsidR="00970F68" w:rsidRPr="00B33114">
        <w:t>Tal</w:t>
      </w:r>
      <w:r w:rsidR="00B33114" w:rsidRPr="00D6133C">
        <w:t xml:space="preserve">l </w:t>
      </w:r>
      <w:proofErr w:type="spellStart"/>
      <w:r w:rsidR="00970F68" w:rsidRPr="00B33114">
        <w:t>Abyad</w:t>
      </w:r>
      <w:proofErr w:type="spellEnd"/>
      <w:r w:rsidR="00970F68" w:rsidRPr="00B33114">
        <w:t xml:space="preserve"> and</w:t>
      </w:r>
      <w:r w:rsidR="00970F68" w:rsidRPr="003864BE">
        <w:t xml:space="preserve"> </w:t>
      </w:r>
      <w:r w:rsidR="003864BE" w:rsidRPr="00D6133C">
        <w:t>Ra’s al-Ayn</w:t>
      </w:r>
      <w:r w:rsidR="00970F68" w:rsidRPr="003864BE">
        <w:t>.</w:t>
      </w:r>
      <w:r w:rsidR="00970F68" w:rsidRPr="008B0EF4">
        <w:t xml:space="preserve"> The launch of Operation Peace Spring and the related withdrawal of </w:t>
      </w:r>
      <w:r w:rsidR="00CD33C3" w:rsidRPr="008B0EF4">
        <w:t>U</w:t>
      </w:r>
      <w:r w:rsidR="00CD33C3">
        <w:t>nited States</w:t>
      </w:r>
      <w:r w:rsidR="00CD33C3" w:rsidRPr="008B0EF4">
        <w:t xml:space="preserve"> </w:t>
      </w:r>
      <w:r w:rsidR="00970F68" w:rsidRPr="008B0EF4">
        <w:t>troops had a significant impact on the population with more than 200,000 people displaced in rapid and uncoordinated evacuations. Ayn-</w:t>
      </w:r>
      <w:proofErr w:type="spellStart"/>
      <w:r w:rsidR="00970F68" w:rsidRPr="008B0EF4">
        <w:t>Issa</w:t>
      </w:r>
      <w:proofErr w:type="spellEnd"/>
      <w:r w:rsidR="00970F68" w:rsidRPr="008B0EF4">
        <w:t xml:space="preserve"> camp, </w:t>
      </w:r>
      <w:r w:rsidR="00CD33C3">
        <w:t xml:space="preserve">in </w:t>
      </w:r>
      <w:r w:rsidR="00970F68" w:rsidRPr="008B0EF4">
        <w:t>wh</w:t>
      </w:r>
      <w:r w:rsidR="00CD33C3">
        <w:t>ich</w:t>
      </w:r>
      <w:r w:rsidR="00970F68" w:rsidRPr="008B0EF4">
        <w:t xml:space="preserve"> </w:t>
      </w:r>
      <w:r w:rsidR="009D6E2A" w:rsidRPr="008B0EF4">
        <w:t xml:space="preserve">many </w:t>
      </w:r>
      <w:r w:rsidR="00970F68" w:rsidRPr="008B0EF4">
        <w:t>women and children with familial links to the Islamic State in Iraq and Levant (ISIL)</w:t>
      </w:r>
      <w:r w:rsidR="009D6E2A" w:rsidRPr="008B0EF4">
        <w:t xml:space="preserve"> lived</w:t>
      </w:r>
      <w:r w:rsidR="00970F68" w:rsidRPr="008B0EF4">
        <w:t>, w</w:t>
      </w:r>
      <w:r w:rsidR="009D6E2A" w:rsidRPr="008B0EF4">
        <w:t>as</w:t>
      </w:r>
      <w:r w:rsidR="00970F68" w:rsidRPr="008B0EF4">
        <w:t xml:space="preserve"> almost deserted.</w:t>
      </w:r>
    </w:p>
    <w:p w14:paraId="75ABE3F4" w14:textId="2C0D1873" w:rsidR="00970F68" w:rsidRPr="008B0EF4" w:rsidRDefault="006A33EC" w:rsidP="00970F68">
      <w:pPr>
        <w:spacing w:after="120" w:line="240" w:lineRule="atLeast"/>
        <w:ind w:left="1134" w:right="1134"/>
        <w:jc w:val="both"/>
      </w:pPr>
      <w:r w:rsidRPr="008B0EF4">
        <w:t>13.</w:t>
      </w:r>
      <w:r w:rsidR="00970F68" w:rsidRPr="008B0EF4">
        <w:tab/>
        <w:t xml:space="preserve">In response, the Government </w:t>
      </w:r>
      <w:r w:rsidR="00CD33C3">
        <w:t xml:space="preserve">of the United States </w:t>
      </w:r>
      <w:r w:rsidR="00970F68" w:rsidRPr="008B0EF4">
        <w:t xml:space="preserve">declared that it would continue </w:t>
      </w:r>
      <w:r w:rsidR="009D6E2A" w:rsidRPr="008B0EF4">
        <w:t>to support</w:t>
      </w:r>
      <w:r w:rsidR="00970F68" w:rsidRPr="008B0EF4">
        <w:t xml:space="preserve"> Kurdish forces and take action if Turkey took measures that </w:t>
      </w:r>
      <w:proofErr w:type="gramStart"/>
      <w:r w:rsidR="00970F68" w:rsidRPr="008B0EF4">
        <w:t>were considered</w:t>
      </w:r>
      <w:proofErr w:type="gramEnd"/>
      <w:r w:rsidR="00970F68" w:rsidRPr="008B0EF4">
        <w:t xml:space="preserve"> “off-limits”. The European Union, </w:t>
      </w:r>
      <w:r w:rsidR="00546215">
        <w:t xml:space="preserve">the Islamic Republic of </w:t>
      </w:r>
      <w:r w:rsidR="00970F68" w:rsidRPr="008B0EF4">
        <w:t>Iran and Israel separately called on Turkey to halt the operation, while the League of Arab States adopted a resolution</w:t>
      </w:r>
      <w:r w:rsidR="00546215">
        <w:t xml:space="preserve"> </w:t>
      </w:r>
      <w:r w:rsidR="00546215" w:rsidRPr="008B0EF4">
        <w:t>denouncing Turkey’s campaign.</w:t>
      </w:r>
      <w:r w:rsidR="00112363" w:rsidRPr="008B0EF4">
        <w:rPr>
          <w:rStyle w:val="FootnoteReference"/>
        </w:rPr>
        <w:footnoteReference w:id="7"/>
      </w:r>
      <w:r w:rsidR="00970F68" w:rsidRPr="008B0EF4">
        <w:t xml:space="preserve"> </w:t>
      </w:r>
      <w:r w:rsidR="009D6E2A" w:rsidRPr="008B0EF4">
        <w:t>T</w:t>
      </w:r>
      <w:r w:rsidR="00970F68" w:rsidRPr="008B0EF4">
        <w:t xml:space="preserve">he </w:t>
      </w:r>
      <w:r w:rsidR="00546215" w:rsidRPr="008B0EF4">
        <w:t xml:space="preserve">Government </w:t>
      </w:r>
      <w:r w:rsidR="00546215">
        <w:t xml:space="preserve">of the </w:t>
      </w:r>
      <w:r w:rsidR="00970F68" w:rsidRPr="008B0EF4">
        <w:t xml:space="preserve">Syrian </w:t>
      </w:r>
      <w:r w:rsidR="00546215">
        <w:t xml:space="preserve">Arab Republic </w:t>
      </w:r>
      <w:r w:rsidR="00970F68" w:rsidRPr="008B0EF4">
        <w:t xml:space="preserve">called for respect of its territory and deployed troops in key towns across </w:t>
      </w:r>
      <w:r w:rsidR="00546215">
        <w:t xml:space="preserve">the </w:t>
      </w:r>
      <w:proofErr w:type="gramStart"/>
      <w:r w:rsidR="00970F68" w:rsidRPr="008B0EF4">
        <w:t>north</w:t>
      </w:r>
      <w:r w:rsidR="009D6E2A" w:rsidRPr="008B0EF4">
        <w:t>-</w:t>
      </w:r>
      <w:r w:rsidR="00970F68" w:rsidRPr="008B0EF4">
        <w:t>east</w:t>
      </w:r>
      <w:proofErr w:type="gramEnd"/>
      <w:r w:rsidR="00970F68" w:rsidRPr="008B0EF4">
        <w:t xml:space="preserve"> </w:t>
      </w:r>
      <w:r w:rsidR="00546215">
        <w:t>of the country</w:t>
      </w:r>
      <w:r w:rsidR="00546215" w:rsidRPr="008B0EF4">
        <w:t xml:space="preserve"> </w:t>
      </w:r>
      <w:r w:rsidR="00970F68" w:rsidRPr="008B0EF4">
        <w:t xml:space="preserve">after reaching an agreement with </w:t>
      </w:r>
      <w:r w:rsidR="007B3029">
        <w:t xml:space="preserve">the </w:t>
      </w:r>
      <w:r w:rsidR="007B3029" w:rsidRPr="006E4468">
        <w:rPr>
          <w:lang w:eastAsia="en-US"/>
        </w:rPr>
        <w:t>Syrian Democratic Forces</w:t>
      </w:r>
      <w:r w:rsidR="00970F68" w:rsidRPr="008B0EF4">
        <w:t xml:space="preserve">.  </w:t>
      </w:r>
    </w:p>
    <w:p w14:paraId="5E54EC91" w14:textId="5D5B9035" w:rsidR="00970F68" w:rsidRPr="008B0EF4" w:rsidRDefault="006A33EC" w:rsidP="00970F68">
      <w:pPr>
        <w:spacing w:after="120" w:line="240" w:lineRule="atLeast"/>
        <w:ind w:left="1134" w:right="1134"/>
        <w:jc w:val="both"/>
      </w:pPr>
      <w:r w:rsidRPr="008B0EF4">
        <w:t>14.</w:t>
      </w:r>
      <w:r w:rsidR="00970F68" w:rsidRPr="008B0EF4">
        <w:tab/>
        <w:t xml:space="preserve">To contain the escalation of violence in the </w:t>
      </w:r>
      <w:proofErr w:type="gramStart"/>
      <w:r w:rsidR="00970F68" w:rsidRPr="008B0EF4">
        <w:t>north</w:t>
      </w:r>
      <w:r w:rsidR="009D6E2A" w:rsidRPr="008B0EF4">
        <w:t>-</w:t>
      </w:r>
      <w:r w:rsidR="00970F68" w:rsidRPr="008B0EF4">
        <w:t>east</w:t>
      </w:r>
      <w:proofErr w:type="gramEnd"/>
      <w:r w:rsidR="00970F68" w:rsidRPr="008B0EF4">
        <w:t>, on 17 October</w:t>
      </w:r>
      <w:r w:rsidR="009D6E2A" w:rsidRPr="008B0EF4">
        <w:t>,</w:t>
      </w:r>
      <w:r w:rsidR="00970F68" w:rsidRPr="008B0EF4">
        <w:t xml:space="preserve"> Turkey and the </w:t>
      </w:r>
      <w:r w:rsidR="00546215" w:rsidRPr="008B0EF4">
        <w:t>U</w:t>
      </w:r>
      <w:r w:rsidR="00546215">
        <w:t>nited States</w:t>
      </w:r>
      <w:r w:rsidR="00546215" w:rsidRPr="008B0EF4">
        <w:t xml:space="preserve"> </w:t>
      </w:r>
      <w:r w:rsidR="00970F68" w:rsidRPr="008B0EF4">
        <w:t>negotiated a ceasefire to allow forces</w:t>
      </w:r>
      <w:r w:rsidR="00546215">
        <w:t xml:space="preserve"> of the </w:t>
      </w:r>
      <w:r w:rsidR="00546215" w:rsidRPr="00D17D60">
        <w:t>Kurdish People’s Protection Units</w:t>
      </w:r>
      <w:r w:rsidR="00970F68" w:rsidRPr="008B0EF4">
        <w:t xml:space="preserve"> to </w:t>
      </w:r>
      <w:r w:rsidR="00970F68" w:rsidRPr="00E21668">
        <w:t xml:space="preserve">withdraw. The </w:t>
      </w:r>
      <w:r w:rsidR="00E21668" w:rsidRPr="00D76369">
        <w:t xml:space="preserve">agreement </w:t>
      </w:r>
      <w:r w:rsidR="00E21668">
        <w:t xml:space="preserve">between the United States and </w:t>
      </w:r>
      <w:r w:rsidR="00970F68" w:rsidRPr="00E21668">
        <w:t xml:space="preserve">Turkey </w:t>
      </w:r>
      <w:proofErr w:type="gramStart"/>
      <w:r w:rsidR="00970F68" w:rsidRPr="00E21668">
        <w:t>was followed</w:t>
      </w:r>
      <w:proofErr w:type="gramEnd"/>
      <w:r w:rsidR="00970F68" w:rsidRPr="00E21668">
        <w:t xml:space="preserve"> on 22 October by the signature of a</w:t>
      </w:r>
      <w:r w:rsidR="00970F68" w:rsidRPr="008B0EF4">
        <w:t xml:space="preserve"> memorandum of understanding between President Putin and President Erdogan that enabled Russian military police and Syrian border guards to enter Turkish-Syrian border areas and facilitate the removal of elements</w:t>
      </w:r>
      <w:r w:rsidR="00E21668">
        <w:t xml:space="preserve"> of the </w:t>
      </w:r>
      <w:r w:rsidR="00E21668" w:rsidRPr="00233B34">
        <w:t>Kurdish People’s Protection Units</w:t>
      </w:r>
      <w:r w:rsidR="00970F68" w:rsidRPr="008B0EF4">
        <w:t>.</w:t>
      </w:r>
      <w:r w:rsidR="00112363" w:rsidRPr="008B0EF4">
        <w:rPr>
          <w:rStyle w:val="FootnoteReference"/>
        </w:rPr>
        <w:footnoteReference w:id="8"/>
      </w:r>
      <w:r w:rsidR="00970F68" w:rsidRPr="008B0EF4">
        <w:t xml:space="preserve"> </w:t>
      </w:r>
      <w:r w:rsidR="00E21668">
        <w:t xml:space="preserve">The </w:t>
      </w:r>
      <w:r w:rsidR="00970F68" w:rsidRPr="008B0EF4">
        <w:t>Russia</w:t>
      </w:r>
      <w:r w:rsidR="00E21668">
        <w:t>n Federation</w:t>
      </w:r>
      <w:r w:rsidR="00970F68" w:rsidRPr="008B0EF4">
        <w:t xml:space="preserve"> and Turkey also agreed to begin joint monitoring patrols in the area. Despite </w:t>
      </w:r>
      <w:r w:rsidR="00C4196E">
        <w:t xml:space="preserve">the </w:t>
      </w:r>
      <w:r w:rsidR="00C4196E" w:rsidRPr="008B0EF4">
        <w:t xml:space="preserve">announcement </w:t>
      </w:r>
      <w:r w:rsidR="00C4196E">
        <w:t xml:space="preserve">by the </w:t>
      </w:r>
      <w:r w:rsidR="00970F68" w:rsidRPr="008B0EF4">
        <w:t>Russia</w:t>
      </w:r>
      <w:r w:rsidR="00C4196E">
        <w:t>n Federation</w:t>
      </w:r>
      <w:r w:rsidR="00970F68" w:rsidRPr="008B0EF4">
        <w:t xml:space="preserve"> of the complete withdrawal of the </w:t>
      </w:r>
      <w:r w:rsidR="00C4196E" w:rsidRPr="00233B34">
        <w:t>Kurdish People’s Protection Units</w:t>
      </w:r>
      <w:r w:rsidR="00970F68" w:rsidRPr="008B0EF4">
        <w:t xml:space="preserve">, clashes between Turkish forces and Kurdish groups, as well as the Syrian army and Turkish-backed forces, </w:t>
      </w:r>
      <w:r w:rsidR="00C4196E">
        <w:t>continued</w:t>
      </w:r>
      <w:r w:rsidR="00970F68" w:rsidRPr="008B0EF4">
        <w:t>. On the issue of the return of Syrian refugees, President Erdogan presented the Secretary-General with a plan for new settlement areas within the 30-k</w:t>
      </w:r>
      <w:r w:rsidR="00C4196E">
        <w:t>m</w:t>
      </w:r>
      <w:r w:rsidR="00970F68" w:rsidRPr="008B0EF4">
        <w:t xml:space="preserve"> “safe zone”.  </w:t>
      </w:r>
    </w:p>
    <w:p w14:paraId="7B046A49" w14:textId="4E10AECB" w:rsidR="00970F68" w:rsidRPr="008B0EF4" w:rsidRDefault="006A33EC" w:rsidP="00970F68">
      <w:pPr>
        <w:spacing w:after="120" w:line="240" w:lineRule="atLeast"/>
        <w:ind w:left="1134" w:right="1134"/>
        <w:jc w:val="both"/>
      </w:pPr>
      <w:r w:rsidRPr="008B0EF4">
        <w:t>15.</w:t>
      </w:r>
      <w:r w:rsidR="00970F68" w:rsidRPr="008B0EF4">
        <w:tab/>
        <w:t>On 17 December, the United States Senate passed the “</w:t>
      </w:r>
      <w:r w:rsidR="00970F68" w:rsidRPr="00B33114">
        <w:t>Caesar Syria Civilian Protection Act</w:t>
      </w:r>
      <w:r w:rsidR="00970F68" w:rsidRPr="008B0EF4">
        <w:t xml:space="preserve">” authorizing </w:t>
      </w:r>
      <w:r w:rsidR="00970F68" w:rsidRPr="00B33114">
        <w:t xml:space="preserve">sanctions </w:t>
      </w:r>
      <w:r w:rsidR="00C4196E" w:rsidRPr="00B33114">
        <w:t xml:space="preserve">against </w:t>
      </w:r>
      <w:r w:rsidR="00970F68" w:rsidRPr="00B33114">
        <w:t xml:space="preserve">the </w:t>
      </w:r>
      <w:r w:rsidR="00C4196E" w:rsidRPr="00B33114">
        <w:t xml:space="preserve">Government of the </w:t>
      </w:r>
      <w:r w:rsidR="00970F68" w:rsidRPr="00B33114">
        <w:t xml:space="preserve">Syrian </w:t>
      </w:r>
      <w:r w:rsidR="00C4196E" w:rsidRPr="00B33114">
        <w:t xml:space="preserve">Arab Republic </w:t>
      </w:r>
      <w:r w:rsidR="00970F68" w:rsidRPr="00B33114">
        <w:t>and any other individuals who are “responsible for or complicit in human rights abuses committed against citizens of Syria or their family members”</w:t>
      </w:r>
      <w:r w:rsidR="00C4196E" w:rsidRPr="00B33114">
        <w:t>.</w:t>
      </w:r>
      <w:r w:rsidR="00970F68" w:rsidRPr="00B33114">
        <w:t xml:space="preserve"> President</w:t>
      </w:r>
      <w:r w:rsidR="00970F68" w:rsidRPr="008B0EF4">
        <w:t xml:space="preserve"> Trump signed the bill into law on 20 December.  </w:t>
      </w:r>
    </w:p>
    <w:p w14:paraId="736E7D22" w14:textId="3A4823D3" w:rsidR="007300E3" w:rsidRPr="008B0EF4" w:rsidRDefault="006A33EC" w:rsidP="00970F68">
      <w:pPr>
        <w:pStyle w:val="SingleTxtG"/>
      </w:pPr>
      <w:r w:rsidRPr="008B0EF4">
        <w:t>16.</w:t>
      </w:r>
      <w:r w:rsidR="00970F68" w:rsidRPr="008B0EF4">
        <w:tab/>
        <w:t xml:space="preserve">The situation in </w:t>
      </w:r>
      <w:r w:rsidR="00EF59AE" w:rsidRPr="008B0EF4">
        <w:t>centr</w:t>
      </w:r>
      <w:r w:rsidR="00EF59AE">
        <w:t>e</w:t>
      </w:r>
      <w:r w:rsidR="00EF59AE" w:rsidRPr="008B0EF4">
        <w:t xml:space="preserve"> </w:t>
      </w:r>
      <w:r w:rsidR="00970F68" w:rsidRPr="008B0EF4">
        <w:t>and south</w:t>
      </w:r>
      <w:r w:rsidR="00EF59AE">
        <w:t xml:space="preserve"> of the</w:t>
      </w:r>
      <w:r w:rsidR="00970F68" w:rsidRPr="008B0EF4">
        <w:t xml:space="preserve"> Syria</w:t>
      </w:r>
      <w:r w:rsidR="00EF59AE">
        <w:t>n Arab Republic</w:t>
      </w:r>
      <w:r w:rsidR="00970F68" w:rsidRPr="008B0EF4">
        <w:t xml:space="preserve"> remained volatile. Throughout the reporting period, ISIL attacks in </w:t>
      </w:r>
      <w:proofErr w:type="spellStart"/>
      <w:r w:rsidR="00EF59AE">
        <w:t>Dar‘a</w:t>
      </w:r>
      <w:proofErr w:type="spellEnd"/>
      <w:r w:rsidR="00970F68" w:rsidRPr="008B0EF4">
        <w:t xml:space="preserve">, Homs and </w:t>
      </w:r>
      <w:proofErr w:type="spellStart"/>
      <w:r w:rsidR="00970F68" w:rsidRPr="008B0EF4">
        <w:t>Dayr</w:t>
      </w:r>
      <w:proofErr w:type="spellEnd"/>
      <w:r w:rsidR="00970F68" w:rsidRPr="008B0EF4">
        <w:t xml:space="preserve"> al-</w:t>
      </w:r>
      <w:proofErr w:type="spellStart"/>
      <w:r w:rsidR="00970F68" w:rsidRPr="008B0EF4">
        <w:t>Zawr</w:t>
      </w:r>
      <w:proofErr w:type="spellEnd"/>
      <w:r w:rsidR="00970F68" w:rsidRPr="008B0EF4">
        <w:t xml:space="preserve"> Governorates killed several Syrian soldiers. The terrorist organization regrouped in </w:t>
      </w:r>
      <w:r w:rsidR="00EF59AE">
        <w:t xml:space="preserve">the </w:t>
      </w:r>
      <w:r w:rsidR="00970F68" w:rsidRPr="008B0EF4">
        <w:t>east</w:t>
      </w:r>
      <w:r w:rsidR="00EF59AE">
        <w:t xml:space="preserve"> of the</w:t>
      </w:r>
      <w:r w:rsidR="00970F68" w:rsidRPr="008B0EF4">
        <w:t xml:space="preserve"> Syria</w:t>
      </w:r>
      <w:r w:rsidR="00EF59AE">
        <w:t>n Arab Republic</w:t>
      </w:r>
      <w:r w:rsidR="00970F68" w:rsidRPr="008B0EF4">
        <w:t xml:space="preserve"> and increased</w:t>
      </w:r>
      <w:r w:rsidR="004E3FF9" w:rsidRPr="008B0EF4">
        <w:t xml:space="preserve"> </w:t>
      </w:r>
      <w:r w:rsidR="00970F68" w:rsidRPr="008B0EF4">
        <w:t>attacks against pro-</w:t>
      </w:r>
      <w:r w:rsidR="00EF59AE">
        <w:t>g</w:t>
      </w:r>
      <w:r w:rsidR="00970F68" w:rsidRPr="008B0EF4">
        <w:t xml:space="preserve">overnment forces, in particular around </w:t>
      </w:r>
      <w:proofErr w:type="spellStart"/>
      <w:r w:rsidR="00970F68" w:rsidRPr="008A5395">
        <w:t>Mayadin</w:t>
      </w:r>
      <w:proofErr w:type="spellEnd"/>
      <w:r w:rsidR="00970F68" w:rsidRPr="008B0EF4">
        <w:t xml:space="preserve"> </w:t>
      </w:r>
      <w:r w:rsidR="00970F68" w:rsidRPr="008A5395">
        <w:t xml:space="preserve">and </w:t>
      </w:r>
      <w:proofErr w:type="spellStart"/>
      <w:r w:rsidR="00970F68" w:rsidRPr="008A5395">
        <w:t>A</w:t>
      </w:r>
      <w:r w:rsidR="008A5395" w:rsidRPr="00D6133C">
        <w:t>l</w:t>
      </w:r>
      <w:r w:rsidR="00970F68" w:rsidRPr="008A5395">
        <w:t>bu</w:t>
      </w:r>
      <w:proofErr w:type="spellEnd"/>
      <w:r w:rsidR="008A5395" w:rsidRPr="00D6133C">
        <w:t xml:space="preserve"> K</w:t>
      </w:r>
      <w:r w:rsidR="00970F68" w:rsidRPr="008A5395">
        <w:t>amal.</w:t>
      </w:r>
      <w:r w:rsidR="00970F68" w:rsidRPr="008B0EF4">
        <w:t xml:space="preserve"> Sporadic clashes between the Syrian army and ISIL terrorists were also ongoing around </w:t>
      </w:r>
      <w:proofErr w:type="spellStart"/>
      <w:r w:rsidR="00970F68" w:rsidRPr="008A5395">
        <w:t>Sukhnah</w:t>
      </w:r>
      <w:proofErr w:type="spellEnd"/>
      <w:r w:rsidR="00970F68" w:rsidRPr="008B0EF4">
        <w:t xml:space="preserve"> and </w:t>
      </w:r>
      <w:proofErr w:type="spellStart"/>
      <w:r w:rsidR="008A5395">
        <w:t>Tadmur</w:t>
      </w:r>
      <w:proofErr w:type="spellEnd"/>
      <w:r w:rsidR="008A5395" w:rsidRPr="008B0EF4">
        <w:t xml:space="preserve"> </w:t>
      </w:r>
      <w:r w:rsidR="00970F68" w:rsidRPr="008B0EF4">
        <w:t xml:space="preserve">(Homs Governorate) and had a significant impact on the security and freedom of movement of civilians. In </w:t>
      </w:r>
      <w:proofErr w:type="spellStart"/>
      <w:r w:rsidR="00EF59AE">
        <w:t>Dar‘a</w:t>
      </w:r>
      <w:proofErr w:type="spellEnd"/>
      <w:r w:rsidR="00970F68" w:rsidRPr="008B0EF4">
        <w:t xml:space="preserve">, </w:t>
      </w:r>
      <w:r w:rsidR="004E3FF9" w:rsidRPr="008B0EF4">
        <w:t xml:space="preserve">following </w:t>
      </w:r>
      <w:r w:rsidR="00970F68" w:rsidRPr="008B0EF4">
        <w:t xml:space="preserve">protests, the Government issued an amnesty </w:t>
      </w:r>
      <w:r w:rsidR="004E3FF9" w:rsidRPr="008B0EF4">
        <w:t>for those</w:t>
      </w:r>
      <w:r w:rsidR="00970F68" w:rsidRPr="008B0EF4">
        <w:t xml:space="preserve"> arrested after July 2018</w:t>
      </w:r>
      <w:r w:rsidR="00A45E15">
        <w:t>,</w:t>
      </w:r>
      <w:r w:rsidR="00970F68" w:rsidRPr="008B0EF4">
        <w:t xml:space="preserve"> in an attempt to reduce tensions</w:t>
      </w:r>
      <w:r w:rsidR="004E3FF9" w:rsidRPr="008B0EF4">
        <w:t>, however</w:t>
      </w:r>
      <w:r w:rsidR="00A45E15">
        <w:t>,</w:t>
      </w:r>
      <w:r w:rsidR="00970F68" w:rsidRPr="008B0EF4">
        <w:t xml:space="preserve"> few releases occurred. In July, August and November</w:t>
      </w:r>
      <w:proofErr w:type="gramStart"/>
      <w:r w:rsidR="00970F68" w:rsidRPr="008B0EF4">
        <w:t>,  air</w:t>
      </w:r>
      <w:proofErr w:type="gramEnd"/>
      <w:r w:rsidR="00970F68" w:rsidRPr="008B0EF4">
        <w:t xml:space="preserve"> strikes </w:t>
      </w:r>
      <w:r w:rsidR="00A45E15">
        <w:t xml:space="preserve">by </w:t>
      </w:r>
      <w:r w:rsidR="00A45E15" w:rsidRPr="008B0EF4">
        <w:t>Israel</w:t>
      </w:r>
      <w:r w:rsidR="00A45E15">
        <w:t xml:space="preserve"> </w:t>
      </w:r>
      <w:r w:rsidR="00970F68" w:rsidRPr="008B0EF4">
        <w:t>hit Tal-</w:t>
      </w:r>
      <w:proofErr w:type="spellStart"/>
      <w:r w:rsidR="00970F68" w:rsidRPr="008B0EF4">
        <w:t>Haraa</w:t>
      </w:r>
      <w:proofErr w:type="spellEnd"/>
      <w:r w:rsidR="00970F68" w:rsidRPr="008B0EF4">
        <w:t xml:space="preserve"> in </w:t>
      </w:r>
      <w:r w:rsidR="00A45E15">
        <w:t xml:space="preserve">the </w:t>
      </w:r>
      <w:r w:rsidR="00970F68" w:rsidRPr="008B0EF4">
        <w:t>south</w:t>
      </w:r>
      <w:r w:rsidR="00A45E15">
        <w:t xml:space="preserve"> of the</w:t>
      </w:r>
      <w:r w:rsidR="00970F68" w:rsidRPr="008B0EF4">
        <w:t xml:space="preserve"> Syria</w:t>
      </w:r>
      <w:r w:rsidR="00A45E15">
        <w:t>n Arab Republic</w:t>
      </w:r>
      <w:r w:rsidR="00970F68" w:rsidRPr="008B0EF4">
        <w:t xml:space="preserve">, several alleged </w:t>
      </w:r>
      <w:proofErr w:type="spellStart"/>
      <w:r w:rsidR="00970F68" w:rsidRPr="008B0EF4">
        <w:t>H</w:t>
      </w:r>
      <w:r w:rsidR="00A45E15">
        <w:t>i</w:t>
      </w:r>
      <w:r w:rsidR="00970F68" w:rsidRPr="008B0EF4">
        <w:t>zb</w:t>
      </w:r>
      <w:r w:rsidR="00A45E15">
        <w:t>u</w:t>
      </w:r>
      <w:r w:rsidR="00970F68" w:rsidRPr="008B0EF4">
        <w:t>llah</w:t>
      </w:r>
      <w:proofErr w:type="spellEnd"/>
      <w:r w:rsidR="00970F68" w:rsidRPr="008B0EF4">
        <w:t xml:space="preserve"> facilities and Iranian and Syrian positions outside Damascus. These developments continued to contribute to a highly complex protection situation for civilians across </w:t>
      </w:r>
      <w:r w:rsidR="00A45E15">
        <w:t xml:space="preserve">the </w:t>
      </w:r>
      <w:r w:rsidR="00970F68" w:rsidRPr="008B0EF4">
        <w:t>Syria</w:t>
      </w:r>
      <w:r w:rsidR="00A45E15">
        <w:t>n Arab Republic</w:t>
      </w:r>
      <w:r w:rsidR="007300E3" w:rsidRPr="008B0EF4">
        <w:t>.</w:t>
      </w:r>
    </w:p>
    <w:p w14:paraId="70C3830D" w14:textId="77777777" w:rsidR="007300E3" w:rsidRPr="008B0EF4" w:rsidRDefault="007300E3" w:rsidP="00156BAE">
      <w:pPr>
        <w:pStyle w:val="HChG"/>
      </w:pPr>
      <w:r w:rsidRPr="008B0EF4">
        <w:tab/>
      </w:r>
      <w:bookmarkStart w:id="10" w:name="_Toc16754913"/>
      <w:r w:rsidRPr="008B0EF4">
        <w:t>I</w:t>
      </w:r>
      <w:r w:rsidR="00112363" w:rsidRPr="008B0EF4">
        <w:t>II</w:t>
      </w:r>
      <w:r w:rsidRPr="008B0EF4">
        <w:t>.</w:t>
      </w:r>
      <w:r w:rsidRPr="008B0EF4">
        <w:tab/>
      </w:r>
      <w:r w:rsidR="00112363" w:rsidRPr="008B0EF4">
        <w:t>Resurging violence against civilian</w:t>
      </w:r>
      <w:bookmarkEnd w:id="10"/>
      <w:r w:rsidR="00112363" w:rsidRPr="008B0EF4">
        <w:t>s</w:t>
      </w:r>
    </w:p>
    <w:p w14:paraId="178773C0" w14:textId="7C9333FC" w:rsidR="00112363" w:rsidRPr="008B0EF4" w:rsidRDefault="00112363" w:rsidP="00112363">
      <w:pPr>
        <w:spacing w:after="120" w:line="240" w:lineRule="atLeast"/>
        <w:ind w:left="1134" w:right="1134"/>
        <w:jc w:val="both"/>
        <w:rPr>
          <w:rFonts w:eastAsia="Calibri"/>
        </w:rPr>
      </w:pPr>
      <w:r w:rsidRPr="008B0EF4">
        <w:t>17</w:t>
      </w:r>
      <w:r w:rsidR="007300E3" w:rsidRPr="008B0EF4">
        <w:t>.</w:t>
      </w:r>
      <w:r w:rsidR="007300E3" w:rsidRPr="008B0EF4">
        <w:tab/>
      </w:r>
      <w:r w:rsidRPr="008B0EF4">
        <w:rPr>
          <w:rFonts w:eastAsia="Calibri"/>
        </w:rPr>
        <w:t xml:space="preserve">During the period under review, attacks by belligerent parties killed and injured scores of Syrian women, men and children. Fierce battles further destabilized the provision of services, and deprived countless civilians </w:t>
      </w:r>
      <w:r w:rsidR="004E3FF9" w:rsidRPr="008B0EF4">
        <w:rPr>
          <w:rFonts w:eastAsia="Calibri"/>
        </w:rPr>
        <w:t xml:space="preserve">from </w:t>
      </w:r>
      <w:r w:rsidRPr="008B0EF4">
        <w:rPr>
          <w:rFonts w:eastAsia="Calibri"/>
        </w:rPr>
        <w:t xml:space="preserve">accessing medical services and education, as well as food and water. As the conflict in the Syrian </w:t>
      </w:r>
      <w:r w:rsidR="00DD2912">
        <w:rPr>
          <w:rFonts w:eastAsia="Calibri"/>
        </w:rPr>
        <w:t xml:space="preserve">Arab Republic </w:t>
      </w:r>
      <w:r w:rsidRPr="008B0EF4">
        <w:rPr>
          <w:rFonts w:eastAsia="Calibri"/>
        </w:rPr>
        <w:t>evolve</w:t>
      </w:r>
      <w:r w:rsidR="004E3FF9" w:rsidRPr="008B0EF4">
        <w:rPr>
          <w:rFonts w:eastAsia="Calibri"/>
        </w:rPr>
        <w:t>s</w:t>
      </w:r>
      <w:r w:rsidRPr="008B0EF4">
        <w:rPr>
          <w:rFonts w:eastAsia="Calibri"/>
        </w:rPr>
        <w:t>, it has resulted in the active intervention of a number of Member States in support of and in opposition to the Government</w:t>
      </w:r>
      <w:r w:rsidR="004E3FF9" w:rsidRPr="008B0EF4">
        <w:rPr>
          <w:rFonts w:eastAsia="Calibri"/>
        </w:rPr>
        <w:t>,</w:t>
      </w:r>
      <w:r w:rsidRPr="008B0EF4">
        <w:rPr>
          <w:rFonts w:eastAsia="Calibri"/>
        </w:rPr>
        <w:t xml:space="preserve"> through both direct actions on the ground, and through the provision of logistical, material and financial support to non-State armed groups.</w:t>
      </w:r>
      <w:r w:rsidRPr="008B0EF4">
        <w:rPr>
          <w:rStyle w:val="FootnoteReference"/>
          <w:rFonts w:eastAsia="Calibri"/>
        </w:rPr>
        <w:footnoteReference w:id="9"/>
      </w:r>
    </w:p>
    <w:p w14:paraId="42704120" w14:textId="77777777" w:rsidR="007300E3" w:rsidRPr="008B0EF4" w:rsidRDefault="006A33EC" w:rsidP="00112363">
      <w:pPr>
        <w:pStyle w:val="SingleTxtG"/>
      </w:pPr>
      <w:r w:rsidRPr="008B0EF4">
        <w:rPr>
          <w:rFonts w:eastAsia="Calibri"/>
        </w:rPr>
        <w:t>18.</w:t>
      </w:r>
      <w:r w:rsidRPr="008B0EF4">
        <w:rPr>
          <w:rFonts w:eastAsia="Calibri"/>
        </w:rPr>
        <w:tab/>
      </w:r>
      <w:r w:rsidR="00112363" w:rsidRPr="008B0EF4">
        <w:rPr>
          <w:rFonts w:eastAsia="Calibri"/>
        </w:rPr>
        <w:t xml:space="preserve">Displacement was most often caused by the failure of warring parties to take all feasible precautions to spare the civilian </w:t>
      </w:r>
      <w:proofErr w:type="gramStart"/>
      <w:r w:rsidR="00112363" w:rsidRPr="008B0EF4">
        <w:rPr>
          <w:rFonts w:eastAsia="Calibri"/>
        </w:rPr>
        <w:t>population,</w:t>
      </w:r>
      <w:proofErr w:type="gramEnd"/>
      <w:r w:rsidR="00112363" w:rsidRPr="008B0EF4">
        <w:rPr>
          <w:rFonts w:eastAsia="Calibri"/>
        </w:rPr>
        <w:t xml:space="preserve"> or by other unlawful conduct </w:t>
      </w:r>
      <w:r w:rsidR="004E3FF9" w:rsidRPr="008B0EF4">
        <w:rPr>
          <w:rFonts w:eastAsia="Calibri"/>
        </w:rPr>
        <w:t xml:space="preserve">by </w:t>
      </w:r>
      <w:r w:rsidR="00112363" w:rsidRPr="008B0EF4">
        <w:rPr>
          <w:rFonts w:eastAsia="Calibri"/>
        </w:rPr>
        <w:t>parties that carried out attacks with little regard for civilian life</w:t>
      </w:r>
      <w:r w:rsidR="007300E3" w:rsidRPr="008B0EF4">
        <w:t xml:space="preserve">. </w:t>
      </w:r>
    </w:p>
    <w:p w14:paraId="677F4130" w14:textId="77777777" w:rsidR="007300E3" w:rsidRPr="008B0EF4" w:rsidRDefault="00156BAE" w:rsidP="00156BAE">
      <w:pPr>
        <w:pStyle w:val="H1G"/>
        <w:rPr>
          <w:rFonts w:eastAsia="Calibri"/>
        </w:rPr>
      </w:pPr>
      <w:r w:rsidRPr="008B0EF4">
        <w:tab/>
      </w:r>
      <w:bookmarkStart w:id="11" w:name="_Toc16754914"/>
      <w:r w:rsidR="007300E3" w:rsidRPr="008B0EF4">
        <w:t>A.</w:t>
      </w:r>
      <w:r w:rsidR="007300E3" w:rsidRPr="008B0EF4">
        <w:tab/>
      </w:r>
      <w:bookmarkEnd w:id="11"/>
      <w:proofErr w:type="spellStart"/>
      <w:r w:rsidR="00112363" w:rsidRPr="008B0EF4">
        <w:rPr>
          <w:rFonts w:eastAsia="Calibri"/>
        </w:rPr>
        <w:t>Idlib</w:t>
      </w:r>
      <w:proofErr w:type="spellEnd"/>
      <w:r w:rsidR="00112363" w:rsidRPr="008B0EF4">
        <w:rPr>
          <w:rFonts w:eastAsia="Calibri"/>
        </w:rPr>
        <w:t>, northern Hama and western Aleppo</w:t>
      </w:r>
    </w:p>
    <w:p w14:paraId="17F4C31B" w14:textId="77777777" w:rsidR="00112363" w:rsidRPr="008B0EF4" w:rsidRDefault="00112363" w:rsidP="00112363">
      <w:pPr>
        <w:spacing w:before="240" w:after="120" w:line="240" w:lineRule="atLeast"/>
        <w:ind w:left="1134" w:right="1134"/>
        <w:jc w:val="both"/>
        <w:rPr>
          <w:rFonts w:eastAsia="Times New Roman"/>
          <w:i/>
        </w:rPr>
      </w:pPr>
      <w:r w:rsidRPr="008B0EF4">
        <w:rPr>
          <w:rFonts w:eastAsia="Times New Roman"/>
          <w:i/>
        </w:rPr>
        <w:t>Pro-government forces</w:t>
      </w:r>
    </w:p>
    <w:p w14:paraId="23ED8F2B" w14:textId="0CF7AE66" w:rsidR="00112363" w:rsidRPr="008B0EF4" w:rsidRDefault="0086073A" w:rsidP="00112363">
      <w:pPr>
        <w:spacing w:after="120" w:line="240" w:lineRule="atLeast"/>
        <w:ind w:left="1134" w:right="1134"/>
        <w:jc w:val="both"/>
        <w:rPr>
          <w:rFonts w:eastAsia="Times New Roman"/>
        </w:rPr>
      </w:pPr>
      <w:r w:rsidRPr="008B0EF4">
        <w:t>19</w:t>
      </w:r>
      <w:r w:rsidR="007300E3" w:rsidRPr="008B0EF4">
        <w:t>.</w:t>
      </w:r>
      <w:r w:rsidR="007300E3" w:rsidRPr="008B0EF4">
        <w:tab/>
      </w:r>
      <w:proofErr w:type="spellStart"/>
      <w:r w:rsidR="00112363" w:rsidRPr="008B0EF4">
        <w:rPr>
          <w:rFonts w:eastAsia="Times New Roman"/>
        </w:rPr>
        <w:t>Idlib</w:t>
      </w:r>
      <w:proofErr w:type="spellEnd"/>
      <w:r w:rsidR="00112363" w:rsidRPr="008B0EF4">
        <w:rPr>
          <w:rFonts w:eastAsia="Times New Roman"/>
        </w:rPr>
        <w:t xml:space="preserve"> Governorate, where approximately three million Syrian civilians subsist with limited access to basic services, witnessed renewed outbreaks of brutal violence. At least half of these civilians had already fled attacks or been forcibly displaced through “reconciliation agreements”</w:t>
      </w:r>
      <w:r w:rsidR="00DD2912">
        <w:rPr>
          <w:rFonts w:eastAsia="Times New Roman"/>
        </w:rPr>
        <w:t>,</w:t>
      </w:r>
      <w:r w:rsidR="00112363" w:rsidRPr="008B0EF4">
        <w:rPr>
          <w:rStyle w:val="FootnoteReference"/>
          <w:rFonts w:eastAsia="Times New Roman"/>
        </w:rPr>
        <w:footnoteReference w:id="10"/>
      </w:r>
      <w:r w:rsidR="00112363" w:rsidRPr="008B0EF4">
        <w:rPr>
          <w:rFonts w:eastAsia="Times New Roman"/>
        </w:rPr>
        <w:t xml:space="preserve"> while 700,000 of them were displaced between May and early January.</w:t>
      </w:r>
    </w:p>
    <w:p w14:paraId="6B9A2C7A" w14:textId="0CB3C373" w:rsidR="00112363" w:rsidRPr="008B0EF4" w:rsidRDefault="006A33EC" w:rsidP="00112363">
      <w:pPr>
        <w:spacing w:after="120" w:line="240" w:lineRule="atLeast"/>
        <w:ind w:left="1134" w:right="1134"/>
        <w:jc w:val="both"/>
        <w:rPr>
          <w:rFonts w:eastAsia="Times New Roman"/>
        </w:rPr>
      </w:pPr>
      <w:r w:rsidRPr="008B0EF4">
        <w:rPr>
          <w:rFonts w:eastAsia="Times New Roman"/>
        </w:rPr>
        <w:t>20.</w:t>
      </w:r>
      <w:r w:rsidR="00112363" w:rsidRPr="008B0EF4">
        <w:rPr>
          <w:rFonts w:eastAsia="Times New Roman"/>
        </w:rPr>
        <w:tab/>
        <w:t>Though the announcement of a unilateral ceasefire on 31 August ended a four-month long offensive throughout the “demilitarized zone”,</w:t>
      </w:r>
      <w:r w:rsidR="0086073A" w:rsidRPr="008B0EF4">
        <w:rPr>
          <w:rStyle w:val="FootnoteReference"/>
          <w:rFonts w:eastAsia="Times New Roman"/>
        </w:rPr>
        <w:footnoteReference w:id="11"/>
      </w:r>
      <w:r w:rsidR="00112363" w:rsidRPr="008B0EF4">
        <w:rPr>
          <w:rFonts w:eastAsia="Times New Roman"/>
        </w:rPr>
        <w:t xml:space="preserve"> violence intensified from November into early January. Attacks carried out by pro-</w:t>
      </w:r>
      <w:r w:rsidR="009443AF">
        <w:rPr>
          <w:rFonts w:eastAsia="Times New Roman"/>
        </w:rPr>
        <w:t>g</w:t>
      </w:r>
      <w:r w:rsidR="00112363" w:rsidRPr="008B0EF4">
        <w:rPr>
          <w:rFonts w:eastAsia="Times New Roman"/>
        </w:rPr>
        <w:t xml:space="preserve">overnment forces targeted civilian infrastructure, including specially protected objects. As a result, civilian areas </w:t>
      </w:r>
      <w:proofErr w:type="gramStart"/>
      <w:r w:rsidR="00112363" w:rsidRPr="008B0EF4">
        <w:rPr>
          <w:rFonts w:eastAsia="Times New Roman"/>
        </w:rPr>
        <w:t>were rendered</w:t>
      </w:r>
      <w:proofErr w:type="gramEnd"/>
      <w:r w:rsidR="00112363" w:rsidRPr="008B0EF4">
        <w:rPr>
          <w:rFonts w:eastAsia="Times New Roman"/>
        </w:rPr>
        <w:t xml:space="preserve"> uninhabitable, in particular towns such </w:t>
      </w:r>
      <w:r w:rsidR="00112363" w:rsidRPr="005602D6">
        <w:rPr>
          <w:rFonts w:eastAsia="Times New Roman"/>
        </w:rPr>
        <w:t xml:space="preserve">as </w:t>
      </w:r>
      <w:r w:rsidR="00DB51C0" w:rsidRPr="00D6133C">
        <w:rPr>
          <w:rFonts w:eastAsia="Times New Roman"/>
        </w:rPr>
        <w:t xml:space="preserve">Khan </w:t>
      </w:r>
      <w:proofErr w:type="spellStart"/>
      <w:r w:rsidR="00DB51C0" w:rsidRPr="00D6133C">
        <w:rPr>
          <w:rFonts w:eastAsia="Times New Roman"/>
        </w:rPr>
        <w:t>Shaykhun</w:t>
      </w:r>
      <w:proofErr w:type="spellEnd"/>
      <w:r w:rsidR="00112363" w:rsidRPr="005602D6">
        <w:rPr>
          <w:rFonts w:eastAsia="Times New Roman"/>
        </w:rPr>
        <w:t xml:space="preserve"> and </w:t>
      </w:r>
      <w:proofErr w:type="spellStart"/>
      <w:r w:rsidR="005602D6" w:rsidRPr="000C14D9">
        <w:t>Ma‘arrat</w:t>
      </w:r>
      <w:proofErr w:type="spellEnd"/>
      <w:r w:rsidR="005602D6" w:rsidRPr="000C14D9">
        <w:t xml:space="preserve"> al-</w:t>
      </w:r>
      <w:proofErr w:type="spellStart"/>
      <w:r w:rsidR="005602D6" w:rsidRPr="000C14D9">
        <w:t>Nu‘man</w:t>
      </w:r>
      <w:proofErr w:type="spellEnd"/>
      <w:r w:rsidR="00112363" w:rsidRPr="008B0EF4">
        <w:rPr>
          <w:rFonts w:eastAsia="Times New Roman"/>
        </w:rPr>
        <w:t xml:space="preserve">, in an apparent effort to accelerate capture of strategic motorways from Aleppo to Hama and </w:t>
      </w:r>
      <w:proofErr w:type="spellStart"/>
      <w:r w:rsidR="00112363" w:rsidRPr="008B0EF4">
        <w:rPr>
          <w:rFonts w:eastAsia="Calibri"/>
        </w:rPr>
        <w:t>Ladhiqiyah</w:t>
      </w:r>
      <w:proofErr w:type="spellEnd"/>
      <w:r w:rsidR="00112363" w:rsidRPr="008B0EF4">
        <w:rPr>
          <w:rFonts w:eastAsia="Times New Roman"/>
        </w:rPr>
        <w:t xml:space="preserve">.  </w:t>
      </w:r>
    </w:p>
    <w:p w14:paraId="14A92595" w14:textId="401B2E95" w:rsidR="00112363" w:rsidRPr="008B0EF4" w:rsidRDefault="006A33EC" w:rsidP="00112363">
      <w:pPr>
        <w:spacing w:after="120" w:line="240" w:lineRule="atLeast"/>
        <w:ind w:left="1134" w:right="1134"/>
        <w:jc w:val="both"/>
        <w:rPr>
          <w:rFonts w:eastAsia="Times New Roman"/>
        </w:rPr>
      </w:pPr>
      <w:r w:rsidRPr="005602D6">
        <w:rPr>
          <w:rFonts w:eastAsia="Times New Roman"/>
        </w:rPr>
        <w:t>21.</w:t>
      </w:r>
      <w:r w:rsidR="0086073A" w:rsidRPr="005602D6">
        <w:rPr>
          <w:rFonts w:eastAsia="Times New Roman"/>
        </w:rPr>
        <w:tab/>
      </w:r>
      <w:r w:rsidR="00112363" w:rsidRPr="005602D6">
        <w:rPr>
          <w:rFonts w:eastAsia="Times New Roman"/>
        </w:rPr>
        <w:t xml:space="preserve">The Commission verified unlawful attacks in </w:t>
      </w:r>
      <w:proofErr w:type="spellStart"/>
      <w:r w:rsidR="005602D6" w:rsidRPr="005602D6">
        <w:t>Ma‘arrat</w:t>
      </w:r>
      <w:proofErr w:type="spellEnd"/>
      <w:r w:rsidR="005602D6" w:rsidRPr="005602D6">
        <w:t xml:space="preserve"> al-</w:t>
      </w:r>
      <w:proofErr w:type="spellStart"/>
      <w:r w:rsidR="005602D6" w:rsidRPr="005602D6">
        <w:t>Nu‘man</w:t>
      </w:r>
      <w:proofErr w:type="spellEnd"/>
      <w:r w:rsidR="00112363" w:rsidRPr="005602D6">
        <w:rPr>
          <w:rFonts w:eastAsia="Times New Roman"/>
        </w:rPr>
        <w:t>, Marat al-</w:t>
      </w:r>
      <w:proofErr w:type="spellStart"/>
      <w:r w:rsidR="00112363" w:rsidRPr="005602D6">
        <w:rPr>
          <w:rFonts w:eastAsia="Times New Roman"/>
        </w:rPr>
        <w:t>Harma</w:t>
      </w:r>
      <w:proofErr w:type="spellEnd"/>
      <w:r w:rsidR="00112363" w:rsidRPr="005602D6">
        <w:rPr>
          <w:rFonts w:eastAsia="Times New Roman"/>
        </w:rPr>
        <w:t xml:space="preserve">, </w:t>
      </w:r>
      <w:proofErr w:type="spellStart"/>
      <w:r w:rsidR="00112363" w:rsidRPr="005602D6">
        <w:rPr>
          <w:rFonts w:eastAsia="Times New Roman"/>
        </w:rPr>
        <w:t>Janudiya</w:t>
      </w:r>
      <w:r w:rsidR="00746D65">
        <w:rPr>
          <w:rFonts w:eastAsia="Times New Roman"/>
        </w:rPr>
        <w:t>h</w:t>
      </w:r>
      <w:proofErr w:type="spellEnd"/>
      <w:r w:rsidR="00112363" w:rsidRPr="005602D6">
        <w:rPr>
          <w:rFonts w:eastAsia="Times New Roman"/>
        </w:rPr>
        <w:t xml:space="preserve"> village (</w:t>
      </w:r>
      <w:proofErr w:type="spellStart"/>
      <w:r w:rsidR="00CF1F5E" w:rsidRPr="00E753C2">
        <w:t>Jisr</w:t>
      </w:r>
      <w:proofErr w:type="spellEnd"/>
      <w:r w:rsidR="00CF1F5E" w:rsidRPr="00E753C2">
        <w:t xml:space="preserve"> al-</w:t>
      </w:r>
      <w:proofErr w:type="spellStart"/>
      <w:r w:rsidR="00CF1F5E" w:rsidRPr="00E753C2">
        <w:t>Shughur</w:t>
      </w:r>
      <w:proofErr w:type="spellEnd"/>
      <w:r w:rsidR="00112363" w:rsidRPr="005602D6">
        <w:rPr>
          <w:rFonts w:eastAsia="Times New Roman"/>
        </w:rPr>
        <w:t xml:space="preserve">), </w:t>
      </w:r>
      <w:proofErr w:type="gramStart"/>
      <w:r w:rsidR="00112363" w:rsidRPr="005602D6">
        <w:rPr>
          <w:rFonts w:eastAsia="Times New Roman"/>
        </w:rPr>
        <w:t>a</w:t>
      </w:r>
      <w:proofErr w:type="gramEnd"/>
      <w:r w:rsidR="00112363" w:rsidRPr="005602D6">
        <w:rPr>
          <w:rFonts w:eastAsia="Times New Roman"/>
        </w:rPr>
        <w:t xml:space="preserve"> medical</w:t>
      </w:r>
      <w:r w:rsidR="00112363" w:rsidRPr="008B0EF4">
        <w:rPr>
          <w:rFonts w:eastAsia="Times New Roman"/>
        </w:rPr>
        <w:t xml:space="preserve"> point </w:t>
      </w:r>
      <w:r w:rsidR="00112363" w:rsidRPr="00413F8A">
        <w:rPr>
          <w:rFonts w:eastAsia="Times New Roman"/>
        </w:rPr>
        <w:t xml:space="preserve">located near </w:t>
      </w:r>
      <w:r w:rsidR="00413F8A" w:rsidRPr="00D6133C">
        <w:rPr>
          <w:rFonts w:eastAsia="Times New Roman"/>
        </w:rPr>
        <w:t>A</w:t>
      </w:r>
      <w:r w:rsidR="00112363" w:rsidRPr="00413F8A">
        <w:rPr>
          <w:rFonts w:eastAsia="Times New Roman"/>
        </w:rPr>
        <w:t>l</w:t>
      </w:r>
      <w:r w:rsidR="00413F8A" w:rsidRPr="00D6133C">
        <w:rPr>
          <w:rFonts w:eastAsia="Times New Roman"/>
        </w:rPr>
        <w:t>-</w:t>
      </w:r>
      <w:proofErr w:type="spellStart"/>
      <w:r w:rsidR="00112363" w:rsidRPr="00413F8A">
        <w:rPr>
          <w:rFonts w:eastAsia="Times New Roman"/>
        </w:rPr>
        <w:t>Khasra</w:t>
      </w:r>
      <w:proofErr w:type="spellEnd"/>
      <w:r w:rsidR="00112363" w:rsidRPr="00413F8A">
        <w:rPr>
          <w:rFonts w:eastAsia="Times New Roman"/>
        </w:rPr>
        <w:t xml:space="preserve">, and </w:t>
      </w:r>
      <w:r w:rsidR="00413F8A" w:rsidRPr="00D6133C">
        <w:rPr>
          <w:rFonts w:eastAsia="Times New Roman"/>
        </w:rPr>
        <w:t>A</w:t>
      </w:r>
      <w:r w:rsidR="00112363" w:rsidRPr="00413F8A">
        <w:rPr>
          <w:rFonts w:eastAsia="Times New Roman"/>
        </w:rPr>
        <w:t>l-Bara.</w:t>
      </w:r>
      <w:r w:rsidR="00112363" w:rsidRPr="008B0EF4">
        <w:rPr>
          <w:rFonts w:eastAsia="Times New Roman"/>
        </w:rPr>
        <w:t xml:space="preserve"> The findings that follow are examples of attacks by pro-</w:t>
      </w:r>
      <w:r w:rsidR="009443AF">
        <w:rPr>
          <w:rFonts w:eastAsia="Times New Roman"/>
        </w:rPr>
        <w:t>g</w:t>
      </w:r>
      <w:r w:rsidR="00112363" w:rsidRPr="008B0EF4">
        <w:rPr>
          <w:rFonts w:eastAsia="Times New Roman"/>
        </w:rPr>
        <w:t xml:space="preserve">overnment forces. </w:t>
      </w:r>
    </w:p>
    <w:p w14:paraId="38136FEA" w14:textId="55D9C3C6" w:rsidR="00112363" w:rsidRPr="008B0EF4" w:rsidRDefault="006A33EC" w:rsidP="00112363">
      <w:pPr>
        <w:spacing w:after="120" w:line="240" w:lineRule="atLeast"/>
        <w:ind w:left="1134" w:right="1134"/>
        <w:jc w:val="both"/>
        <w:rPr>
          <w:rFonts w:eastAsia="Times New Roman"/>
        </w:rPr>
      </w:pPr>
      <w:r w:rsidRPr="008B0EF4">
        <w:rPr>
          <w:rFonts w:eastAsia="Times New Roman"/>
        </w:rPr>
        <w:t>22.</w:t>
      </w:r>
      <w:r w:rsidR="0086073A" w:rsidRPr="008B0EF4">
        <w:rPr>
          <w:rFonts w:eastAsia="Times New Roman"/>
        </w:rPr>
        <w:tab/>
      </w:r>
      <w:r w:rsidR="00112363" w:rsidRPr="008B0EF4">
        <w:rPr>
          <w:rFonts w:eastAsia="Times New Roman"/>
        </w:rPr>
        <w:t>Attacks affecting crowded marketplaces continued</w:t>
      </w:r>
      <w:r w:rsidR="00112363" w:rsidRPr="008B0EF4">
        <w:rPr>
          <w:rFonts w:eastAsia="Times New Roman"/>
          <w:sz w:val="18"/>
        </w:rPr>
        <w:t>.</w:t>
      </w:r>
      <w:r w:rsidR="0086073A" w:rsidRPr="008B0EF4">
        <w:rPr>
          <w:rStyle w:val="FootnoteReference"/>
          <w:rFonts w:eastAsia="Times New Roman"/>
        </w:rPr>
        <w:footnoteReference w:id="12"/>
      </w:r>
      <w:r w:rsidR="00112363" w:rsidRPr="008B0EF4">
        <w:rPr>
          <w:rFonts w:eastAsia="Times New Roman"/>
        </w:rPr>
        <w:t xml:space="preserve"> For example, on 22 July, between 8 a.m. and 8</w:t>
      </w:r>
      <w:r w:rsidR="009443AF">
        <w:rPr>
          <w:rFonts w:eastAsia="Times New Roman"/>
        </w:rPr>
        <w:t>.</w:t>
      </w:r>
      <w:r w:rsidR="00112363" w:rsidRPr="008B0EF4">
        <w:rPr>
          <w:rFonts w:eastAsia="Times New Roman"/>
        </w:rPr>
        <w:t>30 a.m., a series of air</w:t>
      </w:r>
      <w:r w:rsidR="009443AF">
        <w:rPr>
          <w:rFonts w:eastAsia="Times New Roman"/>
        </w:rPr>
        <w:t xml:space="preserve"> </w:t>
      </w:r>
      <w:r w:rsidR="00112363" w:rsidRPr="008B0EF4">
        <w:rPr>
          <w:rFonts w:eastAsia="Times New Roman"/>
        </w:rPr>
        <w:t>strikes hit the main market as well as surrounding houses in a densely</w:t>
      </w:r>
      <w:r w:rsidR="005C5415">
        <w:rPr>
          <w:rFonts w:eastAsia="Times New Roman"/>
        </w:rPr>
        <w:t xml:space="preserve"> </w:t>
      </w:r>
      <w:r w:rsidR="00112363" w:rsidRPr="008B0EF4">
        <w:rPr>
          <w:rFonts w:eastAsia="Times New Roman"/>
        </w:rPr>
        <w:t xml:space="preserve">populated area in </w:t>
      </w:r>
      <w:proofErr w:type="spellStart"/>
      <w:r w:rsidR="005602D6" w:rsidRPr="000C14D9">
        <w:t>Ma‘arrat</w:t>
      </w:r>
      <w:proofErr w:type="spellEnd"/>
      <w:r w:rsidR="005602D6" w:rsidRPr="000C14D9">
        <w:t xml:space="preserve"> al-</w:t>
      </w:r>
      <w:proofErr w:type="spellStart"/>
      <w:r w:rsidR="005602D6" w:rsidRPr="000C14D9">
        <w:t>Nu‘man</w:t>
      </w:r>
      <w:proofErr w:type="spellEnd"/>
      <w:r w:rsidR="00112363" w:rsidRPr="008B0EF4">
        <w:rPr>
          <w:rFonts w:eastAsia="Times New Roman"/>
        </w:rPr>
        <w:t>. The air</w:t>
      </w:r>
      <w:r w:rsidR="009443AF">
        <w:rPr>
          <w:rFonts w:eastAsia="Times New Roman"/>
        </w:rPr>
        <w:t xml:space="preserve"> </w:t>
      </w:r>
      <w:r w:rsidR="00112363" w:rsidRPr="008B0EF4">
        <w:rPr>
          <w:rFonts w:eastAsia="Times New Roman"/>
        </w:rPr>
        <w:t xml:space="preserve">strikes killed </w:t>
      </w:r>
      <w:r w:rsidR="00987E35" w:rsidRPr="008B0EF4">
        <w:rPr>
          <w:rFonts w:eastAsia="Times New Roman"/>
        </w:rPr>
        <w:t>more than</w:t>
      </w:r>
      <w:r w:rsidR="00112363" w:rsidRPr="008B0EF4">
        <w:rPr>
          <w:rFonts w:eastAsia="Times New Roman"/>
        </w:rPr>
        <w:t xml:space="preserve"> </w:t>
      </w:r>
      <w:r w:rsidR="00822778">
        <w:rPr>
          <w:rFonts w:eastAsia="Times New Roman"/>
        </w:rPr>
        <w:t xml:space="preserve">43 </w:t>
      </w:r>
      <w:r w:rsidR="00112363" w:rsidRPr="008B0EF4">
        <w:rPr>
          <w:rFonts w:eastAsia="Times New Roman"/>
        </w:rPr>
        <w:t xml:space="preserve">civilians, including </w:t>
      </w:r>
      <w:proofErr w:type="gramStart"/>
      <w:r w:rsidR="005C5415">
        <w:rPr>
          <w:rFonts w:eastAsia="Times New Roman"/>
        </w:rPr>
        <w:t>3</w:t>
      </w:r>
      <w:proofErr w:type="gramEnd"/>
      <w:r w:rsidR="005C5415" w:rsidRPr="008B0EF4">
        <w:rPr>
          <w:rFonts w:eastAsia="Times New Roman"/>
        </w:rPr>
        <w:t xml:space="preserve"> </w:t>
      </w:r>
      <w:r w:rsidR="00112363" w:rsidRPr="008B0EF4">
        <w:rPr>
          <w:rFonts w:eastAsia="Times New Roman"/>
        </w:rPr>
        <w:t xml:space="preserve">girls and </w:t>
      </w:r>
      <w:r w:rsidR="005C5415">
        <w:rPr>
          <w:rFonts w:eastAsia="Times New Roman"/>
        </w:rPr>
        <w:t>1</w:t>
      </w:r>
      <w:r w:rsidR="005C5415" w:rsidRPr="008B0EF4">
        <w:rPr>
          <w:rFonts w:eastAsia="Times New Roman"/>
        </w:rPr>
        <w:t xml:space="preserve"> </w:t>
      </w:r>
      <w:r w:rsidR="00112363" w:rsidRPr="008B0EF4">
        <w:rPr>
          <w:rFonts w:eastAsia="Times New Roman"/>
        </w:rPr>
        <w:t xml:space="preserve">boy, and injured at least </w:t>
      </w:r>
      <w:r w:rsidR="003705CE" w:rsidRPr="008B0EF4">
        <w:rPr>
          <w:rFonts w:eastAsia="Times New Roman"/>
        </w:rPr>
        <w:t>109</w:t>
      </w:r>
      <w:r w:rsidR="00112363" w:rsidRPr="008B0EF4">
        <w:rPr>
          <w:rFonts w:eastAsia="Times New Roman"/>
        </w:rPr>
        <w:t xml:space="preserve">, including 18 children and 15 women. At least </w:t>
      </w:r>
      <w:r w:rsidR="005C5415">
        <w:rPr>
          <w:rFonts w:eastAsia="Times New Roman"/>
        </w:rPr>
        <w:t>2</w:t>
      </w:r>
      <w:r w:rsidR="005C5415" w:rsidRPr="008B0EF4">
        <w:rPr>
          <w:rFonts w:eastAsia="Times New Roman"/>
        </w:rPr>
        <w:t xml:space="preserve"> </w:t>
      </w:r>
      <w:r w:rsidR="00112363" w:rsidRPr="008B0EF4">
        <w:rPr>
          <w:rFonts w:eastAsia="Times New Roman"/>
        </w:rPr>
        <w:t xml:space="preserve">four-storey residential buildings and 25 shops </w:t>
      </w:r>
      <w:proofErr w:type="gramStart"/>
      <w:r w:rsidR="00112363" w:rsidRPr="008B0EF4">
        <w:rPr>
          <w:rFonts w:eastAsia="Times New Roman"/>
        </w:rPr>
        <w:t>were destroyed</w:t>
      </w:r>
      <w:proofErr w:type="gramEnd"/>
      <w:r w:rsidR="00112363" w:rsidRPr="008B0EF4">
        <w:rPr>
          <w:rFonts w:eastAsia="Times New Roman"/>
        </w:rPr>
        <w:t xml:space="preserve">. </w:t>
      </w:r>
      <w:r w:rsidR="00413F8A" w:rsidRPr="00413F8A">
        <w:rPr>
          <w:rFonts w:eastAsia="Times New Roman"/>
        </w:rPr>
        <w:t>A</w:t>
      </w:r>
      <w:r w:rsidR="00112363" w:rsidRPr="00413F8A">
        <w:rPr>
          <w:rFonts w:eastAsia="Times New Roman"/>
        </w:rPr>
        <w:t>l-</w:t>
      </w:r>
      <w:proofErr w:type="spellStart"/>
      <w:r w:rsidR="00112363" w:rsidRPr="00413F8A">
        <w:rPr>
          <w:rFonts w:eastAsia="Times New Roman"/>
        </w:rPr>
        <w:t>Quza'iz</w:t>
      </w:r>
      <w:proofErr w:type="spellEnd"/>
      <w:r w:rsidR="00112363" w:rsidRPr="00413F8A">
        <w:rPr>
          <w:rFonts w:eastAsia="Times New Roman"/>
        </w:rPr>
        <w:t xml:space="preserve"> School,</w:t>
      </w:r>
      <w:r w:rsidR="00112363" w:rsidRPr="008B0EF4">
        <w:rPr>
          <w:rFonts w:eastAsia="Times New Roman"/>
        </w:rPr>
        <w:t xml:space="preserve"> located some 700</w:t>
      </w:r>
      <w:r w:rsidR="005C5415">
        <w:rPr>
          <w:rFonts w:eastAsia="Times New Roman"/>
        </w:rPr>
        <w:t> </w:t>
      </w:r>
      <w:r w:rsidR="00112363" w:rsidRPr="008B0EF4">
        <w:rPr>
          <w:rFonts w:eastAsia="Times New Roman"/>
        </w:rPr>
        <w:t xml:space="preserve">m from the market, </w:t>
      </w:r>
      <w:proofErr w:type="gramStart"/>
      <w:r w:rsidR="00112363" w:rsidRPr="008B0EF4">
        <w:rPr>
          <w:rFonts w:eastAsia="Times New Roman"/>
        </w:rPr>
        <w:t>was also damaged</w:t>
      </w:r>
      <w:proofErr w:type="gramEnd"/>
      <w:r w:rsidR="00112363" w:rsidRPr="008B0EF4">
        <w:rPr>
          <w:rFonts w:eastAsia="Times New Roman"/>
        </w:rPr>
        <w:t xml:space="preserve">. Witnesses </w:t>
      </w:r>
      <w:r w:rsidR="005C5415">
        <w:rPr>
          <w:rFonts w:eastAsia="Times New Roman"/>
        </w:rPr>
        <w:t>recounted</w:t>
      </w:r>
      <w:r w:rsidR="005C5415" w:rsidRPr="008B0EF4">
        <w:rPr>
          <w:rFonts w:eastAsia="Times New Roman"/>
        </w:rPr>
        <w:t xml:space="preserve"> </w:t>
      </w:r>
      <w:r w:rsidR="00112363" w:rsidRPr="008B0EF4">
        <w:rPr>
          <w:rFonts w:eastAsia="Times New Roman"/>
        </w:rPr>
        <w:t xml:space="preserve">that there were no military objectives </w:t>
      </w:r>
      <w:proofErr w:type="gramStart"/>
      <w:r w:rsidR="00112363" w:rsidRPr="008B0EF4">
        <w:rPr>
          <w:rFonts w:eastAsia="Times New Roman"/>
        </w:rPr>
        <w:t>in the vicinity of</w:t>
      </w:r>
      <w:proofErr w:type="gramEnd"/>
      <w:r w:rsidR="00112363" w:rsidRPr="008B0EF4">
        <w:rPr>
          <w:rFonts w:eastAsia="Times New Roman"/>
        </w:rPr>
        <w:t xml:space="preserve"> the market.  </w:t>
      </w:r>
    </w:p>
    <w:p w14:paraId="5CB932FB" w14:textId="461048DE" w:rsidR="00112363" w:rsidRPr="008B0EF4" w:rsidRDefault="001D6B13" w:rsidP="0062347E">
      <w:pPr>
        <w:spacing w:after="120" w:line="240" w:lineRule="atLeast"/>
        <w:ind w:left="1134" w:right="1134"/>
        <w:jc w:val="both"/>
        <w:rPr>
          <w:rFonts w:eastAsia="Times New Roman"/>
        </w:rPr>
      </w:pPr>
      <w:r w:rsidRPr="008B0EF4">
        <w:rPr>
          <w:rFonts w:eastAsia="Times New Roman"/>
        </w:rPr>
        <w:t>23</w:t>
      </w:r>
      <w:r w:rsidR="00112363" w:rsidRPr="008B0EF4">
        <w:rPr>
          <w:rFonts w:eastAsia="Times New Roman"/>
        </w:rPr>
        <w:t>.</w:t>
      </w:r>
      <w:r w:rsidR="0086073A" w:rsidRPr="008B0EF4">
        <w:rPr>
          <w:rFonts w:eastAsia="Times New Roman"/>
        </w:rPr>
        <w:tab/>
      </w:r>
      <w:r w:rsidR="00112363" w:rsidRPr="008B0EF4">
        <w:rPr>
          <w:rFonts w:eastAsia="Times New Roman"/>
        </w:rPr>
        <w:t>Civilians and rescuers rushed to the market</w:t>
      </w:r>
      <w:r w:rsidR="004E3FF9" w:rsidRPr="008B0EF4">
        <w:rPr>
          <w:rFonts w:eastAsia="Times New Roman"/>
        </w:rPr>
        <w:t xml:space="preserve"> after the attack</w:t>
      </w:r>
      <w:r w:rsidR="00112363" w:rsidRPr="008B0EF4">
        <w:rPr>
          <w:rFonts w:eastAsia="Times New Roman"/>
        </w:rPr>
        <w:t>. Within minutes, however, at around 8.35 a.m., a “double-tap” air</w:t>
      </w:r>
      <w:r w:rsidR="009443AF">
        <w:rPr>
          <w:rFonts w:eastAsia="Times New Roman"/>
        </w:rPr>
        <w:t xml:space="preserve"> </w:t>
      </w:r>
      <w:r w:rsidR="00112363" w:rsidRPr="008B0EF4">
        <w:rPr>
          <w:rFonts w:eastAsia="Times New Roman"/>
        </w:rPr>
        <w:t xml:space="preserve">strike hit the same area, killing </w:t>
      </w:r>
      <w:r w:rsidR="00822778">
        <w:rPr>
          <w:rFonts w:eastAsia="Times New Roman"/>
        </w:rPr>
        <w:t xml:space="preserve">scores of civilians, including </w:t>
      </w:r>
      <w:r w:rsidR="00112363" w:rsidRPr="008B0EF4">
        <w:rPr>
          <w:rFonts w:eastAsia="Times New Roman"/>
        </w:rPr>
        <w:t xml:space="preserve">a </w:t>
      </w:r>
      <w:r w:rsidR="00822778">
        <w:rPr>
          <w:rFonts w:eastAsia="Times New Roman"/>
        </w:rPr>
        <w:t xml:space="preserve">member of the </w:t>
      </w:r>
      <w:r w:rsidR="00112363" w:rsidRPr="008B0EF4">
        <w:rPr>
          <w:rFonts w:eastAsia="Times New Roman"/>
        </w:rPr>
        <w:t xml:space="preserve">rescue team. Medical staff described how victims </w:t>
      </w:r>
      <w:proofErr w:type="gramStart"/>
      <w:r w:rsidR="005C5415">
        <w:rPr>
          <w:rFonts w:eastAsia="Times New Roman"/>
        </w:rPr>
        <w:t>had been</w:t>
      </w:r>
      <w:r w:rsidR="005C5415" w:rsidRPr="008B0EF4">
        <w:rPr>
          <w:rFonts w:eastAsia="Times New Roman"/>
        </w:rPr>
        <w:t xml:space="preserve"> </w:t>
      </w:r>
      <w:r w:rsidR="00112363" w:rsidRPr="008B0EF4">
        <w:rPr>
          <w:rFonts w:eastAsia="Times New Roman"/>
        </w:rPr>
        <w:t>brought</w:t>
      </w:r>
      <w:proofErr w:type="gramEnd"/>
      <w:r w:rsidR="00112363" w:rsidRPr="008B0EF4">
        <w:rPr>
          <w:rFonts w:eastAsia="Times New Roman"/>
        </w:rPr>
        <w:t xml:space="preserve"> to a nearby hospital with missing limbs, while others </w:t>
      </w:r>
      <w:r w:rsidR="009630A2">
        <w:rPr>
          <w:rFonts w:eastAsia="Times New Roman"/>
        </w:rPr>
        <w:t xml:space="preserve">had </w:t>
      </w:r>
      <w:r w:rsidR="00112363" w:rsidRPr="008B0EF4">
        <w:rPr>
          <w:rFonts w:eastAsia="Times New Roman"/>
        </w:rPr>
        <w:t>arrived in va</w:t>
      </w:r>
      <w:r w:rsidR="0062347E" w:rsidRPr="008B0EF4">
        <w:rPr>
          <w:rFonts w:eastAsia="Times New Roman"/>
        </w:rPr>
        <w:t>rious stages of disfigurement. T</w:t>
      </w:r>
      <w:r w:rsidR="00112363" w:rsidRPr="008B0EF4">
        <w:rPr>
          <w:rFonts w:eastAsia="Times New Roman"/>
        </w:rPr>
        <w:t xml:space="preserve">he Russian Ministry of Defence denied that their aircraft </w:t>
      </w:r>
      <w:r w:rsidR="009630A2">
        <w:rPr>
          <w:rFonts w:eastAsia="Times New Roman"/>
        </w:rPr>
        <w:t>had been</w:t>
      </w:r>
      <w:r w:rsidR="009630A2" w:rsidRPr="008B0EF4">
        <w:rPr>
          <w:rFonts w:eastAsia="Times New Roman"/>
        </w:rPr>
        <w:t xml:space="preserve"> </w:t>
      </w:r>
      <w:r w:rsidR="00112363" w:rsidRPr="008B0EF4">
        <w:rPr>
          <w:rFonts w:eastAsia="Times New Roman"/>
        </w:rPr>
        <w:t>present in the area on 22 July.</w:t>
      </w:r>
      <w:r w:rsidR="007B2828" w:rsidRPr="008B0EF4">
        <w:rPr>
          <w:rStyle w:val="FootnoteReference"/>
          <w:rFonts w:eastAsia="Times New Roman"/>
        </w:rPr>
        <w:footnoteReference w:id="13"/>
      </w:r>
    </w:p>
    <w:p w14:paraId="47E5B242" w14:textId="26F0937E" w:rsidR="00112363" w:rsidRPr="008B0EF4" w:rsidRDefault="001D6B13" w:rsidP="00112363">
      <w:pPr>
        <w:spacing w:after="120" w:line="240" w:lineRule="atLeast"/>
        <w:ind w:left="1134" w:right="1134"/>
        <w:jc w:val="both"/>
        <w:rPr>
          <w:rFonts w:eastAsia="Times New Roman"/>
        </w:rPr>
      </w:pPr>
      <w:r w:rsidRPr="008B0EF4">
        <w:rPr>
          <w:rFonts w:eastAsia="Times New Roman"/>
        </w:rPr>
        <w:t>24</w:t>
      </w:r>
      <w:r w:rsidR="006A33EC" w:rsidRPr="008B0EF4">
        <w:rPr>
          <w:rFonts w:eastAsia="Times New Roman"/>
        </w:rPr>
        <w:t>.</w:t>
      </w:r>
      <w:r w:rsidR="0086073A" w:rsidRPr="008B0EF4">
        <w:rPr>
          <w:rFonts w:eastAsia="Times New Roman"/>
        </w:rPr>
        <w:tab/>
      </w:r>
      <w:r w:rsidR="00112363" w:rsidRPr="008B0EF4">
        <w:rPr>
          <w:rFonts w:eastAsia="Times New Roman"/>
        </w:rPr>
        <w:t>On 16 August, between 7.15 and 7.30 p.m., air</w:t>
      </w:r>
      <w:r w:rsidR="009443AF">
        <w:rPr>
          <w:rFonts w:eastAsia="Times New Roman"/>
        </w:rPr>
        <w:t xml:space="preserve"> </w:t>
      </w:r>
      <w:r w:rsidR="00112363" w:rsidRPr="008B0EF4">
        <w:rPr>
          <w:rFonts w:eastAsia="Times New Roman"/>
        </w:rPr>
        <w:t xml:space="preserve">strikes struck a compound for displaced civilians </w:t>
      </w:r>
      <w:r w:rsidR="00112363" w:rsidRPr="00BC5700">
        <w:rPr>
          <w:rFonts w:eastAsia="Times New Roman"/>
        </w:rPr>
        <w:t xml:space="preserve">located approximately </w:t>
      </w:r>
      <w:r w:rsidR="009630A2" w:rsidRPr="00BC5700">
        <w:rPr>
          <w:rFonts w:eastAsia="Times New Roman"/>
        </w:rPr>
        <w:t>2 km</w:t>
      </w:r>
      <w:r w:rsidR="00112363" w:rsidRPr="00BC5700">
        <w:rPr>
          <w:rFonts w:eastAsia="Times New Roman"/>
        </w:rPr>
        <w:t xml:space="preserve"> from Haas. The compound </w:t>
      </w:r>
      <w:proofErr w:type="gramStart"/>
      <w:r w:rsidR="00112363" w:rsidRPr="00BC5700">
        <w:rPr>
          <w:rFonts w:eastAsia="Times New Roman"/>
        </w:rPr>
        <w:t xml:space="preserve">was </w:t>
      </w:r>
      <w:r w:rsidR="004E3FF9" w:rsidRPr="00BC5700">
        <w:rPr>
          <w:rFonts w:eastAsia="Times New Roman"/>
        </w:rPr>
        <w:t>situated</w:t>
      </w:r>
      <w:proofErr w:type="gramEnd"/>
      <w:r w:rsidR="004E3FF9" w:rsidRPr="00BC5700">
        <w:rPr>
          <w:rFonts w:eastAsia="Times New Roman"/>
        </w:rPr>
        <w:t xml:space="preserve"> </w:t>
      </w:r>
      <w:r w:rsidR="00112363" w:rsidRPr="00BC5700">
        <w:rPr>
          <w:rFonts w:eastAsia="Times New Roman"/>
        </w:rPr>
        <w:t xml:space="preserve">in a rural area, surrounded by agricultural fields, between </w:t>
      </w:r>
      <w:proofErr w:type="spellStart"/>
      <w:r w:rsidR="00112363" w:rsidRPr="00BC5700">
        <w:rPr>
          <w:rFonts w:eastAsia="Times New Roman"/>
        </w:rPr>
        <w:t>Kafr</w:t>
      </w:r>
      <w:proofErr w:type="spellEnd"/>
      <w:r w:rsidR="00112363" w:rsidRPr="00BC5700">
        <w:rPr>
          <w:rFonts w:eastAsia="Times New Roman"/>
        </w:rPr>
        <w:t xml:space="preserve"> Roma and Haas in southern</w:t>
      </w:r>
      <w:r w:rsidR="00112363" w:rsidRPr="008B0EF4">
        <w:rPr>
          <w:rFonts w:eastAsia="Times New Roman"/>
        </w:rPr>
        <w:t xml:space="preserve"> </w:t>
      </w:r>
      <w:proofErr w:type="spellStart"/>
      <w:r w:rsidR="00112363" w:rsidRPr="008B0EF4">
        <w:rPr>
          <w:rFonts w:eastAsia="Times New Roman"/>
        </w:rPr>
        <w:t>Idlib</w:t>
      </w:r>
      <w:proofErr w:type="spellEnd"/>
      <w:r w:rsidR="00112363" w:rsidRPr="008B0EF4">
        <w:rPr>
          <w:rFonts w:eastAsia="Times New Roman"/>
        </w:rPr>
        <w:t xml:space="preserve">, with interviewees recalling that no military </w:t>
      </w:r>
      <w:r w:rsidR="00822778" w:rsidRPr="008B0EF4">
        <w:rPr>
          <w:rFonts w:eastAsia="Times New Roman"/>
        </w:rPr>
        <w:t>object</w:t>
      </w:r>
      <w:r w:rsidR="00822778">
        <w:rPr>
          <w:rFonts w:eastAsia="Times New Roman"/>
        </w:rPr>
        <w:t>ives</w:t>
      </w:r>
      <w:r w:rsidR="00822778" w:rsidRPr="008B0EF4">
        <w:rPr>
          <w:rFonts w:eastAsia="Times New Roman"/>
        </w:rPr>
        <w:t xml:space="preserve"> </w:t>
      </w:r>
      <w:r w:rsidR="00112363" w:rsidRPr="008B0EF4">
        <w:rPr>
          <w:rFonts w:eastAsia="Times New Roman"/>
        </w:rPr>
        <w:t>were nearby. The attack killed 20 people</w:t>
      </w:r>
      <w:r w:rsidR="009630A2">
        <w:rPr>
          <w:rFonts w:eastAsia="Times New Roman"/>
        </w:rPr>
        <w:t>,</w:t>
      </w:r>
      <w:r w:rsidR="00112363" w:rsidRPr="008B0EF4">
        <w:rPr>
          <w:rFonts w:eastAsia="Times New Roman"/>
        </w:rPr>
        <w:t xml:space="preserve"> including </w:t>
      </w:r>
      <w:proofErr w:type="gramStart"/>
      <w:r w:rsidR="009630A2">
        <w:rPr>
          <w:rFonts w:eastAsia="Times New Roman"/>
        </w:rPr>
        <w:t>8</w:t>
      </w:r>
      <w:proofErr w:type="gramEnd"/>
      <w:r w:rsidR="009630A2" w:rsidRPr="008B0EF4">
        <w:rPr>
          <w:rFonts w:eastAsia="Times New Roman"/>
        </w:rPr>
        <w:t xml:space="preserve"> </w:t>
      </w:r>
      <w:r w:rsidR="00112363" w:rsidRPr="008B0EF4">
        <w:rPr>
          <w:rFonts w:eastAsia="Times New Roman"/>
        </w:rPr>
        <w:t xml:space="preserve">women, one of whom was pregnant, </w:t>
      </w:r>
      <w:r w:rsidR="009630A2">
        <w:rPr>
          <w:rFonts w:eastAsia="Times New Roman"/>
        </w:rPr>
        <w:t>and 6</w:t>
      </w:r>
      <w:r w:rsidR="009630A2" w:rsidRPr="008B0EF4">
        <w:rPr>
          <w:rFonts w:eastAsia="Times New Roman"/>
        </w:rPr>
        <w:t xml:space="preserve"> </w:t>
      </w:r>
      <w:r w:rsidR="00112363" w:rsidRPr="008B0EF4">
        <w:rPr>
          <w:rFonts w:eastAsia="Times New Roman"/>
        </w:rPr>
        <w:t>children, and injured at least 40 others. The air</w:t>
      </w:r>
      <w:r w:rsidR="009443AF">
        <w:rPr>
          <w:rFonts w:eastAsia="Times New Roman"/>
        </w:rPr>
        <w:t xml:space="preserve"> </w:t>
      </w:r>
      <w:r w:rsidR="00112363" w:rsidRPr="008B0EF4">
        <w:rPr>
          <w:rFonts w:eastAsia="Times New Roman"/>
        </w:rPr>
        <w:t xml:space="preserve">strike caused substantial damage to the area, including to an adjacent square surrounded by commercial vendors. At least two residential buildings and a food storage room </w:t>
      </w:r>
      <w:proofErr w:type="gramStart"/>
      <w:r w:rsidR="00112363" w:rsidRPr="008B0EF4">
        <w:rPr>
          <w:rFonts w:eastAsia="Times New Roman"/>
        </w:rPr>
        <w:t>were destroyed</w:t>
      </w:r>
      <w:proofErr w:type="gramEnd"/>
      <w:r w:rsidR="00112363" w:rsidRPr="008B0EF4">
        <w:rPr>
          <w:rFonts w:eastAsia="Times New Roman"/>
        </w:rPr>
        <w:t xml:space="preserve">, while the school and the camp medical centre were damaged. </w:t>
      </w:r>
    </w:p>
    <w:p w14:paraId="51F4571B" w14:textId="05901E99" w:rsidR="00112363" w:rsidRPr="008B0EF4" w:rsidRDefault="001D6B13" w:rsidP="00112363">
      <w:pPr>
        <w:spacing w:after="120" w:line="240" w:lineRule="atLeast"/>
        <w:ind w:left="1134" w:right="1134"/>
        <w:jc w:val="both"/>
        <w:rPr>
          <w:rFonts w:eastAsia="Times New Roman"/>
          <w:szCs w:val="18"/>
        </w:rPr>
      </w:pPr>
      <w:r w:rsidRPr="008B0EF4">
        <w:rPr>
          <w:rFonts w:eastAsia="Times New Roman"/>
          <w:szCs w:val="18"/>
        </w:rPr>
        <w:t>25</w:t>
      </w:r>
      <w:r w:rsidR="006A33EC" w:rsidRPr="008B0EF4">
        <w:rPr>
          <w:rFonts w:eastAsia="Times New Roman"/>
          <w:szCs w:val="18"/>
        </w:rPr>
        <w:t>.</w:t>
      </w:r>
      <w:r w:rsidR="0086073A" w:rsidRPr="008B0EF4">
        <w:rPr>
          <w:rFonts w:eastAsia="Times New Roman"/>
          <w:szCs w:val="18"/>
        </w:rPr>
        <w:tab/>
      </w:r>
      <w:r w:rsidR="00112363" w:rsidRPr="008B0EF4">
        <w:rPr>
          <w:rFonts w:eastAsia="Calibri"/>
          <w:szCs w:val="18"/>
        </w:rPr>
        <w:t xml:space="preserve">Based on the evidence available, including </w:t>
      </w:r>
      <w:r w:rsidR="00112363" w:rsidRPr="008B0EF4">
        <w:rPr>
          <w:rFonts w:eastAsia="Times New Roman"/>
        </w:rPr>
        <w:t>witness testimonies, video footage, data imagery as well as reports by flight spotters, flight communication intercepts and early warning observation reports</w:t>
      </w:r>
      <w:r w:rsidR="00112363" w:rsidRPr="008B0EF4">
        <w:rPr>
          <w:rFonts w:eastAsia="Calibri"/>
          <w:szCs w:val="18"/>
        </w:rPr>
        <w:t>, the Commission has reasonable grounds to believe that a Russian aircraft participated in each incident described above. In both incidents</w:t>
      </w:r>
      <w:r w:rsidR="009630A2">
        <w:rPr>
          <w:rFonts w:eastAsia="Calibri"/>
          <w:szCs w:val="18"/>
        </w:rPr>
        <w:t>,</w:t>
      </w:r>
      <w:r w:rsidR="00112363" w:rsidRPr="008B0EF4">
        <w:rPr>
          <w:rFonts w:eastAsia="Calibri"/>
          <w:szCs w:val="18"/>
        </w:rPr>
        <w:t xml:space="preserve"> the Russian Air Force </w:t>
      </w:r>
      <w:r w:rsidR="00112363" w:rsidRPr="008B0EF4">
        <w:rPr>
          <w:rFonts w:eastAsia="Calibri"/>
        </w:rPr>
        <w:t xml:space="preserve">did not direct the attacks at a specific military objective, amounting to the war crime of launching indiscriminate attacks in </w:t>
      </w:r>
      <w:r w:rsidR="00112363" w:rsidRPr="00BC5700">
        <w:rPr>
          <w:rFonts w:eastAsia="Calibri"/>
        </w:rPr>
        <w:t xml:space="preserve">civilian areas (see </w:t>
      </w:r>
      <w:r w:rsidR="009630A2" w:rsidRPr="00BC5700">
        <w:rPr>
          <w:rFonts w:eastAsia="Calibri"/>
        </w:rPr>
        <w:t xml:space="preserve">annex </w:t>
      </w:r>
      <w:r w:rsidR="00112363" w:rsidRPr="00BC5700">
        <w:rPr>
          <w:rFonts w:eastAsia="Calibri"/>
        </w:rPr>
        <w:t>II for a</w:t>
      </w:r>
      <w:r w:rsidR="00112363" w:rsidRPr="008B0EF4">
        <w:rPr>
          <w:rFonts w:eastAsia="Calibri"/>
        </w:rPr>
        <w:t xml:space="preserve"> detailed description of the attacks).</w:t>
      </w:r>
      <w:r w:rsidR="005E4A11" w:rsidRPr="008B0EF4">
        <w:rPr>
          <w:rStyle w:val="FootnoteReference"/>
          <w:rFonts w:eastAsia="Calibri"/>
        </w:rPr>
        <w:footnoteReference w:id="14"/>
      </w:r>
      <w:r w:rsidR="00112363" w:rsidRPr="008B0EF4">
        <w:rPr>
          <w:rFonts w:eastAsia="Calibri"/>
        </w:rPr>
        <w:t xml:space="preserve"> </w:t>
      </w:r>
    </w:p>
    <w:p w14:paraId="25BE8B70" w14:textId="4B7EDCE1" w:rsidR="00112363" w:rsidRPr="00C36423" w:rsidRDefault="001D6B13" w:rsidP="00112363">
      <w:pPr>
        <w:spacing w:after="120" w:line="240" w:lineRule="atLeast"/>
        <w:ind w:left="1134" w:right="1134"/>
        <w:jc w:val="both"/>
        <w:rPr>
          <w:rFonts w:eastAsia="Times New Roman"/>
        </w:rPr>
      </w:pPr>
      <w:r w:rsidRPr="008B0EF4">
        <w:rPr>
          <w:rFonts w:eastAsia="Times New Roman"/>
        </w:rPr>
        <w:t>26</w:t>
      </w:r>
      <w:r w:rsidR="006A33EC" w:rsidRPr="008B0EF4">
        <w:rPr>
          <w:rFonts w:eastAsia="Times New Roman"/>
        </w:rPr>
        <w:t>.</w:t>
      </w:r>
      <w:r w:rsidR="0086073A" w:rsidRPr="008B0EF4">
        <w:rPr>
          <w:rFonts w:eastAsia="Times New Roman"/>
        </w:rPr>
        <w:tab/>
      </w:r>
      <w:r w:rsidR="00112363" w:rsidRPr="008B0EF4">
        <w:rPr>
          <w:rFonts w:eastAsia="Times New Roman"/>
        </w:rPr>
        <w:t xml:space="preserve">As violence escalated, and </w:t>
      </w:r>
      <w:r w:rsidR="00B87342">
        <w:rPr>
          <w:rFonts w:eastAsia="Times New Roman"/>
        </w:rPr>
        <w:t>pro-g</w:t>
      </w:r>
      <w:r w:rsidR="00112363" w:rsidRPr="008B0EF4">
        <w:rPr>
          <w:rFonts w:eastAsia="Times New Roman"/>
        </w:rPr>
        <w:t xml:space="preserve">overnment forces consolidated power over strategic areas in southern </w:t>
      </w:r>
      <w:proofErr w:type="spellStart"/>
      <w:r w:rsidR="00112363" w:rsidRPr="00CF1F5E">
        <w:rPr>
          <w:rFonts w:eastAsia="Times New Roman"/>
        </w:rPr>
        <w:t>Idlib</w:t>
      </w:r>
      <w:proofErr w:type="spellEnd"/>
      <w:r w:rsidR="00112363" w:rsidRPr="00CF1F5E">
        <w:rPr>
          <w:rFonts w:eastAsia="Times New Roman"/>
        </w:rPr>
        <w:t xml:space="preserve">, civilians fled </w:t>
      </w:r>
      <w:proofErr w:type="spellStart"/>
      <w:r w:rsidR="00112363" w:rsidRPr="00D6133C">
        <w:rPr>
          <w:rFonts w:eastAsia="Times New Roman"/>
          <w:iCs/>
        </w:rPr>
        <w:t>en</w:t>
      </w:r>
      <w:proofErr w:type="spellEnd"/>
      <w:r w:rsidR="00112363" w:rsidRPr="00D6133C">
        <w:rPr>
          <w:rFonts w:eastAsia="Times New Roman"/>
          <w:iCs/>
        </w:rPr>
        <w:t xml:space="preserve"> masse</w:t>
      </w:r>
      <w:r w:rsidR="00112363" w:rsidRPr="00CF1F5E">
        <w:rPr>
          <w:rFonts w:eastAsia="Times New Roman"/>
        </w:rPr>
        <w:t xml:space="preserve">, leaving Khan </w:t>
      </w:r>
      <w:proofErr w:type="spellStart"/>
      <w:r w:rsidR="00BC5700" w:rsidRPr="00D6133C">
        <w:rPr>
          <w:rFonts w:eastAsia="Times New Roman"/>
        </w:rPr>
        <w:t>Shaykhun</w:t>
      </w:r>
      <w:proofErr w:type="spellEnd"/>
      <w:r w:rsidR="00112363" w:rsidRPr="00CF1F5E">
        <w:rPr>
          <w:rFonts w:eastAsia="Times New Roman"/>
        </w:rPr>
        <w:t xml:space="preserve">, </w:t>
      </w:r>
      <w:proofErr w:type="spellStart"/>
      <w:proofErr w:type="gramStart"/>
      <w:r w:rsidR="00112363" w:rsidRPr="00CF1F5E">
        <w:rPr>
          <w:rFonts w:eastAsia="Times New Roman"/>
        </w:rPr>
        <w:t>Kafr</w:t>
      </w:r>
      <w:proofErr w:type="spellEnd"/>
      <w:proofErr w:type="gramEnd"/>
      <w:r w:rsidR="00112363" w:rsidRPr="00CF1F5E">
        <w:rPr>
          <w:rFonts w:eastAsia="Times New Roman"/>
        </w:rPr>
        <w:t xml:space="preserve"> </w:t>
      </w:r>
      <w:proofErr w:type="spellStart"/>
      <w:r w:rsidR="00112363" w:rsidRPr="00CF1F5E">
        <w:rPr>
          <w:rFonts w:eastAsia="Times New Roman"/>
        </w:rPr>
        <w:t>Nu</w:t>
      </w:r>
      <w:r w:rsidR="00BC5700" w:rsidRPr="00D6133C">
        <w:rPr>
          <w:rFonts w:eastAsia="Times New Roman"/>
        </w:rPr>
        <w:t>b</w:t>
      </w:r>
      <w:r w:rsidR="00112363" w:rsidRPr="00CF1F5E">
        <w:rPr>
          <w:rFonts w:eastAsia="Times New Roman"/>
        </w:rPr>
        <w:t>l</w:t>
      </w:r>
      <w:proofErr w:type="spellEnd"/>
      <w:r w:rsidR="00112363" w:rsidRPr="00CF1F5E">
        <w:rPr>
          <w:rFonts w:eastAsia="Times New Roman"/>
        </w:rPr>
        <w:t xml:space="preserve"> and – later in December </w:t>
      </w:r>
      <w:r w:rsidR="00112363" w:rsidRPr="007B3199">
        <w:rPr>
          <w:rFonts w:eastAsia="Times New Roman"/>
        </w:rPr>
        <w:t xml:space="preserve">– </w:t>
      </w:r>
      <w:proofErr w:type="spellStart"/>
      <w:r w:rsidR="005602D6" w:rsidRPr="007B3199">
        <w:t>Ma‘arrat</w:t>
      </w:r>
      <w:proofErr w:type="spellEnd"/>
      <w:r w:rsidR="005602D6" w:rsidRPr="007B3199">
        <w:t xml:space="preserve"> al-</w:t>
      </w:r>
      <w:proofErr w:type="spellStart"/>
      <w:r w:rsidR="005602D6" w:rsidRPr="007B3199">
        <w:t>Nu‘man</w:t>
      </w:r>
      <w:proofErr w:type="spellEnd"/>
      <w:r w:rsidR="005602D6" w:rsidRPr="007B3199">
        <w:t xml:space="preserve"> </w:t>
      </w:r>
      <w:r w:rsidR="00112363" w:rsidRPr="007B3199">
        <w:rPr>
          <w:rFonts w:eastAsia="Times New Roman"/>
        </w:rPr>
        <w:t>and Khan al-</w:t>
      </w:r>
      <w:proofErr w:type="spellStart"/>
      <w:r w:rsidR="00112363" w:rsidRPr="007B3199">
        <w:rPr>
          <w:rFonts w:eastAsia="Times New Roman"/>
        </w:rPr>
        <w:t>Soubul</w:t>
      </w:r>
      <w:proofErr w:type="spellEnd"/>
      <w:r w:rsidR="00112363" w:rsidRPr="007B3199">
        <w:rPr>
          <w:rFonts w:eastAsia="Times New Roman"/>
        </w:rPr>
        <w:t xml:space="preserve"> almost completely depopulated. Schools in </w:t>
      </w:r>
      <w:proofErr w:type="spellStart"/>
      <w:r w:rsidR="00112363" w:rsidRPr="007B3199">
        <w:rPr>
          <w:rFonts w:eastAsia="Times New Roman"/>
        </w:rPr>
        <w:t>Janudiya</w:t>
      </w:r>
      <w:r w:rsidR="00CF1F5E" w:rsidRPr="007B3199">
        <w:rPr>
          <w:rFonts w:eastAsia="Times New Roman"/>
        </w:rPr>
        <w:t>h</w:t>
      </w:r>
      <w:proofErr w:type="spellEnd"/>
      <w:r w:rsidR="00112363" w:rsidRPr="007B3199">
        <w:rPr>
          <w:rFonts w:eastAsia="Times New Roman"/>
        </w:rPr>
        <w:t xml:space="preserve"> village in </w:t>
      </w:r>
      <w:proofErr w:type="spellStart"/>
      <w:r w:rsidR="00CF1F5E" w:rsidRPr="007B3199">
        <w:t>Jisr</w:t>
      </w:r>
      <w:proofErr w:type="spellEnd"/>
      <w:r w:rsidR="00CF1F5E" w:rsidRPr="007B3199">
        <w:t xml:space="preserve"> al-</w:t>
      </w:r>
      <w:proofErr w:type="spellStart"/>
      <w:r w:rsidR="00CF1F5E" w:rsidRPr="007B3199">
        <w:t>Shughur</w:t>
      </w:r>
      <w:proofErr w:type="spellEnd"/>
      <w:r w:rsidR="00CF1F5E" w:rsidRPr="007B3199">
        <w:t xml:space="preserve"> </w:t>
      </w:r>
      <w:r w:rsidR="00112363" w:rsidRPr="007B3199">
        <w:rPr>
          <w:rFonts w:eastAsia="Times New Roman"/>
        </w:rPr>
        <w:t xml:space="preserve">became shelters for at least 6,500 civilians fleeing areas retaken by </w:t>
      </w:r>
      <w:r w:rsidR="00B87342" w:rsidRPr="007B3199">
        <w:rPr>
          <w:rFonts w:eastAsia="Times New Roman"/>
        </w:rPr>
        <w:t>pro-g</w:t>
      </w:r>
      <w:r w:rsidR="00112363" w:rsidRPr="007B3199">
        <w:rPr>
          <w:rFonts w:eastAsia="Times New Roman"/>
        </w:rPr>
        <w:t xml:space="preserve">overnment forces. On 20 November, 16 civilians, including 11 children, </w:t>
      </w:r>
      <w:proofErr w:type="gramStart"/>
      <w:r w:rsidR="00112363" w:rsidRPr="007B3199">
        <w:rPr>
          <w:rFonts w:eastAsia="Times New Roman"/>
        </w:rPr>
        <w:t>were killed</w:t>
      </w:r>
      <w:proofErr w:type="gramEnd"/>
      <w:r w:rsidR="00112363" w:rsidRPr="007B3199">
        <w:rPr>
          <w:rFonts w:eastAsia="Times New Roman"/>
        </w:rPr>
        <w:t xml:space="preserve"> and 30 were injured when pro-</w:t>
      </w:r>
      <w:r w:rsidR="00B87342" w:rsidRPr="007B3199">
        <w:rPr>
          <w:rFonts w:eastAsia="Times New Roman"/>
        </w:rPr>
        <w:t xml:space="preserve">government </w:t>
      </w:r>
      <w:r w:rsidR="00112363" w:rsidRPr="007B3199">
        <w:rPr>
          <w:rFonts w:eastAsia="Times New Roman"/>
        </w:rPr>
        <w:t xml:space="preserve">forces launched a surface-to-surface missile attack consisting of cluster munitions that struck a camp for displaced persons adjacent to </w:t>
      </w:r>
      <w:proofErr w:type="spellStart"/>
      <w:r w:rsidR="00112363" w:rsidRPr="007B3199">
        <w:rPr>
          <w:rFonts w:eastAsia="Times New Roman"/>
        </w:rPr>
        <w:t>Qah</w:t>
      </w:r>
      <w:proofErr w:type="spellEnd"/>
      <w:r w:rsidR="00112363" w:rsidRPr="007B3199">
        <w:rPr>
          <w:rFonts w:eastAsia="Times New Roman"/>
        </w:rPr>
        <w:t xml:space="preserve"> village, near the Turkish</w:t>
      </w:r>
      <w:r w:rsidR="00112363" w:rsidRPr="008B0EF4">
        <w:rPr>
          <w:rFonts w:eastAsia="Times New Roman"/>
        </w:rPr>
        <w:t xml:space="preserve"> border. The use of cluster munitions in densely populated camps for displaced civilians constitutes the war crime of indiscriminate attacks in a civilian populated area (</w:t>
      </w:r>
      <w:r w:rsidR="00112363" w:rsidRPr="007B3199">
        <w:rPr>
          <w:rFonts w:eastAsia="Times New Roman"/>
        </w:rPr>
        <w:t xml:space="preserve">see </w:t>
      </w:r>
      <w:r w:rsidR="00B87342" w:rsidRPr="007B3199">
        <w:rPr>
          <w:rFonts w:eastAsia="Times New Roman"/>
        </w:rPr>
        <w:t xml:space="preserve">annex </w:t>
      </w:r>
      <w:r w:rsidR="00112363" w:rsidRPr="007B3199">
        <w:rPr>
          <w:rFonts w:eastAsia="Times New Roman"/>
        </w:rPr>
        <w:t>II for</w:t>
      </w:r>
      <w:r w:rsidR="00112363" w:rsidRPr="008B0EF4">
        <w:rPr>
          <w:rFonts w:eastAsia="Times New Roman"/>
        </w:rPr>
        <w:t xml:space="preserve"> a detailed description of </w:t>
      </w:r>
      <w:r w:rsidR="00112363" w:rsidRPr="00C36423">
        <w:rPr>
          <w:rFonts w:eastAsia="Times New Roman"/>
        </w:rPr>
        <w:t>other attacks).</w:t>
      </w:r>
    </w:p>
    <w:p w14:paraId="19F81F5B" w14:textId="13604B92" w:rsidR="00112363" w:rsidRPr="008B0EF4" w:rsidRDefault="001D6B13" w:rsidP="00112363">
      <w:pPr>
        <w:spacing w:after="120" w:line="240" w:lineRule="atLeast"/>
        <w:ind w:left="1134" w:right="1134"/>
        <w:jc w:val="both"/>
        <w:rPr>
          <w:rFonts w:eastAsia="Times New Roman"/>
        </w:rPr>
      </w:pPr>
      <w:r w:rsidRPr="00C36423">
        <w:rPr>
          <w:rFonts w:eastAsia="Times New Roman"/>
        </w:rPr>
        <w:t>27</w:t>
      </w:r>
      <w:r w:rsidR="006A33EC" w:rsidRPr="00C36423">
        <w:rPr>
          <w:rFonts w:eastAsia="Times New Roman"/>
        </w:rPr>
        <w:t>.</w:t>
      </w:r>
      <w:r w:rsidR="0086073A" w:rsidRPr="00C36423">
        <w:rPr>
          <w:rFonts w:eastAsia="Times New Roman"/>
        </w:rPr>
        <w:tab/>
      </w:r>
      <w:r w:rsidR="00112363" w:rsidRPr="00C36423">
        <w:rPr>
          <w:rFonts w:eastAsia="Times New Roman"/>
        </w:rPr>
        <w:t>From 15 December onwards, as pro-</w:t>
      </w:r>
      <w:r w:rsidR="009D35A1">
        <w:rPr>
          <w:rFonts w:eastAsia="Times New Roman"/>
        </w:rPr>
        <w:t>g</w:t>
      </w:r>
      <w:r w:rsidR="00112363" w:rsidRPr="00C36423">
        <w:rPr>
          <w:rFonts w:eastAsia="Times New Roman"/>
        </w:rPr>
        <w:t>overnment forces increased aerial offensives,</w:t>
      </w:r>
      <w:r w:rsidR="00112363" w:rsidRPr="008B0EF4">
        <w:rPr>
          <w:rFonts w:eastAsia="Times New Roman"/>
        </w:rPr>
        <w:t xml:space="preserve"> residents around </w:t>
      </w:r>
      <w:proofErr w:type="spellStart"/>
      <w:r w:rsidR="005602D6" w:rsidRPr="000C14D9">
        <w:t>Ma‘arrat</w:t>
      </w:r>
      <w:proofErr w:type="spellEnd"/>
      <w:r w:rsidR="005602D6" w:rsidRPr="000C14D9">
        <w:t xml:space="preserve"> al-</w:t>
      </w:r>
      <w:proofErr w:type="spellStart"/>
      <w:r w:rsidR="005602D6" w:rsidRPr="000C14D9">
        <w:t>Nu‘man</w:t>
      </w:r>
      <w:proofErr w:type="spellEnd"/>
      <w:r w:rsidR="00112363" w:rsidRPr="008B0EF4">
        <w:rPr>
          <w:rFonts w:eastAsia="Times New Roman"/>
        </w:rPr>
        <w:t xml:space="preserve"> town began fleeing in anticipation of attacks. Residents described depart</w:t>
      </w:r>
      <w:r w:rsidR="004E3FF9" w:rsidRPr="008B0EF4">
        <w:rPr>
          <w:rFonts w:eastAsia="Times New Roman"/>
        </w:rPr>
        <w:t>ing</w:t>
      </w:r>
      <w:r w:rsidR="00112363" w:rsidRPr="008B0EF4">
        <w:rPr>
          <w:rFonts w:eastAsia="Times New Roman"/>
        </w:rPr>
        <w:t xml:space="preserve"> at night, </w:t>
      </w:r>
      <w:r w:rsidR="009D35A1">
        <w:rPr>
          <w:rFonts w:eastAsia="Times New Roman"/>
        </w:rPr>
        <w:t>using</w:t>
      </w:r>
      <w:r w:rsidR="009D35A1" w:rsidRPr="008B0EF4">
        <w:rPr>
          <w:rFonts w:eastAsia="Times New Roman"/>
        </w:rPr>
        <w:t xml:space="preserve"> </w:t>
      </w:r>
      <w:r w:rsidR="00112363" w:rsidRPr="008B0EF4">
        <w:rPr>
          <w:rFonts w:eastAsia="Times New Roman"/>
        </w:rPr>
        <w:t xml:space="preserve">the M5 motorway, with their vehicle lights off, to minimize the risk of </w:t>
      </w:r>
      <w:proofErr w:type="gramStart"/>
      <w:r w:rsidR="00112363" w:rsidRPr="008B0EF4">
        <w:rPr>
          <w:rFonts w:eastAsia="Times New Roman"/>
        </w:rPr>
        <w:t>being attacked</w:t>
      </w:r>
      <w:proofErr w:type="gramEnd"/>
      <w:r w:rsidR="00112363" w:rsidRPr="008B0EF4">
        <w:rPr>
          <w:rFonts w:eastAsia="Times New Roman"/>
        </w:rPr>
        <w:t xml:space="preserve">.  By 1 January, at least 300,000 people </w:t>
      </w:r>
      <w:r w:rsidR="009D35A1">
        <w:rPr>
          <w:rFonts w:eastAsia="Times New Roman"/>
        </w:rPr>
        <w:t xml:space="preserve">had </w:t>
      </w:r>
      <w:r w:rsidR="00112363" w:rsidRPr="008B0EF4">
        <w:rPr>
          <w:rFonts w:eastAsia="Times New Roman"/>
        </w:rPr>
        <w:t xml:space="preserve">fled their homes, adding to approximately 400,000 civilians previously displaced from southern </w:t>
      </w:r>
      <w:proofErr w:type="spellStart"/>
      <w:r w:rsidR="00112363" w:rsidRPr="008B0EF4">
        <w:rPr>
          <w:rFonts w:eastAsia="Times New Roman"/>
        </w:rPr>
        <w:t>Idlib</w:t>
      </w:r>
      <w:proofErr w:type="spellEnd"/>
      <w:r w:rsidR="00112363" w:rsidRPr="008B0EF4">
        <w:rPr>
          <w:rFonts w:eastAsia="Times New Roman"/>
        </w:rPr>
        <w:t xml:space="preserve"> between May and August.   </w:t>
      </w:r>
    </w:p>
    <w:p w14:paraId="5ED7AD77" w14:textId="2E9066BC" w:rsidR="00112363" w:rsidRPr="008B0EF4" w:rsidRDefault="001D6B13" w:rsidP="00112363">
      <w:pPr>
        <w:spacing w:after="120" w:line="240" w:lineRule="atLeast"/>
        <w:ind w:left="1134" w:right="1134"/>
        <w:jc w:val="both"/>
        <w:rPr>
          <w:rFonts w:eastAsia="Times New Roman"/>
        </w:rPr>
      </w:pPr>
      <w:r w:rsidRPr="008B0EF4">
        <w:rPr>
          <w:rFonts w:eastAsia="Times New Roman"/>
        </w:rPr>
        <w:t>28</w:t>
      </w:r>
      <w:r w:rsidR="006A33EC" w:rsidRPr="008B0EF4">
        <w:rPr>
          <w:rFonts w:eastAsia="Times New Roman"/>
        </w:rPr>
        <w:t>.</w:t>
      </w:r>
      <w:r w:rsidR="0086073A" w:rsidRPr="008B0EF4">
        <w:rPr>
          <w:rFonts w:eastAsia="Times New Roman"/>
        </w:rPr>
        <w:tab/>
      </w:r>
      <w:r w:rsidR="00112363" w:rsidRPr="008B0EF4">
        <w:rPr>
          <w:rFonts w:eastAsia="Times New Roman"/>
        </w:rPr>
        <w:t xml:space="preserve">Four medical facilities were damaged in the span of three days, between </w:t>
      </w:r>
      <w:proofErr w:type="gramStart"/>
      <w:r w:rsidR="00112363" w:rsidRPr="008B0EF4">
        <w:rPr>
          <w:rFonts w:eastAsia="Times New Roman"/>
        </w:rPr>
        <w:t>4</w:t>
      </w:r>
      <w:proofErr w:type="gramEnd"/>
      <w:r w:rsidR="00112363" w:rsidRPr="008B0EF4">
        <w:rPr>
          <w:rFonts w:eastAsia="Times New Roman"/>
        </w:rPr>
        <w:t xml:space="preserve"> and 6 November, in </w:t>
      </w:r>
      <w:proofErr w:type="spellStart"/>
      <w:r w:rsidR="007B3199" w:rsidRPr="00E753C2">
        <w:t>Jisr</w:t>
      </w:r>
      <w:proofErr w:type="spellEnd"/>
      <w:r w:rsidR="007B3199" w:rsidRPr="00E753C2">
        <w:t xml:space="preserve"> al-</w:t>
      </w:r>
      <w:proofErr w:type="spellStart"/>
      <w:r w:rsidR="007B3199" w:rsidRPr="007B3199">
        <w:t>Shughur</w:t>
      </w:r>
      <w:proofErr w:type="spellEnd"/>
      <w:r w:rsidR="00112363" w:rsidRPr="007B3199">
        <w:rPr>
          <w:rFonts w:eastAsia="Times New Roman"/>
        </w:rPr>
        <w:t>,</w:t>
      </w:r>
      <w:r w:rsidR="00112363" w:rsidRPr="00CF1F5E">
        <w:rPr>
          <w:rFonts w:eastAsia="Times New Roman"/>
        </w:rPr>
        <w:t xml:space="preserve"> </w:t>
      </w:r>
      <w:proofErr w:type="spellStart"/>
      <w:r w:rsidR="00112363" w:rsidRPr="00CF1F5E">
        <w:rPr>
          <w:rFonts w:eastAsia="Times New Roman"/>
        </w:rPr>
        <w:t>Kafr</w:t>
      </w:r>
      <w:proofErr w:type="spellEnd"/>
      <w:r w:rsidR="00112363" w:rsidRPr="00CF1F5E">
        <w:rPr>
          <w:rFonts w:eastAsia="Times New Roman"/>
        </w:rPr>
        <w:t xml:space="preserve"> </w:t>
      </w:r>
      <w:proofErr w:type="spellStart"/>
      <w:r w:rsidR="00112363" w:rsidRPr="000153CD">
        <w:rPr>
          <w:rFonts w:eastAsia="Times New Roman"/>
        </w:rPr>
        <w:t>N</w:t>
      </w:r>
      <w:r w:rsidR="00CF1F5E" w:rsidRPr="00D6133C">
        <w:rPr>
          <w:rFonts w:eastAsia="Times New Roman"/>
        </w:rPr>
        <w:t>u</w:t>
      </w:r>
      <w:r w:rsidR="00112363" w:rsidRPr="000153CD">
        <w:rPr>
          <w:rFonts w:eastAsia="Times New Roman"/>
        </w:rPr>
        <w:t>bl</w:t>
      </w:r>
      <w:proofErr w:type="spellEnd"/>
      <w:r w:rsidR="00112363" w:rsidRPr="000153CD">
        <w:rPr>
          <w:rFonts w:eastAsia="Times New Roman"/>
        </w:rPr>
        <w:t xml:space="preserve"> and </w:t>
      </w:r>
      <w:proofErr w:type="spellStart"/>
      <w:r w:rsidR="00112363" w:rsidRPr="000153CD">
        <w:rPr>
          <w:rFonts w:eastAsia="Times New Roman"/>
        </w:rPr>
        <w:t>Ariha</w:t>
      </w:r>
      <w:proofErr w:type="spellEnd"/>
      <w:r w:rsidR="00112363" w:rsidRPr="000153CD">
        <w:rPr>
          <w:rFonts w:eastAsia="Times New Roman"/>
        </w:rPr>
        <w:t xml:space="preserve"> in southern </w:t>
      </w:r>
      <w:proofErr w:type="spellStart"/>
      <w:r w:rsidR="00112363" w:rsidRPr="000153CD">
        <w:rPr>
          <w:rFonts w:eastAsia="Times New Roman"/>
        </w:rPr>
        <w:t>Idlib</w:t>
      </w:r>
      <w:proofErr w:type="spellEnd"/>
      <w:r w:rsidR="00112363" w:rsidRPr="000153CD">
        <w:rPr>
          <w:rFonts w:eastAsia="Times New Roman"/>
        </w:rPr>
        <w:t>. On 6 November, at around 1</w:t>
      </w:r>
      <w:r w:rsidR="009D35A1" w:rsidRPr="000153CD">
        <w:rPr>
          <w:rFonts w:eastAsia="Times New Roman"/>
        </w:rPr>
        <w:t>.</w:t>
      </w:r>
      <w:r w:rsidR="00112363" w:rsidRPr="000153CD">
        <w:rPr>
          <w:rFonts w:eastAsia="Times New Roman"/>
        </w:rPr>
        <w:t>30 a.m., pro-</w:t>
      </w:r>
      <w:r w:rsidR="00B07E87" w:rsidRPr="000153CD">
        <w:rPr>
          <w:rFonts w:eastAsia="Times New Roman"/>
        </w:rPr>
        <w:t xml:space="preserve">government </w:t>
      </w:r>
      <w:r w:rsidR="00112363" w:rsidRPr="000153CD">
        <w:rPr>
          <w:rFonts w:eastAsia="Times New Roman"/>
        </w:rPr>
        <w:t>forces carried out two air</w:t>
      </w:r>
      <w:r w:rsidR="009443AF" w:rsidRPr="000153CD">
        <w:rPr>
          <w:rFonts w:eastAsia="Times New Roman"/>
        </w:rPr>
        <w:t xml:space="preserve"> </w:t>
      </w:r>
      <w:r w:rsidR="00112363" w:rsidRPr="000153CD">
        <w:rPr>
          <w:rFonts w:eastAsia="Times New Roman"/>
        </w:rPr>
        <w:t xml:space="preserve">strikes that struck the </w:t>
      </w:r>
      <w:proofErr w:type="spellStart"/>
      <w:r w:rsidR="00112363" w:rsidRPr="000153CD">
        <w:rPr>
          <w:rFonts w:eastAsia="Times New Roman"/>
        </w:rPr>
        <w:t>Ikhlas</w:t>
      </w:r>
      <w:proofErr w:type="spellEnd"/>
      <w:r w:rsidR="00112363" w:rsidRPr="000153CD">
        <w:rPr>
          <w:rFonts w:eastAsia="Times New Roman"/>
        </w:rPr>
        <w:t xml:space="preserve"> maternity and paediatric hospital in </w:t>
      </w:r>
      <w:proofErr w:type="spellStart"/>
      <w:r w:rsidR="00112363" w:rsidRPr="000153CD">
        <w:rPr>
          <w:rFonts w:eastAsia="Times New Roman"/>
        </w:rPr>
        <w:t>Sh</w:t>
      </w:r>
      <w:r w:rsidR="00822778">
        <w:rPr>
          <w:rFonts w:eastAsia="Times New Roman"/>
        </w:rPr>
        <w:t>i</w:t>
      </w:r>
      <w:r w:rsidR="00112363" w:rsidRPr="000153CD">
        <w:rPr>
          <w:rFonts w:eastAsia="Times New Roman"/>
        </w:rPr>
        <w:t>nan</w:t>
      </w:r>
      <w:proofErr w:type="spellEnd"/>
      <w:r w:rsidR="00112363" w:rsidRPr="000153CD">
        <w:rPr>
          <w:rFonts w:eastAsia="Times New Roman"/>
        </w:rPr>
        <w:t xml:space="preserve">, south of </w:t>
      </w:r>
      <w:proofErr w:type="spellStart"/>
      <w:r w:rsidR="00112363" w:rsidRPr="000153CD">
        <w:rPr>
          <w:rFonts w:eastAsia="Times New Roman"/>
        </w:rPr>
        <w:t>Ariha</w:t>
      </w:r>
      <w:proofErr w:type="spellEnd"/>
      <w:r w:rsidR="00112363" w:rsidRPr="000153CD">
        <w:rPr>
          <w:rFonts w:eastAsia="Times New Roman"/>
        </w:rPr>
        <w:t>,</w:t>
      </w:r>
      <w:r w:rsidR="00112363" w:rsidRPr="008B0EF4">
        <w:rPr>
          <w:rFonts w:eastAsia="Times New Roman"/>
        </w:rPr>
        <w:t xml:space="preserve"> rendering the facility non-functional. Later that day, at around </w:t>
      </w:r>
      <w:r w:rsidR="00112363" w:rsidRPr="008B0EF4">
        <w:rPr>
          <w:rFonts w:eastAsia="Calibri"/>
          <w:szCs w:val="24"/>
        </w:rPr>
        <w:t>4</w:t>
      </w:r>
      <w:r w:rsidR="009D35A1">
        <w:rPr>
          <w:rFonts w:eastAsia="Calibri"/>
          <w:szCs w:val="24"/>
        </w:rPr>
        <w:t>.</w:t>
      </w:r>
      <w:r w:rsidR="00112363" w:rsidRPr="008B0EF4">
        <w:rPr>
          <w:rFonts w:eastAsia="Times New Roman"/>
        </w:rPr>
        <w:t>15 p.m., a series of air</w:t>
      </w:r>
      <w:r w:rsidR="009443AF">
        <w:rPr>
          <w:rFonts w:eastAsia="Times New Roman"/>
        </w:rPr>
        <w:t xml:space="preserve"> </w:t>
      </w:r>
      <w:r w:rsidR="00112363" w:rsidRPr="008B0EF4">
        <w:rPr>
          <w:rFonts w:eastAsia="Times New Roman"/>
        </w:rPr>
        <w:t xml:space="preserve">strikes conducted by pro-Government forces struck a surgical “cave” </w:t>
      </w:r>
      <w:r w:rsidR="00112363" w:rsidRPr="00CF1F5E">
        <w:rPr>
          <w:rFonts w:eastAsia="Times New Roman"/>
        </w:rPr>
        <w:t xml:space="preserve">hospital in </w:t>
      </w:r>
      <w:proofErr w:type="spellStart"/>
      <w:r w:rsidR="00112363" w:rsidRPr="00CF1F5E">
        <w:rPr>
          <w:rFonts w:eastAsia="Times New Roman"/>
        </w:rPr>
        <w:t>Kafr</w:t>
      </w:r>
      <w:proofErr w:type="spellEnd"/>
      <w:r w:rsidR="00112363" w:rsidRPr="00CF1F5E">
        <w:rPr>
          <w:rFonts w:eastAsia="Times New Roman"/>
        </w:rPr>
        <w:t xml:space="preserve"> </w:t>
      </w:r>
      <w:proofErr w:type="spellStart"/>
      <w:r w:rsidR="00112363" w:rsidRPr="00CF1F5E">
        <w:rPr>
          <w:rFonts w:eastAsia="Times New Roman"/>
        </w:rPr>
        <w:t>Nubl</w:t>
      </w:r>
      <w:proofErr w:type="spellEnd"/>
      <w:r w:rsidR="00112363" w:rsidRPr="00CF1F5E">
        <w:rPr>
          <w:rFonts w:eastAsia="Times New Roman"/>
        </w:rPr>
        <w:t>, damaging</w:t>
      </w:r>
      <w:r w:rsidR="00112363" w:rsidRPr="008B0EF4">
        <w:rPr>
          <w:rFonts w:eastAsia="Times New Roman"/>
        </w:rPr>
        <w:t xml:space="preserve"> the western entrance and vital medical equipment. </w:t>
      </w:r>
    </w:p>
    <w:p w14:paraId="13268C0B" w14:textId="29B1E43B" w:rsidR="00112363" w:rsidRPr="008B0EF4" w:rsidRDefault="001D6B13" w:rsidP="00112363">
      <w:pPr>
        <w:spacing w:after="120" w:line="240" w:lineRule="atLeast"/>
        <w:ind w:left="1134" w:right="1134"/>
        <w:jc w:val="both"/>
        <w:rPr>
          <w:rFonts w:eastAsia="Calibri"/>
        </w:rPr>
      </w:pPr>
      <w:r w:rsidRPr="008B0EF4">
        <w:rPr>
          <w:rFonts w:eastAsia="Times New Roman"/>
        </w:rPr>
        <w:t>29</w:t>
      </w:r>
      <w:r w:rsidR="006A33EC" w:rsidRPr="008B0EF4">
        <w:rPr>
          <w:rFonts w:eastAsia="Times New Roman"/>
        </w:rPr>
        <w:t>.</w:t>
      </w:r>
      <w:r w:rsidR="0086073A" w:rsidRPr="008B0EF4">
        <w:rPr>
          <w:rFonts w:eastAsia="Times New Roman"/>
        </w:rPr>
        <w:tab/>
      </w:r>
      <w:r w:rsidR="00112363" w:rsidRPr="008B0EF4">
        <w:rPr>
          <w:rFonts w:eastAsia="Times New Roman"/>
        </w:rPr>
        <w:t xml:space="preserve">In </w:t>
      </w:r>
      <w:r w:rsidR="00112363" w:rsidRPr="008B0EF4">
        <w:rPr>
          <w:rFonts w:eastAsia="Calibri"/>
        </w:rPr>
        <w:t>attacking medical facilities</w:t>
      </w:r>
      <w:r w:rsidR="00112363" w:rsidRPr="008B0EF4">
        <w:rPr>
          <w:rFonts w:eastAsia="Times New Roman"/>
        </w:rPr>
        <w:t>, pro-</w:t>
      </w:r>
      <w:r w:rsidR="00B07E87">
        <w:rPr>
          <w:rFonts w:eastAsia="Times New Roman"/>
        </w:rPr>
        <w:t>g</w:t>
      </w:r>
      <w:r w:rsidR="00B07E87" w:rsidRPr="008B0EF4">
        <w:rPr>
          <w:rFonts w:eastAsia="Times New Roman"/>
        </w:rPr>
        <w:t xml:space="preserve">overnment </w:t>
      </w:r>
      <w:r w:rsidR="00112363" w:rsidRPr="008B0EF4">
        <w:rPr>
          <w:rFonts w:eastAsia="Times New Roman"/>
        </w:rPr>
        <w:t xml:space="preserve">forces </w:t>
      </w:r>
      <w:r w:rsidR="00112363" w:rsidRPr="008B0EF4">
        <w:rPr>
          <w:rFonts w:eastAsia="Calibri"/>
        </w:rPr>
        <w:t>repeatedly committed the war crime of deliberately attacking protected objects and intentionally attacking medical personnel. In attacking hospitals, medical units and health</w:t>
      </w:r>
      <w:r w:rsidR="00B07E87">
        <w:rPr>
          <w:rFonts w:eastAsia="Calibri"/>
        </w:rPr>
        <w:t>-</w:t>
      </w:r>
      <w:r w:rsidR="00112363" w:rsidRPr="008B0EF4">
        <w:rPr>
          <w:rFonts w:eastAsia="Calibri"/>
        </w:rPr>
        <w:t>care personnel, pro-</w:t>
      </w:r>
      <w:r w:rsidR="00B07E87">
        <w:rPr>
          <w:rFonts w:eastAsia="Calibri"/>
        </w:rPr>
        <w:t>g</w:t>
      </w:r>
      <w:r w:rsidR="00B07E87" w:rsidRPr="008B0EF4">
        <w:rPr>
          <w:rFonts w:eastAsia="Calibri"/>
        </w:rPr>
        <w:t xml:space="preserve">overnment </w:t>
      </w:r>
      <w:r w:rsidR="00112363" w:rsidRPr="008B0EF4">
        <w:rPr>
          <w:rFonts w:eastAsia="Calibri"/>
        </w:rPr>
        <w:t>forces violated binding international humanitarian law to care for the sick and wounded</w:t>
      </w:r>
      <w:r w:rsidR="00B07E87">
        <w:rPr>
          <w:rFonts w:eastAsia="Calibri"/>
        </w:rPr>
        <w:t>,</w:t>
      </w:r>
      <w:r w:rsidR="00112363" w:rsidRPr="008B0EF4">
        <w:rPr>
          <w:rFonts w:eastAsia="Calibri"/>
        </w:rPr>
        <w:t xml:space="preserve"> and committed the war crime of attacking protected objects.</w:t>
      </w:r>
    </w:p>
    <w:p w14:paraId="48D7455B" w14:textId="73C60051" w:rsidR="00504A8F" w:rsidRPr="008B0EF4" w:rsidRDefault="001D6B13" w:rsidP="00504A8F">
      <w:pPr>
        <w:spacing w:after="120" w:line="240" w:lineRule="atLeast"/>
        <w:ind w:left="1134" w:right="1134"/>
        <w:jc w:val="both"/>
        <w:rPr>
          <w:rFonts w:eastAsia="Calibri"/>
        </w:rPr>
      </w:pPr>
      <w:r w:rsidRPr="008B0EF4">
        <w:rPr>
          <w:rFonts w:eastAsia="Calibri"/>
        </w:rPr>
        <w:t>30</w:t>
      </w:r>
      <w:r w:rsidR="006A33EC" w:rsidRPr="008B0EF4">
        <w:rPr>
          <w:rFonts w:eastAsia="Calibri"/>
        </w:rPr>
        <w:t>.</w:t>
      </w:r>
      <w:r w:rsidR="001F7849" w:rsidRPr="008B0EF4">
        <w:rPr>
          <w:rFonts w:eastAsia="Calibri"/>
        </w:rPr>
        <w:tab/>
      </w:r>
      <w:r w:rsidR="00504A8F" w:rsidRPr="008B0EF4">
        <w:rPr>
          <w:rFonts w:eastAsia="Calibri"/>
        </w:rPr>
        <w:t xml:space="preserve">The foregoing </w:t>
      </w:r>
      <w:r w:rsidR="00B07E87">
        <w:rPr>
          <w:rFonts w:eastAsia="Calibri"/>
        </w:rPr>
        <w:t xml:space="preserve">incidents </w:t>
      </w:r>
      <w:r w:rsidR="00504A8F" w:rsidRPr="008B0EF4">
        <w:rPr>
          <w:rFonts w:eastAsia="Calibri"/>
        </w:rPr>
        <w:t>follow a pattern of attacks against hospitals (including</w:t>
      </w:r>
      <w:r w:rsidR="00B07E87">
        <w:rPr>
          <w:rFonts w:eastAsia="Calibri"/>
        </w:rPr>
        <w:t>,</w:t>
      </w:r>
      <w:r w:rsidR="00504A8F" w:rsidRPr="008B0EF4">
        <w:rPr>
          <w:rFonts w:eastAsia="Calibri"/>
        </w:rPr>
        <w:t xml:space="preserve"> most recently, between March and May 2019)</w:t>
      </w:r>
      <w:r w:rsidR="00B07E87">
        <w:rPr>
          <w:rFonts w:eastAsia="Calibri"/>
        </w:rPr>
        <w:t>,</w:t>
      </w:r>
      <w:r w:rsidR="00504A8F" w:rsidRPr="008B0EF4">
        <w:rPr>
          <w:rStyle w:val="FootnoteReference"/>
          <w:rFonts w:eastAsia="Calibri"/>
        </w:rPr>
        <w:footnoteReference w:id="15"/>
      </w:r>
      <w:r w:rsidR="00504A8F" w:rsidRPr="008B0EF4">
        <w:rPr>
          <w:rFonts w:eastAsia="Calibri"/>
        </w:rPr>
        <w:t xml:space="preserve"> </w:t>
      </w:r>
      <w:r w:rsidR="00B07E87">
        <w:rPr>
          <w:rFonts w:eastAsia="Calibri"/>
        </w:rPr>
        <w:t>which</w:t>
      </w:r>
      <w:r w:rsidR="00B07E87" w:rsidRPr="008B0EF4">
        <w:rPr>
          <w:rFonts w:eastAsia="Calibri"/>
        </w:rPr>
        <w:t xml:space="preserve"> </w:t>
      </w:r>
      <w:r w:rsidR="00504A8F" w:rsidRPr="008B0EF4">
        <w:rPr>
          <w:rFonts w:eastAsia="Calibri"/>
        </w:rPr>
        <w:t>strongly suggests that pro-</w:t>
      </w:r>
      <w:r w:rsidR="00B07E87">
        <w:rPr>
          <w:rFonts w:eastAsia="Calibri"/>
        </w:rPr>
        <w:t>g</w:t>
      </w:r>
      <w:r w:rsidR="00B07E87" w:rsidRPr="008B0EF4">
        <w:rPr>
          <w:rFonts w:eastAsia="Calibri"/>
        </w:rPr>
        <w:t xml:space="preserve">overnment </w:t>
      </w:r>
      <w:r w:rsidR="00504A8F" w:rsidRPr="008B0EF4">
        <w:rPr>
          <w:rFonts w:eastAsia="Calibri"/>
        </w:rPr>
        <w:t>forces systematically targeted medical facilities. Government officials repeatedly stated that their aim was to remove terrorist elements</w:t>
      </w:r>
      <w:r w:rsidRPr="008B0EF4">
        <w:rPr>
          <w:rFonts w:eastAsia="Calibri"/>
        </w:rPr>
        <w:t>,</w:t>
      </w:r>
      <w:r w:rsidR="00504A8F" w:rsidRPr="008B0EF4">
        <w:rPr>
          <w:rFonts w:eastAsia="Calibri"/>
        </w:rPr>
        <w:t xml:space="preserve"> including </w:t>
      </w:r>
      <w:proofErr w:type="spellStart"/>
      <w:r w:rsidR="00A14617">
        <w:rPr>
          <w:rFonts w:eastAsia="Calibri"/>
        </w:rPr>
        <w:t>Hay’at</w:t>
      </w:r>
      <w:proofErr w:type="spellEnd"/>
      <w:r w:rsidR="00A14617">
        <w:rPr>
          <w:rFonts w:eastAsia="Calibri"/>
        </w:rPr>
        <w:t xml:space="preserve"> </w:t>
      </w:r>
      <w:proofErr w:type="spellStart"/>
      <w:r w:rsidR="00A14617">
        <w:rPr>
          <w:rFonts w:eastAsia="Calibri"/>
        </w:rPr>
        <w:t>Tahrir</w:t>
      </w:r>
      <w:proofErr w:type="spellEnd"/>
      <w:r w:rsidR="00A14617">
        <w:rPr>
          <w:rFonts w:eastAsia="Calibri"/>
        </w:rPr>
        <w:t xml:space="preserve"> al-Sham</w:t>
      </w:r>
      <w:r w:rsidRPr="008B0EF4">
        <w:rPr>
          <w:rFonts w:eastAsia="Calibri"/>
        </w:rPr>
        <w:t>,</w:t>
      </w:r>
      <w:r w:rsidR="00504A8F" w:rsidRPr="008B0EF4">
        <w:rPr>
          <w:rFonts w:eastAsia="Calibri"/>
        </w:rPr>
        <w:t xml:space="preserve"> from the area. The means and methods of warfare, however, </w:t>
      </w:r>
      <w:proofErr w:type="gramStart"/>
      <w:r w:rsidR="00504A8F" w:rsidRPr="008B0EF4">
        <w:rPr>
          <w:rFonts w:eastAsia="Calibri"/>
        </w:rPr>
        <w:t>were deployed</w:t>
      </w:r>
      <w:proofErr w:type="gramEnd"/>
      <w:r w:rsidR="00504A8F" w:rsidRPr="008B0EF4">
        <w:rPr>
          <w:rFonts w:eastAsia="Calibri"/>
        </w:rPr>
        <w:t xml:space="preserve"> in a way that decimated segments of civilian infrastructure throughout southern </w:t>
      </w:r>
      <w:proofErr w:type="spellStart"/>
      <w:r w:rsidR="00504A8F" w:rsidRPr="008B0EF4">
        <w:rPr>
          <w:rFonts w:eastAsia="Calibri"/>
        </w:rPr>
        <w:t>Idlib</w:t>
      </w:r>
      <w:proofErr w:type="spellEnd"/>
      <w:r w:rsidR="00504A8F" w:rsidRPr="008B0EF4">
        <w:rPr>
          <w:rFonts w:eastAsia="Calibri"/>
        </w:rPr>
        <w:t>, and may suggest that pro-</w:t>
      </w:r>
      <w:r w:rsidR="00B07E87">
        <w:rPr>
          <w:rFonts w:eastAsia="Calibri"/>
        </w:rPr>
        <w:t>g</w:t>
      </w:r>
      <w:r w:rsidR="00B07E87" w:rsidRPr="008B0EF4">
        <w:rPr>
          <w:rFonts w:eastAsia="Calibri"/>
        </w:rPr>
        <w:t xml:space="preserve">overnment </w:t>
      </w:r>
      <w:r w:rsidR="00504A8F" w:rsidRPr="008B0EF4">
        <w:rPr>
          <w:rFonts w:eastAsia="Calibri"/>
        </w:rPr>
        <w:t xml:space="preserve">forces also targeted the civilian population. During the period under review, repeated attacks further rendered the area </w:t>
      </w:r>
      <w:proofErr w:type="gramStart"/>
      <w:r w:rsidR="00504A8F" w:rsidRPr="008B0EF4">
        <w:rPr>
          <w:rFonts w:eastAsia="Calibri"/>
        </w:rPr>
        <w:t>completely uninhabitable</w:t>
      </w:r>
      <w:proofErr w:type="gramEnd"/>
      <w:r w:rsidR="00504A8F" w:rsidRPr="008B0EF4">
        <w:rPr>
          <w:rFonts w:eastAsia="Calibri"/>
        </w:rPr>
        <w:t xml:space="preserve">, </w:t>
      </w:r>
      <w:r w:rsidR="00504A8F" w:rsidRPr="008B0EF4">
        <w:t xml:space="preserve">eroding the military and fragile political control of </w:t>
      </w:r>
      <w:proofErr w:type="spellStart"/>
      <w:r w:rsidR="00A14617">
        <w:t>Hay’at</w:t>
      </w:r>
      <w:proofErr w:type="spellEnd"/>
      <w:r w:rsidR="00A14617">
        <w:t xml:space="preserve"> </w:t>
      </w:r>
      <w:proofErr w:type="spellStart"/>
      <w:r w:rsidR="00A14617">
        <w:t>Tahrir</w:t>
      </w:r>
      <w:proofErr w:type="spellEnd"/>
      <w:r w:rsidR="00A14617">
        <w:t xml:space="preserve"> al-Sham</w:t>
      </w:r>
      <w:r w:rsidR="00504A8F" w:rsidRPr="008B0EF4">
        <w:t xml:space="preserve">.  </w:t>
      </w:r>
    </w:p>
    <w:p w14:paraId="058C9937" w14:textId="732E6FF3" w:rsidR="00504A8F" w:rsidRPr="008B0EF4" w:rsidRDefault="001D6B13" w:rsidP="00504A8F">
      <w:pPr>
        <w:spacing w:after="120" w:line="240" w:lineRule="atLeast"/>
        <w:ind w:left="1134" w:right="1134"/>
        <w:jc w:val="both"/>
        <w:rPr>
          <w:rFonts w:eastAsia="Calibri"/>
        </w:rPr>
      </w:pPr>
      <w:r w:rsidRPr="008B0EF4">
        <w:rPr>
          <w:rFonts w:eastAsia="Calibri"/>
        </w:rPr>
        <w:t>31</w:t>
      </w:r>
      <w:r w:rsidR="006A33EC" w:rsidRPr="008B0EF4">
        <w:rPr>
          <w:rFonts w:eastAsia="Calibri"/>
        </w:rPr>
        <w:t>.</w:t>
      </w:r>
      <w:r w:rsidR="001F7849" w:rsidRPr="008B0EF4">
        <w:rPr>
          <w:rFonts w:eastAsia="Calibri"/>
        </w:rPr>
        <w:tab/>
      </w:r>
      <w:r w:rsidR="00504A8F" w:rsidRPr="008B0EF4">
        <w:rPr>
          <w:rFonts w:eastAsia="Calibri"/>
        </w:rPr>
        <w:t xml:space="preserve">In parts of southern </w:t>
      </w:r>
      <w:proofErr w:type="spellStart"/>
      <w:r w:rsidR="00504A8F" w:rsidRPr="008B0EF4">
        <w:rPr>
          <w:rFonts w:eastAsia="Calibri"/>
        </w:rPr>
        <w:t>Idlib</w:t>
      </w:r>
      <w:proofErr w:type="spellEnd"/>
      <w:r w:rsidR="00504A8F" w:rsidRPr="008B0EF4">
        <w:rPr>
          <w:rFonts w:eastAsia="Calibri"/>
        </w:rPr>
        <w:t xml:space="preserve">, including </w:t>
      </w:r>
      <w:proofErr w:type="spellStart"/>
      <w:r w:rsidR="005602D6" w:rsidRPr="000C14D9">
        <w:t>Ma‘arrat</w:t>
      </w:r>
      <w:proofErr w:type="spellEnd"/>
      <w:r w:rsidR="005602D6" w:rsidRPr="000C14D9">
        <w:t xml:space="preserve"> al-</w:t>
      </w:r>
      <w:proofErr w:type="spellStart"/>
      <w:r w:rsidR="005602D6" w:rsidRPr="000C14D9">
        <w:t>Nu‘man</w:t>
      </w:r>
      <w:proofErr w:type="spellEnd"/>
      <w:r w:rsidR="00504A8F" w:rsidRPr="008B0EF4">
        <w:rPr>
          <w:rFonts w:eastAsia="Calibri"/>
        </w:rPr>
        <w:t>, pro-</w:t>
      </w:r>
      <w:r w:rsidR="00B07E87">
        <w:rPr>
          <w:rFonts w:eastAsia="Calibri"/>
        </w:rPr>
        <w:t>g</w:t>
      </w:r>
      <w:r w:rsidR="00B07E87" w:rsidRPr="008B0EF4">
        <w:rPr>
          <w:rFonts w:eastAsia="Calibri"/>
        </w:rPr>
        <w:t xml:space="preserve">overnment </w:t>
      </w:r>
      <w:r w:rsidR="00504A8F" w:rsidRPr="008B0EF4">
        <w:rPr>
          <w:rFonts w:eastAsia="Calibri"/>
        </w:rPr>
        <w:t>forces persistently shelled civilian infrastructure in the de</w:t>
      </w:r>
      <w:r w:rsidR="00834E0B">
        <w:rPr>
          <w:rFonts w:eastAsia="Calibri"/>
        </w:rPr>
        <w:t xml:space="preserve">-escalation </w:t>
      </w:r>
      <w:r w:rsidR="00504A8F" w:rsidRPr="008B0EF4">
        <w:rPr>
          <w:rFonts w:eastAsia="Calibri"/>
        </w:rPr>
        <w:t xml:space="preserve">zone, leaving civilians </w:t>
      </w:r>
      <w:proofErr w:type="gramStart"/>
      <w:r w:rsidR="00504A8F" w:rsidRPr="008B0EF4">
        <w:rPr>
          <w:rFonts w:eastAsia="Calibri"/>
        </w:rPr>
        <w:t>with no choice but to flee</w:t>
      </w:r>
      <w:proofErr w:type="gramEnd"/>
      <w:r w:rsidR="00504A8F" w:rsidRPr="008B0EF4">
        <w:rPr>
          <w:rFonts w:eastAsia="Calibri"/>
        </w:rPr>
        <w:t xml:space="preserve">. As such, there </w:t>
      </w:r>
      <w:r w:rsidR="001B3EED" w:rsidRPr="008B0EF4">
        <w:rPr>
          <w:rFonts w:eastAsia="Calibri"/>
        </w:rPr>
        <w:t xml:space="preserve">are </w:t>
      </w:r>
      <w:r w:rsidR="00504A8F" w:rsidRPr="008B0EF4">
        <w:rPr>
          <w:rFonts w:eastAsia="Calibri"/>
        </w:rPr>
        <w:t>reasonable grounds to believe that pro-</w:t>
      </w:r>
      <w:r w:rsidR="00B07E87">
        <w:rPr>
          <w:rFonts w:eastAsia="Calibri"/>
        </w:rPr>
        <w:t>g</w:t>
      </w:r>
      <w:r w:rsidR="00B07E87" w:rsidRPr="008B0EF4">
        <w:rPr>
          <w:rFonts w:eastAsia="Calibri"/>
        </w:rPr>
        <w:t xml:space="preserve">overnment </w:t>
      </w:r>
      <w:r w:rsidR="00504A8F" w:rsidRPr="008B0EF4">
        <w:rPr>
          <w:rFonts w:eastAsia="Calibri"/>
        </w:rPr>
        <w:t>forces intended to terrori</w:t>
      </w:r>
      <w:r w:rsidR="00B07E87">
        <w:rPr>
          <w:rFonts w:eastAsia="Calibri"/>
        </w:rPr>
        <w:t>z</w:t>
      </w:r>
      <w:r w:rsidR="00504A8F" w:rsidRPr="008B0EF4">
        <w:rPr>
          <w:rFonts w:eastAsia="Calibri"/>
        </w:rPr>
        <w:t>e civilians,</w:t>
      </w:r>
      <w:r w:rsidR="00504A8F" w:rsidRPr="008B0EF4">
        <w:rPr>
          <w:rStyle w:val="FootnoteReference"/>
          <w:rFonts w:eastAsia="Calibri"/>
        </w:rPr>
        <w:footnoteReference w:id="16"/>
      </w:r>
      <w:r w:rsidR="00504A8F" w:rsidRPr="008B0EF4">
        <w:rPr>
          <w:rFonts w:eastAsia="Calibri"/>
        </w:rPr>
        <w:t xml:space="preserve"> in an effort to depopulate the zone and accelerate its capture.</w:t>
      </w:r>
    </w:p>
    <w:p w14:paraId="7DDE8EB2" w14:textId="5789C246" w:rsidR="007B2828" w:rsidRPr="008B0EF4" w:rsidRDefault="007B2828" w:rsidP="004C6B84">
      <w:pPr>
        <w:spacing w:before="240" w:after="120" w:line="240" w:lineRule="atLeast"/>
        <w:ind w:left="1134" w:right="1134"/>
        <w:jc w:val="both"/>
        <w:rPr>
          <w:rFonts w:eastAsia="Times New Roman"/>
          <w:i/>
        </w:rPr>
      </w:pPr>
      <w:proofErr w:type="spellStart"/>
      <w:r w:rsidRPr="008B0EF4">
        <w:rPr>
          <w:rFonts w:eastAsia="Times New Roman"/>
          <w:i/>
        </w:rPr>
        <w:t>Hay’at</w:t>
      </w:r>
      <w:proofErr w:type="spellEnd"/>
      <w:r w:rsidRPr="008B0EF4">
        <w:rPr>
          <w:rFonts w:eastAsia="Times New Roman"/>
          <w:i/>
        </w:rPr>
        <w:t xml:space="preserve"> </w:t>
      </w:r>
      <w:proofErr w:type="spellStart"/>
      <w:r w:rsidRPr="008B0EF4">
        <w:rPr>
          <w:rFonts w:eastAsia="Times New Roman"/>
          <w:i/>
        </w:rPr>
        <w:t>Tahrir</w:t>
      </w:r>
      <w:proofErr w:type="spellEnd"/>
      <w:r w:rsidRPr="008B0EF4">
        <w:rPr>
          <w:rFonts w:eastAsia="Times New Roman"/>
          <w:i/>
        </w:rPr>
        <w:t xml:space="preserve"> al-Sham</w:t>
      </w:r>
      <w:r w:rsidRPr="008B0EF4">
        <w:rPr>
          <w:rStyle w:val="FootnoteReference"/>
          <w:rFonts w:eastAsia="Times New Roman"/>
          <w:i/>
        </w:rPr>
        <w:footnoteReference w:id="17"/>
      </w:r>
    </w:p>
    <w:p w14:paraId="5E1539F3" w14:textId="59A17DDE" w:rsidR="007B2828" w:rsidRPr="008B0EF4" w:rsidRDefault="007B2828" w:rsidP="007B2828">
      <w:pPr>
        <w:spacing w:after="120" w:line="240" w:lineRule="atLeast"/>
        <w:ind w:left="1134" w:right="1134"/>
        <w:jc w:val="both"/>
        <w:rPr>
          <w:rFonts w:eastAsia="Times New Roman"/>
        </w:rPr>
      </w:pPr>
      <w:r w:rsidRPr="008B0EF4">
        <w:rPr>
          <w:rFonts w:eastAsia="Times New Roman"/>
        </w:rPr>
        <w:t>3</w:t>
      </w:r>
      <w:r w:rsidR="001B3EED" w:rsidRPr="008B0EF4">
        <w:rPr>
          <w:rFonts w:eastAsia="Times New Roman"/>
        </w:rPr>
        <w:t>2</w:t>
      </w:r>
      <w:r w:rsidR="006A33EC" w:rsidRPr="008B0EF4">
        <w:rPr>
          <w:rFonts w:eastAsia="Times New Roman"/>
        </w:rPr>
        <w:t>.</w:t>
      </w:r>
      <w:r w:rsidRPr="008B0EF4">
        <w:rPr>
          <w:rFonts w:eastAsia="Times New Roman"/>
        </w:rPr>
        <w:tab/>
        <w:t>Armed groups,</w:t>
      </w:r>
      <w:r w:rsidR="00987E35" w:rsidRPr="008B0EF4">
        <w:rPr>
          <w:rFonts w:eastAsia="Times New Roman"/>
        </w:rPr>
        <w:t xml:space="preserve"> including </w:t>
      </w:r>
      <w:proofErr w:type="spellStart"/>
      <w:r w:rsidR="00A14617">
        <w:rPr>
          <w:rFonts w:eastAsia="Times New Roman"/>
        </w:rPr>
        <w:t>Hay’at</w:t>
      </w:r>
      <w:proofErr w:type="spellEnd"/>
      <w:r w:rsidR="00A14617">
        <w:rPr>
          <w:rFonts w:eastAsia="Times New Roman"/>
        </w:rPr>
        <w:t xml:space="preserve"> </w:t>
      </w:r>
      <w:proofErr w:type="spellStart"/>
      <w:r w:rsidR="00A14617">
        <w:rPr>
          <w:rFonts w:eastAsia="Times New Roman"/>
        </w:rPr>
        <w:t>Tahrir</w:t>
      </w:r>
      <w:proofErr w:type="spellEnd"/>
      <w:r w:rsidR="00A14617">
        <w:rPr>
          <w:rFonts w:eastAsia="Times New Roman"/>
        </w:rPr>
        <w:t xml:space="preserve"> al-Sham</w:t>
      </w:r>
      <w:r w:rsidRPr="008B0EF4">
        <w:rPr>
          <w:rFonts w:eastAsia="Times New Roman"/>
        </w:rPr>
        <w:t>,</w:t>
      </w:r>
      <w:r w:rsidRPr="008B0EF4">
        <w:rPr>
          <w:rStyle w:val="FootnoteReference"/>
          <w:rFonts w:eastAsia="Times New Roman"/>
        </w:rPr>
        <w:footnoteReference w:id="18"/>
      </w:r>
      <w:r w:rsidRPr="008B0EF4">
        <w:rPr>
          <w:rFonts w:eastAsia="Times New Roman"/>
        </w:rPr>
        <w:t xml:space="preserve"> escalated attacks on </w:t>
      </w:r>
      <w:r w:rsidR="00B07E87">
        <w:rPr>
          <w:rFonts w:eastAsia="Times New Roman"/>
        </w:rPr>
        <w:t>g</w:t>
      </w:r>
      <w:r w:rsidR="00B07E87" w:rsidRPr="008B0EF4">
        <w:rPr>
          <w:rFonts w:eastAsia="Times New Roman"/>
        </w:rPr>
        <w:t>overnment</w:t>
      </w:r>
      <w:r w:rsidR="00B07E87">
        <w:rPr>
          <w:rFonts w:eastAsia="Times New Roman"/>
        </w:rPr>
        <w:t>-</w:t>
      </w:r>
      <w:r w:rsidRPr="008B0EF4">
        <w:rPr>
          <w:rFonts w:eastAsia="Times New Roman"/>
        </w:rPr>
        <w:t>controlled areas causing scores of civilian casualties.</w:t>
      </w:r>
      <w:r w:rsidRPr="008B0EF4">
        <w:rPr>
          <w:rStyle w:val="FootnoteReference"/>
          <w:rFonts w:eastAsia="Times New Roman"/>
        </w:rPr>
        <w:footnoteReference w:id="19"/>
      </w:r>
      <w:r w:rsidRPr="008B0EF4">
        <w:rPr>
          <w:rFonts w:eastAsia="Times New Roman"/>
        </w:rPr>
        <w:t xml:space="preserve"> On 21 November, armed groups launched a rocket attack on several neighbourhoods in Aleppo, including Salah al-Din that killed </w:t>
      </w:r>
      <w:proofErr w:type="gramStart"/>
      <w:r w:rsidR="00990476">
        <w:rPr>
          <w:rFonts w:eastAsia="Times New Roman"/>
        </w:rPr>
        <w:t>7</w:t>
      </w:r>
      <w:proofErr w:type="gramEnd"/>
      <w:r w:rsidR="00990476" w:rsidRPr="008B0EF4">
        <w:rPr>
          <w:rFonts w:eastAsia="Times New Roman"/>
        </w:rPr>
        <w:t xml:space="preserve"> </w:t>
      </w:r>
      <w:r w:rsidRPr="008B0EF4">
        <w:rPr>
          <w:rFonts w:eastAsia="Times New Roman"/>
        </w:rPr>
        <w:t xml:space="preserve">civilians and injured 29 others. </w:t>
      </w:r>
    </w:p>
    <w:p w14:paraId="6F5CFFB5" w14:textId="0D5E2E99" w:rsidR="007B2828" w:rsidRPr="008B0EF4" w:rsidRDefault="001D6B13" w:rsidP="007B2828">
      <w:pPr>
        <w:spacing w:after="120" w:line="240" w:lineRule="atLeast"/>
        <w:ind w:left="1134" w:right="1134"/>
        <w:jc w:val="both"/>
        <w:rPr>
          <w:rFonts w:eastAsia="Times New Roman"/>
        </w:rPr>
      </w:pPr>
      <w:r w:rsidRPr="008B0EF4">
        <w:rPr>
          <w:rFonts w:eastAsia="Times New Roman"/>
        </w:rPr>
        <w:t>3</w:t>
      </w:r>
      <w:r w:rsidR="001B3EED" w:rsidRPr="008B0EF4">
        <w:rPr>
          <w:rFonts w:eastAsia="Times New Roman"/>
        </w:rPr>
        <w:t>3</w:t>
      </w:r>
      <w:r w:rsidR="006A33EC" w:rsidRPr="008B0EF4">
        <w:rPr>
          <w:rFonts w:eastAsia="Times New Roman"/>
        </w:rPr>
        <w:t>.</w:t>
      </w:r>
      <w:r w:rsidR="007B2828" w:rsidRPr="008B0EF4">
        <w:rPr>
          <w:rFonts w:eastAsia="Times New Roman"/>
        </w:rPr>
        <w:tab/>
        <w:t xml:space="preserve">Alongside attacks by warring parties, the civilian population in restive areas across </w:t>
      </w:r>
      <w:proofErr w:type="spellStart"/>
      <w:r w:rsidR="007B2828" w:rsidRPr="008B0EF4">
        <w:rPr>
          <w:rFonts w:eastAsia="Times New Roman"/>
        </w:rPr>
        <w:t>Idlib</w:t>
      </w:r>
      <w:proofErr w:type="spellEnd"/>
      <w:r w:rsidR="007B2828" w:rsidRPr="008B0EF4">
        <w:rPr>
          <w:rFonts w:eastAsia="Times New Roman"/>
        </w:rPr>
        <w:t xml:space="preserve"> Governorate continued to suffer as </w:t>
      </w:r>
      <w:proofErr w:type="spellStart"/>
      <w:r w:rsidR="00A14617">
        <w:rPr>
          <w:rFonts w:eastAsia="Times New Roman"/>
        </w:rPr>
        <w:t>Hay’at</w:t>
      </w:r>
      <w:proofErr w:type="spellEnd"/>
      <w:r w:rsidR="00A14617">
        <w:rPr>
          <w:rFonts w:eastAsia="Times New Roman"/>
        </w:rPr>
        <w:t xml:space="preserve"> </w:t>
      </w:r>
      <w:proofErr w:type="spellStart"/>
      <w:r w:rsidR="00A14617">
        <w:rPr>
          <w:rFonts w:eastAsia="Times New Roman"/>
        </w:rPr>
        <w:t>Tahrir</w:t>
      </w:r>
      <w:proofErr w:type="spellEnd"/>
      <w:r w:rsidR="00A14617">
        <w:rPr>
          <w:rFonts w:eastAsia="Times New Roman"/>
        </w:rPr>
        <w:t xml:space="preserve"> al-Sham</w:t>
      </w:r>
      <w:r w:rsidR="007B2828" w:rsidRPr="008B0EF4">
        <w:rPr>
          <w:rFonts w:eastAsia="Times New Roman"/>
        </w:rPr>
        <w:t xml:space="preserve"> terrorists attempted to tighten their grip. In an effort to subjugate populations, </w:t>
      </w:r>
      <w:proofErr w:type="spellStart"/>
      <w:r w:rsidR="00A14617">
        <w:rPr>
          <w:rFonts w:eastAsia="Times New Roman"/>
        </w:rPr>
        <w:t>Hay’at</w:t>
      </w:r>
      <w:proofErr w:type="spellEnd"/>
      <w:r w:rsidR="00A14617">
        <w:rPr>
          <w:rFonts w:eastAsia="Times New Roman"/>
        </w:rPr>
        <w:t xml:space="preserve"> </w:t>
      </w:r>
      <w:proofErr w:type="spellStart"/>
      <w:r w:rsidR="00A14617">
        <w:rPr>
          <w:rFonts w:eastAsia="Times New Roman"/>
        </w:rPr>
        <w:t>Tahrir</w:t>
      </w:r>
      <w:proofErr w:type="spellEnd"/>
      <w:r w:rsidR="00A14617">
        <w:rPr>
          <w:rFonts w:eastAsia="Times New Roman"/>
        </w:rPr>
        <w:t xml:space="preserve"> al-Sham</w:t>
      </w:r>
      <w:r w:rsidR="007B2828" w:rsidRPr="008B0EF4">
        <w:rPr>
          <w:rFonts w:eastAsia="Times New Roman"/>
        </w:rPr>
        <w:t xml:space="preserve"> increasingly took over activities aimed at regulating access to services during the reporting period. The presence of </w:t>
      </w:r>
      <w:proofErr w:type="spellStart"/>
      <w:r w:rsidR="00A14617">
        <w:rPr>
          <w:rFonts w:eastAsia="Times New Roman"/>
        </w:rPr>
        <w:t>Hay’at</w:t>
      </w:r>
      <w:proofErr w:type="spellEnd"/>
      <w:r w:rsidR="00A14617">
        <w:rPr>
          <w:rFonts w:eastAsia="Times New Roman"/>
        </w:rPr>
        <w:t xml:space="preserve"> </w:t>
      </w:r>
      <w:proofErr w:type="spellStart"/>
      <w:r w:rsidR="00A14617">
        <w:rPr>
          <w:rFonts w:eastAsia="Times New Roman"/>
        </w:rPr>
        <w:t>Tahrir</w:t>
      </w:r>
      <w:proofErr w:type="spellEnd"/>
      <w:r w:rsidR="00A14617">
        <w:rPr>
          <w:rFonts w:eastAsia="Times New Roman"/>
        </w:rPr>
        <w:t xml:space="preserve"> al-Sham</w:t>
      </w:r>
      <w:r w:rsidR="007B2828" w:rsidRPr="008B0EF4">
        <w:rPr>
          <w:rFonts w:eastAsia="Times New Roman"/>
        </w:rPr>
        <w:t xml:space="preserve"> </w:t>
      </w:r>
      <w:proofErr w:type="gramStart"/>
      <w:r w:rsidR="007B2828" w:rsidRPr="008B0EF4">
        <w:rPr>
          <w:rFonts w:eastAsia="Times New Roman"/>
        </w:rPr>
        <w:t>impacted</w:t>
      </w:r>
      <w:proofErr w:type="gramEnd"/>
      <w:r w:rsidR="007B2828" w:rsidRPr="008B0EF4">
        <w:rPr>
          <w:rFonts w:eastAsia="Times New Roman"/>
        </w:rPr>
        <w:t xml:space="preserve"> residents’ access to health and education, and also resulted in the withdrawal of humanitarian actors. </w:t>
      </w:r>
      <w:r w:rsidR="007B2828" w:rsidRPr="00F104BE">
        <w:rPr>
          <w:rFonts w:eastAsia="Times New Roman"/>
        </w:rPr>
        <w:t xml:space="preserve">In </w:t>
      </w:r>
      <w:proofErr w:type="spellStart"/>
      <w:r w:rsidR="007B2828" w:rsidRPr="00F104BE">
        <w:rPr>
          <w:rFonts w:eastAsia="Times New Roman"/>
        </w:rPr>
        <w:t>Kafr</w:t>
      </w:r>
      <w:proofErr w:type="spellEnd"/>
      <w:r w:rsidR="007B2828" w:rsidRPr="00F104BE">
        <w:rPr>
          <w:rFonts w:eastAsia="Times New Roman"/>
        </w:rPr>
        <w:t xml:space="preserve"> </w:t>
      </w:r>
      <w:proofErr w:type="spellStart"/>
      <w:r w:rsidR="007B2828" w:rsidRPr="00F104BE">
        <w:rPr>
          <w:rFonts w:eastAsia="Times New Roman"/>
        </w:rPr>
        <w:t>Tak</w:t>
      </w:r>
      <w:r w:rsidR="000153CD" w:rsidRPr="00D6133C">
        <w:rPr>
          <w:rFonts w:eastAsia="Times New Roman"/>
        </w:rPr>
        <w:t>ha</w:t>
      </w:r>
      <w:r w:rsidR="007B2828" w:rsidRPr="00F104BE">
        <w:rPr>
          <w:rFonts w:eastAsia="Times New Roman"/>
        </w:rPr>
        <w:t>rim</w:t>
      </w:r>
      <w:proofErr w:type="spellEnd"/>
      <w:r w:rsidR="007B2828" w:rsidRPr="00F104BE">
        <w:rPr>
          <w:rFonts w:eastAsia="Times New Roman"/>
        </w:rPr>
        <w:t>, where</w:t>
      </w:r>
      <w:r w:rsidR="007B2828" w:rsidRPr="008B0EF4">
        <w:rPr>
          <w:rFonts w:eastAsia="Times New Roman"/>
        </w:rPr>
        <w:t xml:space="preserve"> approximately 40,000 people lived, attempts </w:t>
      </w:r>
      <w:r w:rsidR="00A14617">
        <w:rPr>
          <w:rFonts w:eastAsia="Times New Roman"/>
        </w:rPr>
        <w:t xml:space="preserve">by </w:t>
      </w:r>
      <w:proofErr w:type="spellStart"/>
      <w:r w:rsidR="00A14617" w:rsidRPr="006E4468">
        <w:rPr>
          <w:lang w:eastAsia="en-US"/>
        </w:rPr>
        <w:t>Hay’at</w:t>
      </w:r>
      <w:proofErr w:type="spellEnd"/>
      <w:r w:rsidR="00A14617" w:rsidRPr="006E4468">
        <w:rPr>
          <w:lang w:eastAsia="en-US"/>
        </w:rPr>
        <w:t xml:space="preserve"> </w:t>
      </w:r>
      <w:proofErr w:type="spellStart"/>
      <w:r w:rsidR="00A14617" w:rsidRPr="006E4468">
        <w:rPr>
          <w:lang w:eastAsia="en-US"/>
        </w:rPr>
        <w:t>Tahrir</w:t>
      </w:r>
      <w:proofErr w:type="spellEnd"/>
      <w:r w:rsidR="00A14617" w:rsidRPr="006E4468">
        <w:rPr>
          <w:lang w:eastAsia="en-US"/>
        </w:rPr>
        <w:t xml:space="preserve"> al-Sham</w:t>
      </w:r>
      <w:r w:rsidR="00A14617">
        <w:rPr>
          <w:lang w:eastAsia="en-US"/>
        </w:rPr>
        <w:t xml:space="preserve"> </w:t>
      </w:r>
      <w:r w:rsidR="007B2828" w:rsidRPr="008B0EF4">
        <w:rPr>
          <w:rFonts w:eastAsia="Times New Roman"/>
        </w:rPr>
        <w:t xml:space="preserve">to consolidate power resulted in an increase in </w:t>
      </w:r>
      <w:r w:rsidR="00C77519">
        <w:rPr>
          <w:rFonts w:eastAsia="Times New Roman"/>
        </w:rPr>
        <w:t xml:space="preserve">the </w:t>
      </w:r>
      <w:r w:rsidR="007B2828" w:rsidRPr="008B0EF4">
        <w:rPr>
          <w:rFonts w:eastAsia="Times New Roman"/>
        </w:rPr>
        <w:t>prices of basic commodities</w:t>
      </w:r>
      <w:r w:rsidR="00BF26A0">
        <w:rPr>
          <w:rFonts w:eastAsia="Times New Roman"/>
        </w:rPr>
        <w:t>,</w:t>
      </w:r>
      <w:r w:rsidR="007B2828" w:rsidRPr="008B0EF4">
        <w:rPr>
          <w:rFonts w:eastAsia="Times New Roman"/>
        </w:rPr>
        <w:t xml:space="preserve"> such as bread </w:t>
      </w:r>
      <w:r w:rsidR="00C77519">
        <w:rPr>
          <w:rFonts w:eastAsia="Times New Roman"/>
        </w:rPr>
        <w:t>and</w:t>
      </w:r>
      <w:r w:rsidR="00C77519" w:rsidRPr="008B0EF4">
        <w:rPr>
          <w:rFonts w:eastAsia="Times New Roman"/>
        </w:rPr>
        <w:t xml:space="preserve"> </w:t>
      </w:r>
      <w:r w:rsidR="007B2828" w:rsidRPr="008B0EF4">
        <w:rPr>
          <w:rFonts w:eastAsia="Times New Roman"/>
        </w:rPr>
        <w:t xml:space="preserve">fuel. When </w:t>
      </w:r>
      <w:proofErr w:type="spellStart"/>
      <w:r w:rsidR="00A14617">
        <w:rPr>
          <w:rFonts w:eastAsia="Times New Roman"/>
        </w:rPr>
        <w:t>Hay’at</w:t>
      </w:r>
      <w:proofErr w:type="spellEnd"/>
      <w:r w:rsidR="00A14617">
        <w:rPr>
          <w:rFonts w:eastAsia="Times New Roman"/>
        </w:rPr>
        <w:t xml:space="preserve"> </w:t>
      </w:r>
      <w:proofErr w:type="spellStart"/>
      <w:r w:rsidR="00A14617">
        <w:rPr>
          <w:rFonts w:eastAsia="Times New Roman"/>
        </w:rPr>
        <w:t>Tahrir</w:t>
      </w:r>
      <w:proofErr w:type="spellEnd"/>
      <w:r w:rsidR="00A14617">
        <w:rPr>
          <w:rFonts w:eastAsia="Times New Roman"/>
        </w:rPr>
        <w:t xml:space="preserve"> al-Sham</w:t>
      </w:r>
      <w:r w:rsidR="007B2828" w:rsidRPr="008B0EF4">
        <w:rPr>
          <w:rFonts w:eastAsia="Times New Roman"/>
        </w:rPr>
        <w:t xml:space="preserve"> imposed a “tax” on olive oil production in the town, protests erupted and progressively spread to other areas </w:t>
      </w:r>
      <w:r w:rsidR="007B2828" w:rsidRPr="00F104BE">
        <w:rPr>
          <w:rFonts w:eastAsia="Times New Roman"/>
        </w:rPr>
        <w:t xml:space="preserve">that historically had a strong civil society presence, including </w:t>
      </w:r>
      <w:proofErr w:type="spellStart"/>
      <w:r w:rsidR="007B2828" w:rsidRPr="00F104BE">
        <w:rPr>
          <w:rFonts w:eastAsia="Times New Roman"/>
        </w:rPr>
        <w:t>Saraq</w:t>
      </w:r>
      <w:r w:rsidR="00F104BE" w:rsidRPr="00D6133C">
        <w:rPr>
          <w:rFonts w:eastAsia="Times New Roman"/>
        </w:rPr>
        <w:t>i</w:t>
      </w:r>
      <w:r w:rsidR="007B2828" w:rsidRPr="00F104BE">
        <w:rPr>
          <w:rFonts w:eastAsia="Times New Roman"/>
        </w:rPr>
        <w:t>b</w:t>
      </w:r>
      <w:proofErr w:type="spellEnd"/>
      <w:r w:rsidR="007B2828" w:rsidRPr="00F104BE">
        <w:rPr>
          <w:rFonts w:eastAsia="Times New Roman"/>
        </w:rPr>
        <w:t xml:space="preserve">, </w:t>
      </w:r>
      <w:proofErr w:type="spellStart"/>
      <w:r w:rsidR="007B2828" w:rsidRPr="00F104BE">
        <w:rPr>
          <w:rFonts w:eastAsia="Times New Roman"/>
        </w:rPr>
        <w:t>Salqin</w:t>
      </w:r>
      <w:proofErr w:type="spellEnd"/>
      <w:r w:rsidR="007B2828" w:rsidRPr="00F104BE">
        <w:rPr>
          <w:rFonts w:eastAsia="Times New Roman"/>
        </w:rPr>
        <w:t xml:space="preserve">, </w:t>
      </w:r>
      <w:bookmarkStart w:id="12" w:name="_Hlk30597478"/>
      <w:proofErr w:type="spellStart"/>
      <w:r w:rsidR="00F104BE" w:rsidRPr="00F104BE">
        <w:t>Ma‘arrat</w:t>
      </w:r>
      <w:proofErr w:type="spellEnd"/>
      <w:r w:rsidR="00F104BE" w:rsidRPr="00F104BE">
        <w:t xml:space="preserve"> al-</w:t>
      </w:r>
      <w:proofErr w:type="spellStart"/>
      <w:r w:rsidR="00F104BE" w:rsidRPr="00F104BE">
        <w:t>Nu‘man</w:t>
      </w:r>
      <w:bookmarkEnd w:id="12"/>
      <w:proofErr w:type="spellEnd"/>
      <w:r w:rsidR="007B2828" w:rsidRPr="00F104BE">
        <w:rPr>
          <w:rFonts w:eastAsia="Times New Roman"/>
        </w:rPr>
        <w:t xml:space="preserve">, and </w:t>
      </w:r>
      <w:proofErr w:type="spellStart"/>
      <w:r w:rsidR="007B2828" w:rsidRPr="00F104BE">
        <w:rPr>
          <w:rFonts w:eastAsia="Times New Roman"/>
        </w:rPr>
        <w:t>Atarib</w:t>
      </w:r>
      <w:proofErr w:type="spellEnd"/>
      <w:r w:rsidR="007B2828" w:rsidRPr="00F104BE">
        <w:rPr>
          <w:rFonts w:eastAsia="Times New Roman"/>
        </w:rPr>
        <w:t>.</w:t>
      </w:r>
    </w:p>
    <w:p w14:paraId="5DCABA30" w14:textId="1BD56688" w:rsidR="007B2828" w:rsidRPr="008B0EF4" w:rsidRDefault="001D6B13" w:rsidP="007B2828">
      <w:pPr>
        <w:spacing w:after="120" w:line="240" w:lineRule="atLeast"/>
        <w:ind w:left="1134" w:right="1134"/>
        <w:jc w:val="both"/>
        <w:rPr>
          <w:rFonts w:eastAsia="Times New Roman"/>
        </w:rPr>
      </w:pPr>
      <w:r w:rsidRPr="008B0EF4">
        <w:rPr>
          <w:rFonts w:eastAsia="Times New Roman"/>
        </w:rPr>
        <w:t>3</w:t>
      </w:r>
      <w:r w:rsidR="001B3EED" w:rsidRPr="008B0EF4">
        <w:rPr>
          <w:rFonts w:eastAsia="Times New Roman"/>
        </w:rPr>
        <w:t>4</w:t>
      </w:r>
      <w:r w:rsidR="006A33EC" w:rsidRPr="008B0EF4">
        <w:rPr>
          <w:rFonts w:eastAsia="Times New Roman"/>
        </w:rPr>
        <w:t>.</w:t>
      </w:r>
      <w:r w:rsidR="007B2828" w:rsidRPr="008B0EF4">
        <w:rPr>
          <w:rFonts w:eastAsia="Times New Roman"/>
        </w:rPr>
        <w:tab/>
      </w:r>
      <w:r w:rsidR="00AA474F" w:rsidRPr="00F104BE">
        <w:rPr>
          <w:rFonts w:eastAsia="Times New Roman"/>
        </w:rPr>
        <w:t>In response</w:t>
      </w:r>
      <w:r w:rsidR="007B2828" w:rsidRPr="00F104BE">
        <w:rPr>
          <w:rFonts w:eastAsia="Times New Roman"/>
        </w:rPr>
        <w:t xml:space="preserve">, </w:t>
      </w:r>
      <w:proofErr w:type="spellStart"/>
      <w:r w:rsidR="00A14617" w:rsidRPr="00F104BE">
        <w:rPr>
          <w:rFonts w:eastAsia="Times New Roman"/>
        </w:rPr>
        <w:t>Hay’at</w:t>
      </w:r>
      <w:proofErr w:type="spellEnd"/>
      <w:r w:rsidR="00A14617" w:rsidRPr="00F104BE">
        <w:rPr>
          <w:rFonts w:eastAsia="Times New Roman"/>
        </w:rPr>
        <w:t xml:space="preserve"> </w:t>
      </w:r>
      <w:proofErr w:type="spellStart"/>
      <w:r w:rsidR="00A14617" w:rsidRPr="00F104BE">
        <w:rPr>
          <w:rFonts w:eastAsia="Times New Roman"/>
        </w:rPr>
        <w:t>Tahrir</w:t>
      </w:r>
      <w:proofErr w:type="spellEnd"/>
      <w:r w:rsidR="00A14617" w:rsidRPr="00F104BE">
        <w:rPr>
          <w:rFonts w:eastAsia="Times New Roman"/>
        </w:rPr>
        <w:t xml:space="preserve"> al-Sham</w:t>
      </w:r>
      <w:r w:rsidR="007B2828" w:rsidRPr="00F104BE">
        <w:rPr>
          <w:rFonts w:eastAsia="Times New Roman"/>
        </w:rPr>
        <w:t xml:space="preserve"> fighters launched a rocket attack on </w:t>
      </w:r>
      <w:proofErr w:type="spellStart"/>
      <w:r w:rsidR="007B2828" w:rsidRPr="00F104BE">
        <w:rPr>
          <w:rFonts w:eastAsia="Times New Roman"/>
        </w:rPr>
        <w:t>Kafr</w:t>
      </w:r>
      <w:proofErr w:type="spellEnd"/>
      <w:r w:rsidR="007B2828" w:rsidRPr="00F104BE">
        <w:rPr>
          <w:rFonts w:eastAsia="Times New Roman"/>
        </w:rPr>
        <w:t xml:space="preserve"> </w:t>
      </w:r>
      <w:proofErr w:type="spellStart"/>
      <w:r w:rsidR="007B2828" w:rsidRPr="00F104BE">
        <w:rPr>
          <w:rFonts w:eastAsia="Times New Roman"/>
        </w:rPr>
        <w:t>Tak</w:t>
      </w:r>
      <w:r w:rsidR="00F104BE" w:rsidRPr="00D6133C">
        <w:rPr>
          <w:rFonts w:eastAsia="Times New Roman"/>
        </w:rPr>
        <w:t>ha</w:t>
      </w:r>
      <w:r w:rsidR="007B2828" w:rsidRPr="00F104BE">
        <w:rPr>
          <w:rFonts w:eastAsia="Times New Roman"/>
        </w:rPr>
        <w:t>rim</w:t>
      </w:r>
      <w:proofErr w:type="spellEnd"/>
      <w:r w:rsidR="007B2828" w:rsidRPr="00F104BE">
        <w:rPr>
          <w:rFonts w:eastAsia="Times New Roman"/>
        </w:rPr>
        <w:t xml:space="preserve"> </w:t>
      </w:r>
      <w:r w:rsidR="00AA474F" w:rsidRPr="00F104BE">
        <w:rPr>
          <w:rFonts w:eastAsia="Times New Roman"/>
        </w:rPr>
        <w:t>and</w:t>
      </w:r>
      <w:r w:rsidR="00AA474F" w:rsidRPr="008B0EF4">
        <w:rPr>
          <w:rFonts w:eastAsia="Times New Roman"/>
        </w:rPr>
        <w:t xml:space="preserve"> </w:t>
      </w:r>
      <w:r w:rsidR="007B2828" w:rsidRPr="008B0EF4">
        <w:rPr>
          <w:rFonts w:eastAsia="Times New Roman"/>
        </w:rPr>
        <w:t xml:space="preserve">in the morning of 7 </w:t>
      </w:r>
      <w:proofErr w:type="gramStart"/>
      <w:r w:rsidR="007B2828" w:rsidRPr="008B0EF4">
        <w:rPr>
          <w:rFonts w:eastAsia="Times New Roman"/>
        </w:rPr>
        <w:t>November</w:t>
      </w:r>
      <w:proofErr w:type="gramEnd"/>
      <w:r w:rsidR="007B2828" w:rsidRPr="008B0EF4">
        <w:rPr>
          <w:rFonts w:eastAsia="Times New Roman"/>
        </w:rPr>
        <w:t xml:space="preserve"> they shot at fighters and civilians</w:t>
      </w:r>
      <w:r w:rsidR="00AA474F" w:rsidRPr="008B0EF4">
        <w:rPr>
          <w:rFonts w:eastAsia="Times New Roman"/>
        </w:rPr>
        <w:t xml:space="preserve"> while entering the town</w:t>
      </w:r>
      <w:r w:rsidR="007B2828" w:rsidRPr="008B0EF4">
        <w:rPr>
          <w:rFonts w:eastAsia="Times New Roman"/>
        </w:rPr>
        <w:t xml:space="preserve">.  Some 30 men dressed in military clothing with covered faces stormed a three-storey building where approximately 100 civilians were hiding in the basement, resulting in the death of at least </w:t>
      </w:r>
      <w:r w:rsidR="00C77519">
        <w:rPr>
          <w:rFonts w:eastAsia="Times New Roman"/>
        </w:rPr>
        <w:t>3</w:t>
      </w:r>
      <w:r w:rsidR="00C77519" w:rsidRPr="008B0EF4">
        <w:rPr>
          <w:rFonts w:eastAsia="Times New Roman"/>
        </w:rPr>
        <w:t xml:space="preserve"> </w:t>
      </w:r>
      <w:r w:rsidR="007B2828" w:rsidRPr="008B0EF4">
        <w:rPr>
          <w:rFonts w:eastAsia="Times New Roman"/>
        </w:rPr>
        <w:t xml:space="preserve">individuals and </w:t>
      </w:r>
      <w:r w:rsidR="00C77519" w:rsidRPr="008B0EF4">
        <w:rPr>
          <w:rFonts w:eastAsia="Times New Roman"/>
        </w:rPr>
        <w:t>injur</w:t>
      </w:r>
      <w:r w:rsidR="00C77519">
        <w:rPr>
          <w:rFonts w:eastAsia="Times New Roman"/>
        </w:rPr>
        <w:t>ing</w:t>
      </w:r>
      <w:r w:rsidR="00C77519" w:rsidRPr="008B0EF4">
        <w:rPr>
          <w:rFonts w:eastAsia="Times New Roman"/>
        </w:rPr>
        <w:t xml:space="preserve"> </w:t>
      </w:r>
      <w:r w:rsidR="007B2828" w:rsidRPr="008B0EF4">
        <w:rPr>
          <w:rFonts w:eastAsia="Times New Roman"/>
        </w:rPr>
        <w:t xml:space="preserve">10 others, including a 16-year-old boy. Members of the group also prevented injured civilians from leaving and shot at an ambulance transporting the wounded.  </w:t>
      </w:r>
    </w:p>
    <w:p w14:paraId="4555B1F5" w14:textId="7C72D898" w:rsidR="007B2828" w:rsidRPr="008B0EF4" w:rsidRDefault="001D6B13" w:rsidP="007B2828">
      <w:pPr>
        <w:spacing w:after="120" w:line="240" w:lineRule="atLeast"/>
        <w:ind w:left="1134" w:right="1134"/>
        <w:jc w:val="both"/>
        <w:rPr>
          <w:rFonts w:eastAsia="Calibri"/>
        </w:rPr>
      </w:pPr>
      <w:r w:rsidRPr="008B0EF4">
        <w:rPr>
          <w:rFonts w:eastAsia="Calibri"/>
        </w:rPr>
        <w:t>3</w:t>
      </w:r>
      <w:r w:rsidR="001B3EED" w:rsidRPr="008B0EF4">
        <w:rPr>
          <w:rFonts w:eastAsia="Calibri"/>
        </w:rPr>
        <w:t>5</w:t>
      </w:r>
      <w:r w:rsidR="006A33EC" w:rsidRPr="008B0EF4">
        <w:rPr>
          <w:rFonts w:eastAsia="Calibri"/>
        </w:rPr>
        <w:t>.</w:t>
      </w:r>
      <w:r w:rsidR="007B2828" w:rsidRPr="008B0EF4">
        <w:rPr>
          <w:rFonts w:eastAsia="Calibri"/>
        </w:rPr>
        <w:tab/>
      </w:r>
      <w:proofErr w:type="spellStart"/>
      <w:r w:rsidR="00A14617">
        <w:rPr>
          <w:rFonts w:eastAsia="Calibri"/>
        </w:rPr>
        <w:t>Hay’at</w:t>
      </w:r>
      <w:proofErr w:type="spellEnd"/>
      <w:r w:rsidR="00A14617">
        <w:rPr>
          <w:rFonts w:eastAsia="Calibri"/>
        </w:rPr>
        <w:t xml:space="preserve"> </w:t>
      </w:r>
      <w:proofErr w:type="spellStart"/>
      <w:r w:rsidR="00A14617">
        <w:rPr>
          <w:rFonts w:eastAsia="Calibri"/>
        </w:rPr>
        <w:t>Tahrir</w:t>
      </w:r>
      <w:proofErr w:type="spellEnd"/>
      <w:r w:rsidR="00A14617">
        <w:rPr>
          <w:rFonts w:eastAsia="Calibri"/>
        </w:rPr>
        <w:t xml:space="preserve"> al-Sham</w:t>
      </w:r>
      <w:r w:rsidR="007B2828" w:rsidRPr="008B0EF4">
        <w:rPr>
          <w:rFonts w:eastAsia="Calibri"/>
        </w:rPr>
        <w:t xml:space="preserve"> terrorists continued to recruit and use children to participate in hostilities,</w:t>
      </w:r>
      <w:r w:rsidR="007B2828" w:rsidRPr="008B0EF4">
        <w:rPr>
          <w:rStyle w:val="FootnoteReference"/>
          <w:rFonts w:eastAsia="Calibri"/>
        </w:rPr>
        <w:footnoteReference w:id="20"/>
      </w:r>
      <w:r w:rsidR="007B2828" w:rsidRPr="008B0EF4">
        <w:rPr>
          <w:rFonts w:eastAsia="Calibri"/>
        </w:rPr>
        <w:t xml:space="preserve"> targeting primarily young boys who had missed years of schooling as guards or </w:t>
      </w:r>
      <w:r w:rsidR="00C77519" w:rsidRPr="008B0EF4">
        <w:rPr>
          <w:rFonts w:eastAsia="Calibri"/>
        </w:rPr>
        <w:t>checkpoint</w:t>
      </w:r>
      <w:r w:rsidR="00C77519">
        <w:rPr>
          <w:rFonts w:eastAsia="Calibri"/>
        </w:rPr>
        <w:t xml:space="preserve"> personnel</w:t>
      </w:r>
      <w:r w:rsidR="007B2828" w:rsidRPr="008B0EF4">
        <w:rPr>
          <w:rFonts w:eastAsia="Calibri"/>
        </w:rPr>
        <w:t xml:space="preserve"> in </w:t>
      </w:r>
      <w:proofErr w:type="spellStart"/>
      <w:r w:rsidR="007B2828" w:rsidRPr="008B0EF4">
        <w:rPr>
          <w:rFonts w:eastAsia="Calibri"/>
        </w:rPr>
        <w:t>Idlib</w:t>
      </w:r>
      <w:proofErr w:type="spellEnd"/>
      <w:r w:rsidR="007B2828" w:rsidRPr="008B0EF4">
        <w:rPr>
          <w:rFonts w:eastAsia="Calibri"/>
        </w:rPr>
        <w:t xml:space="preserve"> Governorate. Owing to existing gender norms, boys </w:t>
      </w:r>
      <w:proofErr w:type="gramStart"/>
      <w:r w:rsidR="007B2828" w:rsidRPr="008B0EF4">
        <w:rPr>
          <w:rFonts w:eastAsia="Calibri"/>
        </w:rPr>
        <w:t>have also been expected</w:t>
      </w:r>
      <w:proofErr w:type="gramEnd"/>
      <w:r w:rsidR="007B2828" w:rsidRPr="008B0EF4">
        <w:rPr>
          <w:rFonts w:eastAsia="Calibri"/>
        </w:rPr>
        <w:t xml:space="preserve"> to take on the role of breadwinner, especially within female-headed households, and have subsequently joined </w:t>
      </w:r>
      <w:proofErr w:type="spellStart"/>
      <w:r w:rsidR="00A14617">
        <w:rPr>
          <w:rFonts w:eastAsia="Calibri"/>
        </w:rPr>
        <w:t>Hay’at</w:t>
      </w:r>
      <w:proofErr w:type="spellEnd"/>
      <w:r w:rsidR="00A14617">
        <w:rPr>
          <w:rFonts w:eastAsia="Calibri"/>
        </w:rPr>
        <w:t xml:space="preserve"> </w:t>
      </w:r>
      <w:proofErr w:type="spellStart"/>
      <w:r w:rsidR="00A14617">
        <w:rPr>
          <w:rFonts w:eastAsia="Calibri"/>
        </w:rPr>
        <w:t>Tahrir</w:t>
      </w:r>
      <w:proofErr w:type="spellEnd"/>
      <w:r w:rsidR="00A14617">
        <w:rPr>
          <w:rFonts w:eastAsia="Calibri"/>
        </w:rPr>
        <w:t xml:space="preserve"> al-Sham</w:t>
      </w:r>
      <w:r w:rsidR="007B2828" w:rsidRPr="008B0EF4">
        <w:rPr>
          <w:rFonts w:eastAsia="Calibri"/>
        </w:rPr>
        <w:t xml:space="preserve"> to ensure income </w:t>
      </w:r>
      <w:r w:rsidR="001B3EED" w:rsidRPr="008B0EF4">
        <w:rPr>
          <w:rFonts w:eastAsia="Calibri"/>
        </w:rPr>
        <w:t xml:space="preserve">for </w:t>
      </w:r>
      <w:r w:rsidR="007B2828" w:rsidRPr="008B0EF4">
        <w:rPr>
          <w:rFonts w:eastAsia="Calibri"/>
        </w:rPr>
        <w:t xml:space="preserve">their families. A 16-year-old boy in </w:t>
      </w:r>
      <w:proofErr w:type="spellStart"/>
      <w:r w:rsidR="007B2828" w:rsidRPr="0026121E">
        <w:rPr>
          <w:rFonts w:eastAsia="Calibri"/>
        </w:rPr>
        <w:t>Sarmada</w:t>
      </w:r>
      <w:proofErr w:type="spellEnd"/>
      <w:r w:rsidR="007B2828" w:rsidRPr="008B0EF4">
        <w:rPr>
          <w:rFonts w:eastAsia="Calibri"/>
        </w:rPr>
        <w:t xml:space="preserve"> joined the terrorist group and participated in hostilities in order to support his siblings after the death of his father. One interviewee described how children </w:t>
      </w:r>
      <w:r w:rsidR="001D3200" w:rsidRPr="008B0EF4">
        <w:rPr>
          <w:rFonts w:eastAsia="Calibri"/>
        </w:rPr>
        <w:t>under</w:t>
      </w:r>
      <w:r w:rsidR="001D3200">
        <w:rPr>
          <w:rFonts w:eastAsia="Calibri"/>
        </w:rPr>
        <w:t>went</w:t>
      </w:r>
      <w:r w:rsidR="001D3200" w:rsidRPr="008B0EF4">
        <w:rPr>
          <w:rFonts w:eastAsia="Calibri"/>
        </w:rPr>
        <w:t xml:space="preserve"> </w:t>
      </w:r>
      <w:r w:rsidR="007B2828" w:rsidRPr="008B0EF4">
        <w:rPr>
          <w:rFonts w:eastAsia="Calibri"/>
        </w:rPr>
        <w:t xml:space="preserve">religious and military training prior to participating in hostilities. </w:t>
      </w:r>
    </w:p>
    <w:p w14:paraId="0398DAC6" w14:textId="5CEC4916" w:rsidR="007B2828" w:rsidRPr="008B0EF4" w:rsidRDefault="007B2828" w:rsidP="007B2828">
      <w:pPr>
        <w:spacing w:after="120" w:line="240" w:lineRule="atLeast"/>
        <w:ind w:left="1134" w:right="1134"/>
        <w:jc w:val="both"/>
        <w:rPr>
          <w:rFonts w:eastAsia="Calibri"/>
        </w:rPr>
      </w:pPr>
      <w:r w:rsidRPr="008B0EF4">
        <w:rPr>
          <w:rFonts w:eastAsia="Calibri"/>
        </w:rPr>
        <w:t>3</w:t>
      </w:r>
      <w:r w:rsidR="001B3EED" w:rsidRPr="008B0EF4">
        <w:rPr>
          <w:rFonts w:eastAsia="Calibri"/>
        </w:rPr>
        <w:t>6</w:t>
      </w:r>
      <w:r w:rsidR="006A33EC" w:rsidRPr="008B0EF4">
        <w:rPr>
          <w:rFonts w:eastAsia="Calibri"/>
        </w:rPr>
        <w:t>.</w:t>
      </w:r>
      <w:r w:rsidRPr="008B0EF4">
        <w:rPr>
          <w:rFonts w:eastAsia="Calibri"/>
        </w:rPr>
        <w:tab/>
        <w:t>Following an air</w:t>
      </w:r>
      <w:r w:rsidR="009443AF">
        <w:rPr>
          <w:rFonts w:eastAsia="Calibri"/>
        </w:rPr>
        <w:t xml:space="preserve"> </w:t>
      </w:r>
      <w:r w:rsidRPr="008B0EF4">
        <w:rPr>
          <w:rFonts w:eastAsia="Calibri"/>
        </w:rPr>
        <w:t xml:space="preserve">strike conducted by international coalition forces on 31 August targeting one </w:t>
      </w:r>
      <w:r w:rsidR="001D3200">
        <w:rPr>
          <w:rFonts w:eastAsia="Calibri"/>
        </w:rPr>
        <w:t>A</w:t>
      </w:r>
      <w:r w:rsidRPr="008B0EF4">
        <w:rPr>
          <w:rFonts w:eastAsia="Calibri"/>
        </w:rPr>
        <w:t xml:space="preserve">l-Qaida facility located north of </w:t>
      </w:r>
      <w:proofErr w:type="spellStart"/>
      <w:r w:rsidRPr="008B0EF4">
        <w:rPr>
          <w:rFonts w:eastAsia="Calibri"/>
        </w:rPr>
        <w:t>Idlib</w:t>
      </w:r>
      <w:proofErr w:type="spellEnd"/>
      <w:r w:rsidRPr="008B0EF4">
        <w:rPr>
          <w:rFonts w:eastAsia="Calibri"/>
        </w:rPr>
        <w:t>,</w:t>
      </w:r>
      <w:r w:rsidR="004C6B84" w:rsidRPr="008B0EF4">
        <w:rPr>
          <w:rStyle w:val="FootnoteReference"/>
          <w:rFonts w:eastAsia="Calibri"/>
        </w:rPr>
        <w:footnoteReference w:id="21"/>
      </w:r>
      <w:r w:rsidRPr="008B0EF4">
        <w:rPr>
          <w:rFonts w:eastAsia="Calibri"/>
        </w:rPr>
        <w:t xml:space="preserve"> young </w:t>
      </w:r>
      <w:r w:rsidR="001B3EED" w:rsidRPr="008B0EF4">
        <w:rPr>
          <w:rFonts w:eastAsia="Calibri"/>
        </w:rPr>
        <w:t xml:space="preserve">males </w:t>
      </w:r>
      <w:r w:rsidRPr="008B0EF4">
        <w:rPr>
          <w:rFonts w:eastAsia="Calibri"/>
        </w:rPr>
        <w:t>were observed among the victims, including boys aged between 12 and 13, who we</w:t>
      </w:r>
      <w:r w:rsidR="00F013D9" w:rsidRPr="008B0EF4">
        <w:rPr>
          <w:rFonts w:eastAsia="Calibri"/>
        </w:rPr>
        <w:t xml:space="preserve">re dressed in military clothing. </w:t>
      </w:r>
      <w:r w:rsidRPr="008B0EF4">
        <w:rPr>
          <w:rFonts w:eastAsia="Calibri"/>
        </w:rPr>
        <w:t xml:space="preserve">The children </w:t>
      </w:r>
      <w:proofErr w:type="gramStart"/>
      <w:r w:rsidRPr="008B0EF4">
        <w:rPr>
          <w:rFonts w:eastAsia="Calibri"/>
        </w:rPr>
        <w:t xml:space="preserve">were reportedly being recruited and subjected to religious training by members of </w:t>
      </w:r>
      <w:proofErr w:type="spellStart"/>
      <w:r w:rsidRPr="00F104BE">
        <w:rPr>
          <w:rFonts w:eastAsia="Calibri"/>
        </w:rPr>
        <w:t>Ansar</w:t>
      </w:r>
      <w:proofErr w:type="spellEnd"/>
      <w:r w:rsidRPr="00F104BE">
        <w:rPr>
          <w:rFonts w:eastAsia="Calibri"/>
        </w:rPr>
        <w:t xml:space="preserve"> al-</w:t>
      </w:r>
      <w:proofErr w:type="spellStart"/>
      <w:r w:rsidRPr="00F104BE">
        <w:rPr>
          <w:rFonts w:eastAsia="Calibri"/>
        </w:rPr>
        <w:t>Tawhid</w:t>
      </w:r>
      <w:proofErr w:type="spellEnd"/>
      <w:proofErr w:type="gramEnd"/>
      <w:r w:rsidRPr="008B0EF4">
        <w:rPr>
          <w:rFonts w:eastAsia="Calibri"/>
        </w:rPr>
        <w:t>.</w:t>
      </w:r>
    </w:p>
    <w:p w14:paraId="1A0D9E72" w14:textId="6FBCB338" w:rsidR="007B2828" w:rsidRPr="008B0EF4" w:rsidRDefault="007B2828" w:rsidP="007B2828">
      <w:pPr>
        <w:spacing w:after="120" w:line="240" w:lineRule="atLeast"/>
        <w:ind w:left="1134" w:right="1134"/>
        <w:jc w:val="both"/>
        <w:rPr>
          <w:rFonts w:eastAsia="Times New Roman"/>
        </w:rPr>
      </w:pPr>
      <w:r w:rsidRPr="008B0EF4">
        <w:rPr>
          <w:rFonts w:eastAsia="Times New Roman"/>
        </w:rPr>
        <w:t>3</w:t>
      </w:r>
      <w:r w:rsidR="001B3EED" w:rsidRPr="008B0EF4">
        <w:rPr>
          <w:rFonts w:eastAsia="Times New Roman"/>
        </w:rPr>
        <w:t>7</w:t>
      </w:r>
      <w:r w:rsidR="006A33EC" w:rsidRPr="008B0EF4">
        <w:rPr>
          <w:rFonts w:eastAsia="Times New Roman"/>
        </w:rPr>
        <w:t>.</w:t>
      </w:r>
      <w:r w:rsidRPr="008B0EF4">
        <w:rPr>
          <w:rFonts w:eastAsia="Times New Roman"/>
        </w:rPr>
        <w:tab/>
        <w:t>Individuals expressing dissent or openly criticizing</w:t>
      </w:r>
      <w:r w:rsidR="00A14617">
        <w:rPr>
          <w:rFonts w:eastAsia="Times New Roman"/>
        </w:rPr>
        <w:t xml:space="preserve"> the </w:t>
      </w:r>
      <w:r w:rsidRPr="008B0EF4">
        <w:rPr>
          <w:rFonts w:eastAsia="Times New Roman"/>
        </w:rPr>
        <w:t>presence</w:t>
      </w:r>
      <w:r w:rsidR="00A14617">
        <w:rPr>
          <w:rFonts w:eastAsia="Times New Roman"/>
        </w:rPr>
        <w:t xml:space="preserve"> of </w:t>
      </w:r>
      <w:proofErr w:type="spellStart"/>
      <w:r w:rsidR="00A14617" w:rsidRPr="006E4468">
        <w:rPr>
          <w:lang w:eastAsia="en-US"/>
        </w:rPr>
        <w:t>Hay’at</w:t>
      </w:r>
      <w:proofErr w:type="spellEnd"/>
      <w:r w:rsidR="00A14617" w:rsidRPr="006E4468">
        <w:rPr>
          <w:lang w:eastAsia="en-US"/>
        </w:rPr>
        <w:t xml:space="preserve"> </w:t>
      </w:r>
      <w:proofErr w:type="spellStart"/>
      <w:r w:rsidR="00A14617" w:rsidRPr="006E4468">
        <w:rPr>
          <w:lang w:eastAsia="en-US"/>
        </w:rPr>
        <w:t>Tahrir</w:t>
      </w:r>
      <w:proofErr w:type="spellEnd"/>
      <w:r w:rsidR="00A14617" w:rsidRPr="006E4468">
        <w:rPr>
          <w:lang w:eastAsia="en-US"/>
        </w:rPr>
        <w:t xml:space="preserve"> al-Sham</w:t>
      </w:r>
      <w:r w:rsidRPr="008B0EF4">
        <w:rPr>
          <w:rFonts w:eastAsia="Times New Roman"/>
        </w:rPr>
        <w:t xml:space="preserve">, such as activists and media workers, </w:t>
      </w:r>
      <w:proofErr w:type="gramStart"/>
      <w:r w:rsidRPr="008B0EF4">
        <w:rPr>
          <w:rFonts w:eastAsia="Times New Roman"/>
        </w:rPr>
        <w:t>continued to be subjected</w:t>
      </w:r>
      <w:proofErr w:type="gramEnd"/>
      <w:r w:rsidRPr="008B0EF4">
        <w:rPr>
          <w:rFonts w:eastAsia="Times New Roman"/>
        </w:rPr>
        <w:t xml:space="preserve"> to persecution. At least six activists </w:t>
      </w:r>
      <w:proofErr w:type="gramStart"/>
      <w:r w:rsidRPr="008B0EF4">
        <w:rPr>
          <w:rFonts w:eastAsia="Times New Roman"/>
        </w:rPr>
        <w:t>were detained</w:t>
      </w:r>
      <w:proofErr w:type="gramEnd"/>
      <w:r w:rsidRPr="008B0EF4">
        <w:rPr>
          <w:rFonts w:eastAsia="Times New Roman"/>
        </w:rPr>
        <w:t xml:space="preserve"> between August and September, including one photographer who filmed members of the terrorist group and later released a video </w:t>
      </w:r>
      <w:r w:rsidR="00F013D9" w:rsidRPr="008B0EF4">
        <w:rPr>
          <w:rFonts w:eastAsia="Times New Roman"/>
        </w:rPr>
        <w:t>reportedly exposing corruption</w:t>
      </w:r>
      <w:r w:rsidRPr="008B0EF4">
        <w:rPr>
          <w:rFonts w:eastAsia="Times New Roman"/>
        </w:rPr>
        <w:t xml:space="preserve">. </w:t>
      </w:r>
    </w:p>
    <w:p w14:paraId="17843DF4" w14:textId="790F9CB9" w:rsidR="007B2828" w:rsidRPr="008B0EF4" w:rsidRDefault="001B3EED" w:rsidP="007B2828">
      <w:pPr>
        <w:spacing w:after="120" w:line="240" w:lineRule="atLeast"/>
        <w:ind w:left="1134" w:right="1134"/>
        <w:jc w:val="both"/>
        <w:rPr>
          <w:rFonts w:eastAsia="Calibri"/>
          <w:szCs w:val="24"/>
        </w:rPr>
      </w:pPr>
      <w:r w:rsidRPr="008B0EF4">
        <w:rPr>
          <w:rFonts w:eastAsia="Times New Roman"/>
        </w:rPr>
        <w:t>38</w:t>
      </w:r>
      <w:r w:rsidR="006A33EC" w:rsidRPr="008B0EF4">
        <w:rPr>
          <w:rFonts w:eastAsia="Times New Roman"/>
        </w:rPr>
        <w:t>.</w:t>
      </w:r>
      <w:r w:rsidR="004C6B84" w:rsidRPr="008B0EF4">
        <w:rPr>
          <w:rFonts w:eastAsia="Times New Roman"/>
        </w:rPr>
        <w:tab/>
      </w:r>
      <w:r w:rsidR="007B2828" w:rsidRPr="008B0EF4">
        <w:rPr>
          <w:rFonts w:eastAsia="Times New Roman"/>
        </w:rPr>
        <w:t xml:space="preserve">During the period under review, journalists reported that </w:t>
      </w:r>
      <w:proofErr w:type="spellStart"/>
      <w:r w:rsidR="00052F8A">
        <w:rPr>
          <w:rFonts w:eastAsia="Times New Roman"/>
        </w:rPr>
        <w:t>Hay’at</w:t>
      </w:r>
      <w:proofErr w:type="spellEnd"/>
      <w:r w:rsidR="00052F8A">
        <w:rPr>
          <w:rFonts w:eastAsia="Times New Roman"/>
        </w:rPr>
        <w:t xml:space="preserve"> </w:t>
      </w:r>
      <w:proofErr w:type="spellStart"/>
      <w:r w:rsidR="00052F8A">
        <w:rPr>
          <w:rFonts w:eastAsia="Times New Roman"/>
        </w:rPr>
        <w:t>Tahrir</w:t>
      </w:r>
      <w:proofErr w:type="spellEnd"/>
      <w:r w:rsidR="00052F8A">
        <w:rPr>
          <w:rFonts w:eastAsia="Times New Roman"/>
        </w:rPr>
        <w:t xml:space="preserve"> al-Sham</w:t>
      </w:r>
      <w:r w:rsidR="007B2828" w:rsidRPr="008B0EF4">
        <w:rPr>
          <w:rFonts w:eastAsia="Times New Roman"/>
        </w:rPr>
        <w:t xml:space="preserve"> </w:t>
      </w:r>
      <w:r w:rsidR="001D3200" w:rsidRPr="008B0EF4">
        <w:rPr>
          <w:rFonts w:eastAsia="Times New Roman"/>
        </w:rPr>
        <w:t>maintain</w:t>
      </w:r>
      <w:r w:rsidR="001D3200">
        <w:rPr>
          <w:rFonts w:eastAsia="Times New Roman"/>
        </w:rPr>
        <w:t>ed</w:t>
      </w:r>
      <w:r w:rsidR="001D3200" w:rsidRPr="008B0EF4">
        <w:rPr>
          <w:rFonts w:eastAsia="Times New Roman"/>
        </w:rPr>
        <w:t xml:space="preserve"> </w:t>
      </w:r>
      <w:r w:rsidR="007B2828" w:rsidRPr="008B0EF4">
        <w:rPr>
          <w:rFonts w:eastAsia="Times New Roman"/>
        </w:rPr>
        <w:t xml:space="preserve">a </w:t>
      </w:r>
      <w:r w:rsidR="007B2828" w:rsidRPr="008B0EF4">
        <w:rPr>
          <w:rFonts w:eastAsia="Calibri"/>
          <w:szCs w:val="24"/>
        </w:rPr>
        <w:t>list</w:t>
      </w:r>
      <w:r w:rsidR="007B2828" w:rsidRPr="008B0EF4">
        <w:rPr>
          <w:rFonts w:eastAsia="Times New Roman"/>
        </w:rPr>
        <w:t xml:space="preserve"> of names and pictures of activists </w:t>
      </w:r>
      <w:proofErr w:type="gramStart"/>
      <w:r w:rsidR="007B2828" w:rsidRPr="008B0EF4">
        <w:rPr>
          <w:rFonts w:eastAsia="Times New Roman"/>
        </w:rPr>
        <w:t>on the basis of</w:t>
      </w:r>
      <w:proofErr w:type="gramEnd"/>
      <w:r w:rsidR="007B2828" w:rsidRPr="008B0EF4">
        <w:rPr>
          <w:rFonts w:eastAsia="Times New Roman"/>
        </w:rPr>
        <w:t xml:space="preserve"> which the group </w:t>
      </w:r>
      <w:r w:rsidR="001D3200" w:rsidRPr="008B0EF4">
        <w:rPr>
          <w:rFonts w:eastAsia="Times New Roman"/>
        </w:rPr>
        <w:t>detain</w:t>
      </w:r>
      <w:r w:rsidR="001D3200">
        <w:rPr>
          <w:rFonts w:eastAsia="Times New Roman"/>
        </w:rPr>
        <w:t>ed</w:t>
      </w:r>
      <w:r w:rsidR="001D3200" w:rsidRPr="008B0EF4">
        <w:rPr>
          <w:rFonts w:eastAsia="Times New Roman"/>
        </w:rPr>
        <w:t xml:space="preserve"> </w:t>
      </w:r>
      <w:r w:rsidR="007B2828" w:rsidRPr="008B0EF4">
        <w:rPr>
          <w:rFonts w:eastAsia="Times New Roman"/>
        </w:rPr>
        <w:t xml:space="preserve">individuals who </w:t>
      </w:r>
      <w:r w:rsidR="001D3200" w:rsidRPr="008B0EF4">
        <w:rPr>
          <w:rFonts w:eastAsia="Times New Roman"/>
        </w:rPr>
        <w:t>ha</w:t>
      </w:r>
      <w:r w:rsidR="001D3200">
        <w:rPr>
          <w:rFonts w:eastAsia="Times New Roman"/>
        </w:rPr>
        <w:t>d</w:t>
      </w:r>
      <w:r w:rsidR="001D3200" w:rsidRPr="008B0EF4">
        <w:rPr>
          <w:rFonts w:eastAsia="Times New Roman"/>
        </w:rPr>
        <w:t xml:space="preserve"> </w:t>
      </w:r>
      <w:r w:rsidR="007B2828" w:rsidRPr="008B0EF4">
        <w:rPr>
          <w:rFonts w:eastAsia="Times New Roman"/>
        </w:rPr>
        <w:t>express</w:t>
      </w:r>
      <w:r w:rsidRPr="008B0EF4">
        <w:rPr>
          <w:rFonts w:eastAsia="Times New Roman"/>
        </w:rPr>
        <w:t>ed</w:t>
      </w:r>
      <w:r w:rsidR="007B2828" w:rsidRPr="008B0EF4">
        <w:rPr>
          <w:rFonts w:eastAsia="Times New Roman"/>
        </w:rPr>
        <w:t xml:space="preserve"> dissent or disagreement. When civilians gathered to prot</w:t>
      </w:r>
      <w:r w:rsidR="00785875" w:rsidRPr="008B0EF4">
        <w:rPr>
          <w:rFonts w:eastAsia="Times New Roman"/>
        </w:rPr>
        <w:t xml:space="preserve">est against </w:t>
      </w:r>
      <w:proofErr w:type="spellStart"/>
      <w:r w:rsidR="00052F8A">
        <w:rPr>
          <w:rFonts w:eastAsia="Times New Roman"/>
        </w:rPr>
        <w:t>Hay’at</w:t>
      </w:r>
      <w:proofErr w:type="spellEnd"/>
      <w:r w:rsidR="00052F8A">
        <w:rPr>
          <w:rFonts w:eastAsia="Times New Roman"/>
        </w:rPr>
        <w:t xml:space="preserve"> </w:t>
      </w:r>
      <w:proofErr w:type="spellStart"/>
      <w:r w:rsidR="00052F8A">
        <w:rPr>
          <w:rFonts w:eastAsia="Times New Roman"/>
        </w:rPr>
        <w:t>Tahrir</w:t>
      </w:r>
      <w:proofErr w:type="spellEnd"/>
      <w:r w:rsidR="00052F8A">
        <w:rPr>
          <w:rFonts w:eastAsia="Times New Roman"/>
        </w:rPr>
        <w:t xml:space="preserve"> al-Sham</w:t>
      </w:r>
      <w:r w:rsidR="00785875" w:rsidRPr="008B0EF4">
        <w:rPr>
          <w:rFonts w:eastAsia="Times New Roman"/>
        </w:rPr>
        <w:t xml:space="preserve"> in </w:t>
      </w:r>
      <w:r w:rsidR="00785875" w:rsidRPr="00F104BE">
        <w:rPr>
          <w:rFonts w:eastAsia="Times New Roman"/>
        </w:rPr>
        <w:t>Bab al-</w:t>
      </w:r>
      <w:proofErr w:type="spellStart"/>
      <w:r w:rsidR="00785875" w:rsidRPr="00F104BE">
        <w:rPr>
          <w:rFonts w:eastAsia="Times New Roman"/>
        </w:rPr>
        <w:t>Hawa</w:t>
      </w:r>
      <w:proofErr w:type="spellEnd"/>
      <w:r w:rsidR="00785875" w:rsidRPr="008B0EF4">
        <w:rPr>
          <w:rFonts w:eastAsia="Times New Roman"/>
        </w:rPr>
        <w:t xml:space="preserve"> i</w:t>
      </w:r>
      <w:r w:rsidR="007B2828" w:rsidRPr="008B0EF4">
        <w:rPr>
          <w:rFonts w:eastAsia="Times New Roman"/>
        </w:rPr>
        <w:t xml:space="preserve">n </w:t>
      </w:r>
      <w:r w:rsidR="007B2828" w:rsidRPr="008B0EF4">
        <w:rPr>
          <w:rFonts w:eastAsia="Calibri"/>
          <w:szCs w:val="24"/>
        </w:rPr>
        <w:t>November</w:t>
      </w:r>
      <w:r w:rsidR="007B2828" w:rsidRPr="008B0EF4">
        <w:rPr>
          <w:rFonts w:eastAsia="Times New Roman"/>
        </w:rPr>
        <w:t xml:space="preserve">, members of the group took </w:t>
      </w:r>
      <w:r w:rsidR="001D3200" w:rsidRPr="008B0EF4">
        <w:rPr>
          <w:rFonts w:eastAsia="Times New Roman"/>
        </w:rPr>
        <w:t>p</w:t>
      </w:r>
      <w:r w:rsidR="001D3200">
        <w:rPr>
          <w:rFonts w:eastAsia="Times New Roman"/>
        </w:rPr>
        <w:t>hotographs</w:t>
      </w:r>
      <w:r w:rsidR="001D3200" w:rsidRPr="008B0EF4">
        <w:rPr>
          <w:rFonts w:eastAsia="Times New Roman"/>
        </w:rPr>
        <w:t xml:space="preserve"> </w:t>
      </w:r>
      <w:r w:rsidR="007B2828" w:rsidRPr="008B0EF4">
        <w:rPr>
          <w:rFonts w:eastAsia="Times New Roman"/>
        </w:rPr>
        <w:t xml:space="preserve">of demonstrators to identify them later at checkpoints. In another case, one activist reported receiving a written warning asking him to report to a “security office” linked to </w:t>
      </w:r>
      <w:r w:rsidR="00052F8A">
        <w:rPr>
          <w:rFonts w:eastAsia="Times New Roman"/>
        </w:rPr>
        <w:t>the</w:t>
      </w:r>
      <w:r w:rsidR="007B2828" w:rsidRPr="008B0EF4">
        <w:rPr>
          <w:rFonts w:eastAsia="Times New Roman"/>
        </w:rPr>
        <w:t xml:space="preserve"> </w:t>
      </w:r>
      <w:proofErr w:type="spellStart"/>
      <w:r w:rsidR="007B2828" w:rsidRPr="002F6F71">
        <w:rPr>
          <w:rFonts w:eastAsia="Times New Roman"/>
        </w:rPr>
        <w:t>Ouqab</w:t>
      </w:r>
      <w:proofErr w:type="spellEnd"/>
      <w:r w:rsidR="007B2828" w:rsidRPr="00F104BE">
        <w:rPr>
          <w:rFonts w:eastAsia="Times New Roman"/>
        </w:rPr>
        <w:t xml:space="preserve"> prison </w:t>
      </w:r>
      <w:r w:rsidR="00052F8A" w:rsidRPr="00F104BE">
        <w:rPr>
          <w:rFonts w:eastAsia="Times New Roman"/>
        </w:rPr>
        <w:t>run</w:t>
      </w:r>
      <w:r w:rsidR="00052F8A">
        <w:rPr>
          <w:rFonts w:eastAsia="Times New Roman"/>
        </w:rPr>
        <w:t xml:space="preserve"> by </w:t>
      </w:r>
      <w:proofErr w:type="spellStart"/>
      <w:r w:rsidR="00052F8A" w:rsidRPr="006E4468">
        <w:rPr>
          <w:lang w:eastAsia="en-US"/>
        </w:rPr>
        <w:t>Hay’at</w:t>
      </w:r>
      <w:proofErr w:type="spellEnd"/>
      <w:r w:rsidR="00052F8A" w:rsidRPr="006E4468">
        <w:rPr>
          <w:lang w:eastAsia="en-US"/>
        </w:rPr>
        <w:t xml:space="preserve"> </w:t>
      </w:r>
      <w:proofErr w:type="spellStart"/>
      <w:r w:rsidR="00052F8A" w:rsidRPr="006E4468">
        <w:rPr>
          <w:lang w:eastAsia="en-US"/>
        </w:rPr>
        <w:t>Tahrir</w:t>
      </w:r>
      <w:proofErr w:type="spellEnd"/>
      <w:r w:rsidR="00052F8A" w:rsidRPr="006E4468">
        <w:rPr>
          <w:lang w:eastAsia="en-US"/>
        </w:rPr>
        <w:t xml:space="preserve"> al-Sham</w:t>
      </w:r>
      <w:r w:rsidR="00052F8A">
        <w:rPr>
          <w:lang w:eastAsia="en-US"/>
        </w:rPr>
        <w:t xml:space="preserve"> </w:t>
      </w:r>
      <w:r w:rsidR="007B2828" w:rsidRPr="008B0EF4">
        <w:rPr>
          <w:rFonts w:eastAsia="Times New Roman"/>
        </w:rPr>
        <w:t xml:space="preserve">in </w:t>
      </w:r>
      <w:proofErr w:type="spellStart"/>
      <w:r w:rsidR="007B2828" w:rsidRPr="008B0EF4">
        <w:rPr>
          <w:rFonts w:eastAsia="Times New Roman"/>
        </w:rPr>
        <w:t>Idlib</w:t>
      </w:r>
      <w:proofErr w:type="spellEnd"/>
      <w:r w:rsidR="007B2828" w:rsidRPr="008B0EF4">
        <w:rPr>
          <w:rFonts w:eastAsia="Times New Roman"/>
        </w:rPr>
        <w:t xml:space="preserve">. </w:t>
      </w:r>
      <w:r w:rsidR="007B2828" w:rsidRPr="008B0EF4">
        <w:rPr>
          <w:rFonts w:eastAsia="Calibri"/>
          <w:szCs w:val="24"/>
        </w:rPr>
        <w:t xml:space="preserve">The warning did not state the reason for his summons, though he considered it related to his journalism. Members of </w:t>
      </w:r>
      <w:proofErr w:type="spellStart"/>
      <w:r w:rsidR="00052F8A">
        <w:rPr>
          <w:rFonts w:eastAsia="Calibri"/>
          <w:szCs w:val="24"/>
        </w:rPr>
        <w:t>Hay’at</w:t>
      </w:r>
      <w:proofErr w:type="spellEnd"/>
      <w:r w:rsidR="00052F8A">
        <w:rPr>
          <w:rFonts w:eastAsia="Calibri"/>
          <w:szCs w:val="24"/>
        </w:rPr>
        <w:t xml:space="preserve"> </w:t>
      </w:r>
      <w:proofErr w:type="spellStart"/>
      <w:r w:rsidR="00052F8A">
        <w:rPr>
          <w:rFonts w:eastAsia="Calibri"/>
          <w:szCs w:val="24"/>
        </w:rPr>
        <w:t>Tahrir</w:t>
      </w:r>
      <w:proofErr w:type="spellEnd"/>
      <w:r w:rsidR="00052F8A">
        <w:rPr>
          <w:rFonts w:eastAsia="Calibri"/>
          <w:szCs w:val="24"/>
        </w:rPr>
        <w:t xml:space="preserve"> al-Sham</w:t>
      </w:r>
      <w:r w:rsidR="007B2828" w:rsidRPr="008B0EF4">
        <w:rPr>
          <w:rFonts w:eastAsia="Calibri"/>
          <w:szCs w:val="24"/>
        </w:rPr>
        <w:t xml:space="preserve"> threatened another journalist in relation to information she </w:t>
      </w:r>
      <w:r w:rsidR="00C9183B">
        <w:rPr>
          <w:rFonts w:eastAsia="Calibri"/>
          <w:szCs w:val="24"/>
        </w:rPr>
        <w:t xml:space="preserve">had </w:t>
      </w:r>
      <w:r w:rsidR="007B2828" w:rsidRPr="008B0EF4">
        <w:rPr>
          <w:rFonts w:eastAsia="Calibri"/>
          <w:szCs w:val="24"/>
        </w:rPr>
        <w:t xml:space="preserve">published online, which criticized the provision of services and other issues in </w:t>
      </w:r>
      <w:proofErr w:type="spellStart"/>
      <w:r w:rsidR="007B2828" w:rsidRPr="008B0EF4">
        <w:rPr>
          <w:rFonts w:eastAsia="Calibri"/>
          <w:szCs w:val="24"/>
        </w:rPr>
        <w:t>Idlib</w:t>
      </w:r>
      <w:proofErr w:type="spellEnd"/>
      <w:r w:rsidR="007B2828" w:rsidRPr="008B0EF4">
        <w:rPr>
          <w:rFonts w:eastAsia="Calibri"/>
          <w:szCs w:val="24"/>
        </w:rPr>
        <w:t xml:space="preserve"> for which she believed the group bore responsibility. At least one activist </w:t>
      </w:r>
      <w:proofErr w:type="gramStart"/>
      <w:r w:rsidR="007B2828" w:rsidRPr="008B0EF4">
        <w:rPr>
          <w:rFonts w:eastAsia="Calibri"/>
          <w:szCs w:val="24"/>
        </w:rPr>
        <w:t>was subjected</w:t>
      </w:r>
      <w:proofErr w:type="gramEnd"/>
      <w:r w:rsidR="007B2828" w:rsidRPr="008B0EF4">
        <w:rPr>
          <w:rFonts w:eastAsia="Calibri"/>
          <w:szCs w:val="24"/>
        </w:rPr>
        <w:t xml:space="preserve"> to extrajudicial executions in </w:t>
      </w:r>
      <w:proofErr w:type="spellStart"/>
      <w:r w:rsidR="007B2828" w:rsidRPr="002F6F71">
        <w:rPr>
          <w:rFonts w:eastAsia="Calibri"/>
          <w:szCs w:val="24"/>
        </w:rPr>
        <w:t>Ouqab</w:t>
      </w:r>
      <w:proofErr w:type="spellEnd"/>
      <w:r w:rsidR="007B2828" w:rsidRPr="002F6F71">
        <w:rPr>
          <w:rFonts w:eastAsia="Calibri"/>
          <w:szCs w:val="24"/>
        </w:rPr>
        <w:t xml:space="preserve"> prison, </w:t>
      </w:r>
      <w:r w:rsidR="007B2828" w:rsidRPr="002F6F71">
        <w:rPr>
          <w:rFonts w:eastAsia="Times New Roman"/>
        </w:rPr>
        <w:t>amounting</w:t>
      </w:r>
      <w:r w:rsidR="007B2828" w:rsidRPr="008B0EF4">
        <w:rPr>
          <w:rFonts w:eastAsia="Times New Roman"/>
        </w:rPr>
        <w:t xml:space="preserve"> to the war crime of </w:t>
      </w:r>
      <w:r w:rsidR="007B2828" w:rsidRPr="008B0EF4">
        <w:rPr>
          <w:rFonts w:eastAsia="Calibri"/>
          <w:szCs w:val="24"/>
        </w:rPr>
        <w:t>passing sentences and carrying out executions without previous judgment pronounced by a regularly constituted court.</w:t>
      </w:r>
      <w:r w:rsidR="004C6B84" w:rsidRPr="008B0EF4">
        <w:rPr>
          <w:rStyle w:val="FootnoteReference"/>
          <w:rFonts w:eastAsia="Calibri"/>
          <w:szCs w:val="24"/>
        </w:rPr>
        <w:footnoteReference w:id="22"/>
      </w:r>
      <w:r w:rsidR="007B2828" w:rsidRPr="008B0EF4">
        <w:rPr>
          <w:rFonts w:eastAsia="Calibri"/>
          <w:szCs w:val="24"/>
        </w:rPr>
        <w:t xml:space="preserve"> </w:t>
      </w:r>
    </w:p>
    <w:p w14:paraId="47497881" w14:textId="77777777" w:rsidR="007300E3" w:rsidRPr="008B0EF4" w:rsidRDefault="004C6B84" w:rsidP="004C6B84">
      <w:pPr>
        <w:pStyle w:val="H1G"/>
      </w:pPr>
      <w:r w:rsidRPr="008B0EF4">
        <w:tab/>
        <w:t>B.</w:t>
      </w:r>
      <w:r w:rsidRPr="008B0EF4">
        <w:tab/>
        <w:t>Afrin and adjacent areas</w:t>
      </w:r>
      <w:r w:rsidRPr="008B0EF4">
        <w:rPr>
          <w:rStyle w:val="FootnoteReference"/>
        </w:rPr>
        <w:footnoteReference w:id="23"/>
      </w:r>
      <w:r w:rsidRPr="008B0EF4">
        <w:t xml:space="preserve"> </w:t>
      </w:r>
    </w:p>
    <w:p w14:paraId="68A0D5E9" w14:textId="66FC55F9" w:rsidR="004C6B84" w:rsidRPr="008B0EF4" w:rsidRDefault="001B3EED" w:rsidP="00194566">
      <w:pPr>
        <w:spacing w:after="160" w:line="259" w:lineRule="auto"/>
        <w:ind w:left="1134" w:right="1134"/>
        <w:jc w:val="both"/>
        <w:rPr>
          <w:rFonts w:eastAsia="Calibri"/>
          <w:lang w:eastAsia="en-US"/>
        </w:rPr>
      </w:pPr>
      <w:r w:rsidRPr="008B0EF4">
        <w:t>39</w:t>
      </w:r>
      <w:r w:rsidR="007300E3" w:rsidRPr="008B0EF4">
        <w:t>.</w:t>
      </w:r>
      <w:r w:rsidR="007300E3" w:rsidRPr="008B0EF4">
        <w:tab/>
      </w:r>
      <w:r w:rsidR="004C6B84" w:rsidRPr="008B0EF4">
        <w:rPr>
          <w:rFonts w:eastAsia="Calibri"/>
          <w:lang w:eastAsia="en-US"/>
        </w:rPr>
        <w:t>Cases of detentions, killings, beatings and abduction</w:t>
      </w:r>
      <w:r w:rsidR="00C9183B">
        <w:rPr>
          <w:rFonts w:eastAsia="Calibri"/>
          <w:lang w:eastAsia="en-US"/>
        </w:rPr>
        <w:t>s,</w:t>
      </w:r>
      <w:r w:rsidR="004C6B84" w:rsidRPr="008B0EF4">
        <w:rPr>
          <w:rFonts w:eastAsia="Calibri"/>
          <w:lang w:eastAsia="en-US"/>
        </w:rPr>
        <w:t xml:space="preserve"> in addition to widespread looting and appropriation of civilian homes</w:t>
      </w:r>
      <w:r w:rsidR="00C9183B">
        <w:rPr>
          <w:rFonts w:eastAsia="Calibri"/>
          <w:lang w:eastAsia="en-US"/>
        </w:rPr>
        <w:t>,</w:t>
      </w:r>
      <w:r w:rsidR="004C6B84" w:rsidRPr="008B0EF4">
        <w:rPr>
          <w:rFonts w:eastAsia="Calibri"/>
          <w:lang w:eastAsia="en-US"/>
        </w:rPr>
        <w:t xml:space="preserve"> by a variety of armed groups operating under the umbrella of the </w:t>
      </w:r>
      <w:r w:rsidR="00C9183B" w:rsidRPr="00557B72">
        <w:t>Syrian National Army</w:t>
      </w:r>
      <w:r w:rsidR="004C6B84" w:rsidRPr="008B0EF4">
        <w:rPr>
          <w:rFonts w:eastAsia="Calibri"/>
          <w:lang w:eastAsia="en-US"/>
        </w:rPr>
        <w:t xml:space="preserve"> have been documented, in a consistent</w:t>
      </w:r>
      <w:r w:rsidR="00C9183B">
        <w:rPr>
          <w:rFonts w:eastAsia="Calibri"/>
          <w:lang w:eastAsia="en-US"/>
        </w:rPr>
        <w:t>,</w:t>
      </w:r>
      <w:r w:rsidR="004C6B84" w:rsidRPr="008B0EF4">
        <w:rPr>
          <w:rFonts w:eastAsia="Calibri"/>
          <w:lang w:eastAsia="en-US"/>
        </w:rPr>
        <w:t xml:space="preserve"> discernible pattern previously documented in Afrin.</w:t>
      </w:r>
      <w:r w:rsidR="00194566" w:rsidRPr="008B0EF4">
        <w:rPr>
          <w:rStyle w:val="FootnoteReference"/>
          <w:rFonts w:eastAsia="Calibri"/>
          <w:lang w:eastAsia="en-US"/>
        </w:rPr>
        <w:footnoteReference w:id="24"/>
      </w:r>
      <w:r w:rsidR="004C6B84" w:rsidRPr="008B0EF4">
        <w:rPr>
          <w:rFonts w:eastAsia="Calibri"/>
          <w:lang w:eastAsia="en-US"/>
        </w:rPr>
        <w:t xml:space="preserve"> While some of those acts, such as abductions, property looting and detentions, suggested financial motivation, the reported incidents primarily affected Kurdish residents in Afrin and adjacent areas.  </w:t>
      </w:r>
    </w:p>
    <w:p w14:paraId="7D3B3ECE" w14:textId="797B1987" w:rsidR="004C6B84" w:rsidRPr="008B0EF4" w:rsidRDefault="001B3EED" w:rsidP="004C6B84">
      <w:pPr>
        <w:spacing w:after="160" w:line="259" w:lineRule="auto"/>
        <w:ind w:left="1134" w:right="1134"/>
        <w:jc w:val="both"/>
        <w:rPr>
          <w:rFonts w:eastAsia="Calibri"/>
          <w:lang w:eastAsia="en-US"/>
        </w:rPr>
      </w:pPr>
      <w:r w:rsidRPr="008B0EF4">
        <w:rPr>
          <w:rFonts w:eastAsia="Calibri"/>
          <w:lang w:eastAsia="en-US"/>
        </w:rPr>
        <w:t>40</w:t>
      </w:r>
      <w:r w:rsidR="006A33EC" w:rsidRPr="008B0EF4">
        <w:rPr>
          <w:rFonts w:eastAsia="Calibri"/>
          <w:lang w:eastAsia="en-US"/>
        </w:rPr>
        <w:t>.</w:t>
      </w:r>
      <w:r w:rsidR="004C6B84" w:rsidRPr="008B0EF4">
        <w:rPr>
          <w:rFonts w:eastAsia="Calibri"/>
          <w:lang w:eastAsia="en-US"/>
        </w:rPr>
        <w:tab/>
        <w:t xml:space="preserve">Victims of abduction and detention were predominately male and of Kurdish origin. Certain Kurdish residents </w:t>
      </w:r>
      <w:proofErr w:type="gramStart"/>
      <w:r w:rsidR="004C6B84" w:rsidRPr="008B0EF4">
        <w:rPr>
          <w:rFonts w:eastAsia="Calibri"/>
          <w:lang w:eastAsia="en-US"/>
        </w:rPr>
        <w:t>were abducted</w:t>
      </w:r>
      <w:proofErr w:type="gramEnd"/>
      <w:r w:rsidR="004C6B84" w:rsidRPr="008B0EF4">
        <w:rPr>
          <w:rFonts w:eastAsia="Calibri"/>
          <w:lang w:eastAsia="en-US"/>
        </w:rPr>
        <w:t xml:space="preserve"> several times. While deprived of their liberty</w:t>
      </w:r>
      <w:r w:rsidR="000431E4">
        <w:rPr>
          <w:rFonts w:eastAsia="Calibri"/>
          <w:lang w:eastAsia="en-US"/>
        </w:rPr>
        <w:t>,</w:t>
      </w:r>
      <w:r w:rsidR="004C6B84" w:rsidRPr="008B0EF4">
        <w:rPr>
          <w:rFonts w:eastAsia="Calibri"/>
          <w:lang w:eastAsia="en-US"/>
        </w:rPr>
        <w:t xml:space="preserve"> individuals </w:t>
      </w:r>
      <w:proofErr w:type="gramStart"/>
      <w:r w:rsidR="004C6B84" w:rsidRPr="008B0EF4">
        <w:rPr>
          <w:rFonts w:eastAsia="Calibri"/>
          <w:lang w:eastAsia="en-US"/>
        </w:rPr>
        <w:t>were subjected</w:t>
      </w:r>
      <w:proofErr w:type="gramEnd"/>
      <w:r w:rsidR="004C6B84" w:rsidRPr="008B0EF4">
        <w:rPr>
          <w:rFonts w:eastAsia="Calibri"/>
          <w:lang w:eastAsia="en-US"/>
        </w:rPr>
        <w:t xml:space="preserve"> to torture and ill-treatment, with little access to food</w:t>
      </w:r>
      <w:r w:rsidR="000431E4">
        <w:rPr>
          <w:rFonts w:eastAsia="Calibri"/>
          <w:lang w:eastAsia="en-US"/>
        </w:rPr>
        <w:t>,</w:t>
      </w:r>
      <w:r w:rsidR="004C6B84" w:rsidRPr="008B0EF4">
        <w:rPr>
          <w:rFonts w:eastAsia="Calibri"/>
          <w:lang w:eastAsia="en-US"/>
        </w:rPr>
        <w:t xml:space="preserve"> in poor hygienic conditions. </w:t>
      </w:r>
    </w:p>
    <w:p w14:paraId="64E56C01" w14:textId="4F35D317" w:rsidR="004C6B84" w:rsidRPr="008B0EF4" w:rsidRDefault="001B3EED" w:rsidP="004C6B84">
      <w:pPr>
        <w:spacing w:after="160" w:line="259" w:lineRule="auto"/>
        <w:ind w:left="1134" w:right="1134"/>
        <w:jc w:val="both"/>
        <w:rPr>
          <w:rFonts w:eastAsia="Calibri"/>
          <w:lang w:eastAsia="en-US"/>
        </w:rPr>
      </w:pPr>
      <w:r w:rsidRPr="008B0EF4">
        <w:rPr>
          <w:rFonts w:eastAsia="Calibri"/>
          <w:lang w:eastAsia="en-US"/>
        </w:rPr>
        <w:t>41</w:t>
      </w:r>
      <w:r w:rsidR="006A33EC" w:rsidRPr="008B0EF4">
        <w:rPr>
          <w:rFonts w:eastAsia="Calibri"/>
          <w:lang w:eastAsia="en-US"/>
        </w:rPr>
        <w:t>.</w:t>
      </w:r>
      <w:r w:rsidR="004C6B84" w:rsidRPr="008B0EF4">
        <w:rPr>
          <w:rFonts w:eastAsia="Calibri"/>
          <w:lang w:eastAsia="en-US"/>
        </w:rPr>
        <w:tab/>
        <w:t xml:space="preserve">Beyond these violations, large-scale property confiscation and looting of properties have been widely reported. </w:t>
      </w:r>
      <w:r w:rsidR="000431E4">
        <w:rPr>
          <w:rFonts w:eastAsia="Calibri"/>
          <w:lang w:eastAsia="en-US"/>
        </w:rPr>
        <w:t>Syrian National Army</w:t>
      </w:r>
      <w:r w:rsidR="004C6B84" w:rsidRPr="008B0EF4">
        <w:rPr>
          <w:rFonts w:eastAsia="Calibri"/>
          <w:lang w:eastAsia="en-US"/>
        </w:rPr>
        <w:t xml:space="preserve"> fighters have placed family members in some of </w:t>
      </w:r>
      <w:r w:rsidR="00C453FB">
        <w:rPr>
          <w:rFonts w:eastAsia="Calibri"/>
          <w:lang w:eastAsia="en-US"/>
        </w:rPr>
        <w:t xml:space="preserve">the </w:t>
      </w:r>
      <w:r w:rsidR="00557BE5" w:rsidRPr="008B0EF4">
        <w:rPr>
          <w:rFonts w:eastAsia="Calibri"/>
          <w:lang w:eastAsia="en-US"/>
        </w:rPr>
        <w:t xml:space="preserve">homes </w:t>
      </w:r>
      <w:r w:rsidR="004C6B84" w:rsidRPr="008B0EF4">
        <w:rPr>
          <w:rFonts w:eastAsia="Calibri"/>
          <w:lang w:eastAsia="en-US"/>
        </w:rPr>
        <w:t xml:space="preserve">of Kurdish owners who fled the area and provided “rental contracts” to newly accommodated individuals. In other cases, </w:t>
      </w:r>
      <w:r w:rsidR="000431E4">
        <w:rPr>
          <w:rFonts w:eastAsia="Calibri"/>
          <w:lang w:eastAsia="en-US"/>
        </w:rPr>
        <w:t>Syrian National Army</w:t>
      </w:r>
      <w:r w:rsidR="004C6B84" w:rsidRPr="008B0EF4">
        <w:rPr>
          <w:rFonts w:eastAsia="Calibri"/>
          <w:lang w:eastAsia="en-US"/>
        </w:rPr>
        <w:t xml:space="preserve"> fighters went to civilians’ houses and requested property deeds from Kurdish owners who had stayed. On occasions, returnees </w:t>
      </w:r>
      <w:proofErr w:type="gramStart"/>
      <w:r w:rsidR="004C6B84" w:rsidRPr="008B0EF4">
        <w:rPr>
          <w:rFonts w:eastAsia="Calibri"/>
          <w:lang w:eastAsia="en-US"/>
        </w:rPr>
        <w:t>were left</w:t>
      </w:r>
      <w:proofErr w:type="gramEnd"/>
      <w:r w:rsidR="004C6B84" w:rsidRPr="008B0EF4">
        <w:rPr>
          <w:rFonts w:eastAsia="Calibri"/>
          <w:lang w:eastAsia="en-US"/>
        </w:rPr>
        <w:t xml:space="preserve"> with no other option but to share their homes with family members of </w:t>
      </w:r>
      <w:r w:rsidR="000431E4">
        <w:rPr>
          <w:rFonts w:eastAsia="Calibri"/>
          <w:lang w:eastAsia="en-US"/>
        </w:rPr>
        <w:t>Syrian National Army</w:t>
      </w:r>
      <w:r w:rsidR="004C6B84" w:rsidRPr="008B0EF4">
        <w:rPr>
          <w:rFonts w:eastAsia="Calibri"/>
          <w:lang w:eastAsia="en-US"/>
        </w:rPr>
        <w:t xml:space="preserve"> fighters who had moved into their residences. When civilians complained to senior </w:t>
      </w:r>
      <w:r w:rsidR="00C453FB" w:rsidRPr="008B0EF4">
        <w:rPr>
          <w:rFonts w:eastAsia="Calibri"/>
          <w:lang w:eastAsia="en-US"/>
        </w:rPr>
        <w:t xml:space="preserve">members </w:t>
      </w:r>
      <w:r w:rsidR="00C453FB">
        <w:rPr>
          <w:rFonts w:eastAsia="Calibri"/>
          <w:lang w:eastAsia="en-US"/>
        </w:rPr>
        <w:t xml:space="preserve">of the </w:t>
      </w:r>
      <w:r w:rsidR="000431E4">
        <w:rPr>
          <w:rFonts w:eastAsia="Calibri"/>
          <w:lang w:eastAsia="en-US"/>
        </w:rPr>
        <w:t>Syrian National Army</w:t>
      </w:r>
      <w:r w:rsidR="004C6B84" w:rsidRPr="008B0EF4">
        <w:rPr>
          <w:rFonts w:eastAsia="Calibri"/>
          <w:lang w:eastAsia="en-US"/>
        </w:rPr>
        <w:t xml:space="preserve"> </w:t>
      </w:r>
      <w:r w:rsidR="00557BE5" w:rsidRPr="008B0EF4">
        <w:rPr>
          <w:rFonts w:eastAsia="Calibri"/>
          <w:lang w:eastAsia="en-US"/>
        </w:rPr>
        <w:t xml:space="preserve">to </w:t>
      </w:r>
      <w:r w:rsidR="004C6B84" w:rsidRPr="008B0EF4">
        <w:rPr>
          <w:rFonts w:eastAsia="Calibri"/>
          <w:lang w:eastAsia="en-US"/>
        </w:rPr>
        <w:t xml:space="preserve">reclaim their property, they </w:t>
      </w:r>
      <w:proofErr w:type="gramStart"/>
      <w:r w:rsidR="004C6B84" w:rsidRPr="008B0EF4">
        <w:rPr>
          <w:rFonts w:eastAsia="Calibri"/>
          <w:lang w:eastAsia="en-US"/>
        </w:rPr>
        <w:t>were met</w:t>
      </w:r>
      <w:proofErr w:type="gramEnd"/>
      <w:r w:rsidR="004C6B84" w:rsidRPr="008B0EF4">
        <w:rPr>
          <w:rFonts w:eastAsia="Calibri"/>
          <w:lang w:eastAsia="en-US"/>
        </w:rPr>
        <w:t xml:space="preserve"> by threats and violence. The magnitude of property confiscation prompted the establishment of a complaint mechanism within the </w:t>
      </w:r>
      <w:r w:rsidR="00C453FB" w:rsidRPr="008B0EF4">
        <w:rPr>
          <w:rFonts w:eastAsia="Calibri"/>
          <w:lang w:eastAsia="en-US"/>
        </w:rPr>
        <w:t>structures</w:t>
      </w:r>
      <w:r w:rsidR="00C453FB">
        <w:rPr>
          <w:rFonts w:eastAsia="Calibri"/>
          <w:lang w:eastAsia="en-US"/>
        </w:rPr>
        <w:t xml:space="preserve"> of the </w:t>
      </w:r>
      <w:r w:rsidR="000431E4">
        <w:rPr>
          <w:rFonts w:eastAsia="Calibri"/>
          <w:lang w:eastAsia="en-US"/>
        </w:rPr>
        <w:t>Syrian National Army</w:t>
      </w:r>
      <w:r w:rsidR="004C6B84" w:rsidRPr="008B0EF4">
        <w:rPr>
          <w:rFonts w:eastAsia="Calibri"/>
          <w:lang w:eastAsia="en-US"/>
        </w:rPr>
        <w:t xml:space="preserve">, although residents indicated that it was largely ineffective. </w:t>
      </w:r>
    </w:p>
    <w:p w14:paraId="506D5647" w14:textId="29C396EF" w:rsidR="004C6B84" w:rsidRPr="008B0EF4" w:rsidRDefault="001B3EED" w:rsidP="004C6B84">
      <w:pPr>
        <w:spacing w:after="160" w:line="259" w:lineRule="auto"/>
        <w:ind w:left="1134" w:right="1134"/>
        <w:jc w:val="both"/>
        <w:rPr>
          <w:rFonts w:eastAsia="Calibri"/>
          <w:lang w:eastAsia="en-US"/>
        </w:rPr>
      </w:pPr>
      <w:r w:rsidRPr="008B0EF4">
        <w:rPr>
          <w:rFonts w:eastAsia="Calibri"/>
          <w:lang w:eastAsia="en-US"/>
        </w:rPr>
        <w:t>42</w:t>
      </w:r>
      <w:r w:rsidR="006A33EC" w:rsidRPr="008B0EF4">
        <w:rPr>
          <w:rFonts w:eastAsia="Calibri"/>
          <w:lang w:eastAsia="en-US"/>
        </w:rPr>
        <w:t>.</w:t>
      </w:r>
      <w:r w:rsidR="00194566" w:rsidRPr="008B0EF4">
        <w:rPr>
          <w:rFonts w:eastAsia="Calibri"/>
          <w:lang w:eastAsia="en-US"/>
        </w:rPr>
        <w:tab/>
      </w:r>
      <w:r w:rsidR="004C6B84" w:rsidRPr="008B0EF4">
        <w:rPr>
          <w:rFonts w:eastAsia="Calibri"/>
          <w:lang w:eastAsia="en-US"/>
        </w:rPr>
        <w:t xml:space="preserve">By perpetrating acts of looting and property appropriation, armed groups under the umbrella of the </w:t>
      </w:r>
      <w:r w:rsidR="000431E4">
        <w:rPr>
          <w:rFonts w:eastAsia="Calibri"/>
          <w:lang w:eastAsia="en-US"/>
        </w:rPr>
        <w:t>Syrian National Army</w:t>
      </w:r>
      <w:r w:rsidR="004C6B84" w:rsidRPr="008B0EF4">
        <w:rPr>
          <w:rFonts w:eastAsia="Calibri"/>
          <w:lang w:eastAsia="en-US"/>
        </w:rPr>
        <w:t xml:space="preserve"> committed the war crime of pillaging and further violated the right to enjoyment of possessions and property.</w:t>
      </w:r>
      <w:r w:rsidR="00194566" w:rsidRPr="008B0EF4">
        <w:rPr>
          <w:rStyle w:val="FootnoteReference"/>
          <w:rFonts w:eastAsia="Calibri"/>
          <w:lang w:eastAsia="en-US"/>
        </w:rPr>
        <w:footnoteReference w:id="25"/>
      </w:r>
      <w:r w:rsidR="004C6B84" w:rsidRPr="008B0EF4">
        <w:rPr>
          <w:rFonts w:eastAsia="Calibri"/>
          <w:lang w:eastAsia="en-US"/>
        </w:rPr>
        <w:t xml:space="preserve"> Moreover, the Commission finds </w:t>
      </w:r>
      <w:r w:rsidR="00330BDC">
        <w:rPr>
          <w:rFonts w:eastAsia="Calibri"/>
          <w:lang w:eastAsia="en-US"/>
        </w:rPr>
        <w:t xml:space="preserve">that </w:t>
      </w:r>
      <w:r w:rsidR="004C6B84" w:rsidRPr="008B0EF4">
        <w:rPr>
          <w:rFonts w:eastAsia="Calibri"/>
          <w:lang w:eastAsia="en-US"/>
        </w:rPr>
        <w:t xml:space="preserve">there are reasonable grounds to believe that </w:t>
      </w:r>
      <w:r w:rsidR="00330BDC" w:rsidRPr="008B0EF4">
        <w:rPr>
          <w:rFonts w:eastAsia="Calibri"/>
          <w:lang w:eastAsia="en-US"/>
        </w:rPr>
        <w:t xml:space="preserve">members </w:t>
      </w:r>
      <w:r w:rsidR="00330BDC">
        <w:rPr>
          <w:rFonts w:eastAsia="Calibri"/>
          <w:lang w:eastAsia="en-US"/>
        </w:rPr>
        <w:t xml:space="preserve">of </w:t>
      </w:r>
      <w:r w:rsidR="004C6B84" w:rsidRPr="008B0EF4">
        <w:rPr>
          <w:rFonts w:eastAsia="Calibri"/>
          <w:lang w:eastAsia="en-US"/>
        </w:rPr>
        <w:t>armed group</w:t>
      </w:r>
      <w:r w:rsidR="00330BDC">
        <w:rPr>
          <w:rFonts w:eastAsia="Calibri"/>
          <w:lang w:eastAsia="en-US"/>
        </w:rPr>
        <w:t>s</w:t>
      </w:r>
      <w:r w:rsidR="004C6B84" w:rsidRPr="008B0EF4">
        <w:rPr>
          <w:rFonts w:eastAsia="Calibri"/>
          <w:lang w:eastAsia="en-US"/>
        </w:rPr>
        <w:t xml:space="preserve"> under the umbrella of the </w:t>
      </w:r>
      <w:r w:rsidR="000431E4">
        <w:rPr>
          <w:rFonts w:eastAsia="Calibri"/>
          <w:lang w:eastAsia="en-US"/>
        </w:rPr>
        <w:t>Syrian National Army</w:t>
      </w:r>
      <w:r w:rsidR="004C6B84" w:rsidRPr="008B0EF4">
        <w:rPr>
          <w:rFonts w:eastAsia="Calibri"/>
          <w:lang w:eastAsia="en-US"/>
        </w:rPr>
        <w:t xml:space="preserve"> committed the war crimes of </w:t>
      </w:r>
      <w:r w:rsidR="004C6B84" w:rsidRPr="008B0EF4">
        <w:rPr>
          <w:rFonts w:eastAsia="Calibri"/>
          <w:bCs/>
          <w:lang w:eastAsia="en-US"/>
        </w:rPr>
        <w:t>hostage-taking,</w:t>
      </w:r>
      <w:r w:rsidR="004C6B84" w:rsidRPr="008B0EF4">
        <w:rPr>
          <w:rFonts w:eastAsia="Calibri"/>
          <w:lang w:eastAsia="en-US"/>
        </w:rPr>
        <w:t xml:space="preserve"> cruel treatment, ill-treatment and torture</w:t>
      </w:r>
      <w:r w:rsidR="004C6B84" w:rsidRPr="008B0EF4">
        <w:rPr>
          <w:rFonts w:eastAsia="Calibri"/>
          <w:bCs/>
          <w:lang w:eastAsia="en-US"/>
        </w:rPr>
        <w:t>.</w:t>
      </w:r>
      <w:r w:rsidR="00194566" w:rsidRPr="008B0EF4">
        <w:rPr>
          <w:rStyle w:val="FootnoteReference"/>
          <w:rFonts w:eastAsia="Calibri"/>
          <w:bCs/>
          <w:lang w:eastAsia="en-US"/>
        </w:rPr>
        <w:footnoteReference w:id="26"/>
      </w:r>
      <w:r w:rsidR="004C6B84" w:rsidRPr="008B0EF4">
        <w:rPr>
          <w:rFonts w:eastAsia="Calibri"/>
          <w:bCs/>
          <w:lang w:eastAsia="en-US"/>
        </w:rPr>
        <w:t xml:space="preserve"> </w:t>
      </w:r>
    </w:p>
    <w:p w14:paraId="0D93BB8F" w14:textId="47D1F8B0" w:rsidR="004C6B84" w:rsidRPr="008B0EF4" w:rsidRDefault="001B3EED" w:rsidP="004C6B84">
      <w:pPr>
        <w:spacing w:after="160" w:line="259" w:lineRule="auto"/>
        <w:ind w:left="1134" w:right="1134"/>
        <w:jc w:val="both"/>
        <w:rPr>
          <w:rFonts w:eastAsia="Calibri"/>
          <w:lang w:eastAsia="en-US"/>
        </w:rPr>
      </w:pPr>
      <w:r w:rsidRPr="008B0EF4">
        <w:rPr>
          <w:rFonts w:eastAsia="Calibri"/>
          <w:lang w:eastAsia="en-US"/>
        </w:rPr>
        <w:t>43</w:t>
      </w:r>
      <w:r w:rsidR="006A33EC" w:rsidRPr="008B0EF4">
        <w:rPr>
          <w:rFonts w:eastAsia="Calibri"/>
          <w:lang w:eastAsia="en-US"/>
        </w:rPr>
        <w:t>.</w:t>
      </w:r>
      <w:r w:rsidR="00194566" w:rsidRPr="008B0EF4">
        <w:rPr>
          <w:rFonts w:eastAsia="Calibri"/>
          <w:lang w:eastAsia="en-US"/>
        </w:rPr>
        <w:tab/>
      </w:r>
      <w:r w:rsidR="004C6B84" w:rsidRPr="008B0EF4">
        <w:rPr>
          <w:rFonts w:eastAsia="Calibri"/>
          <w:lang w:eastAsia="en-US"/>
        </w:rPr>
        <w:t xml:space="preserve">In addition, local residents consistently described numerous security threats, which </w:t>
      </w:r>
      <w:proofErr w:type="gramStart"/>
      <w:r w:rsidR="004C6B84" w:rsidRPr="008B0EF4">
        <w:rPr>
          <w:rFonts w:eastAsia="Calibri"/>
          <w:lang w:eastAsia="en-US"/>
        </w:rPr>
        <w:t>were likely committed</w:t>
      </w:r>
      <w:proofErr w:type="gramEnd"/>
      <w:r w:rsidR="004C6B84" w:rsidRPr="008B0EF4">
        <w:rPr>
          <w:rFonts w:eastAsia="Calibri"/>
          <w:lang w:eastAsia="en-US"/>
        </w:rPr>
        <w:t xml:space="preserve"> by groups opposing the </w:t>
      </w:r>
      <w:r w:rsidR="000431E4">
        <w:rPr>
          <w:rFonts w:eastAsia="Calibri"/>
          <w:lang w:eastAsia="en-US"/>
        </w:rPr>
        <w:t>Syrian National Army</w:t>
      </w:r>
      <w:r w:rsidR="004C6B84" w:rsidRPr="008B0EF4">
        <w:rPr>
          <w:rFonts w:eastAsia="Calibri"/>
          <w:lang w:eastAsia="en-US"/>
        </w:rPr>
        <w:t xml:space="preserve">, including shooting </w:t>
      </w:r>
      <w:r w:rsidR="004C6B84" w:rsidRPr="002F6F71">
        <w:rPr>
          <w:rFonts w:eastAsia="Calibri"/>
          <w:lang w:eastAsia="en-US"/>
        </w:rPr>
        <w:t xml:space="preserve">incidents, car bomb explosions and other </w:t>
      </w:r>
      <w:r w:rsidR="00330BDC" w:rsidRPr="002F6F71">
        <w:rPr>
          <w:rFonts w:eastAsia="Calibri"/>
          <w:lang w:eastAsia="en-US"/>
        </w:rPr>
        <w:t xml:space="preserve">attacks using </w:t>
      </w:r>
      <w:r w:rsidR="00330BDC" w:rsidRPr="00D6133C">
        <w:rPr>
          <w:rFonts w:eastAsia="Calibri"/>
          <w:lang w:eastAsia="en-US"/>
        </w:rPr>
        <w:t>improvised explosive device</w:t>
      </w:r>
      <w:r w:rsidR="00330BDC" w:rsidRPr="002F6F71">
        <w:rPr>
          <w:rFonts w:eastAsia="Calibri"/>
          <w:lang w:eastAsia="en-US"/>
        </w:rPr>
        <w:t xml:space="preserve">s </w:t>
      </w:r>
      <w:r w:rsidR="004C6B84" w:rsidRPr="002F6F71">
        <w:rPr>
          <w:rFonts w:eastAsia="Calibri"/>
          <w:lang w:eastAsia="en-US"/>
        </w:rPr>
        <w:t xml:space="preserve">that led to civilian casualties. In one such attack, on 16 December, a car bomb exploded in </w:t>
      </w:r>
      <w:r w:rsidR="002F6F71">
        <w:rPr>
          <w:rFonts w:eastAsia="Calibri"/>
          <w:lang w:eastAsia="en-US"/>
        </w:rPr>
        <w:t xml:space="preserve">the </w:t>
      </w:r>
      <w:proofErr w:type="spellStart"/>
      <w:r w:rsidR="002F6F71" w:rsidRPr="00D6133C">
        <w:rPr>
          <w:rFonts w:eastAsia="Calibri"/>
          <w:lang w:eastAsia="en-US"/>
        </w:rPr>
        <w:t>Suq</w:t>
      </w:r>
      <w:proofErr w:type="spellEnd"/>
      <w:r w:rsidR="002F6F71" w:rsidRPr="00D6133C">
        <w:rPr>
          <w:rFonts w:eastAsia="Calibri"/>
          <w:lang w:eastAsia="en-US"/>
        </w:rPr>
        <w:t xml:space="preserve"> al-</w:t>
      </w:r>
      <w:r w:rsidR="004C6B84" w:rsidRPr="002F6F71">
        <w:rPr>
          <w:rFonts w:eastAsia="Calibri"/>
          <w:lang w:eastAsia="en-US"/>
        </w:rPr>
        <w:t>Hal, killing</w:t>
      </w:r>
      <w:r w:rsidR="004C6B84" w:rsidRPr="008B0EF4">
        <w:rPr>
          <w:rFonts w:eastAsia="Calibri"/>
          <w:lang w:eastAsia="en-US"/>
        </w:rPr>
        <w:t xml:space="preserve"> at least </w:t>
      </w:r>
      <w:proofErr w:type="gramStart"/>
      <w:r w:rsidR="00330BDC">
        <w:rPr>
          <w:rFonts w:eastAsia="Calibri"/>
          <w:lang w:eastAsia="en-US"/>
        </w:rPr>
        <w:t>8</w:t>
      </w:r>
      <w:proofErr w:type="gramEnd"/>
      <w:r w:rsidR="00330BDC" w:rsidRPr="008B0EF4">
        <w:rPr>
          <w:rFonts w:eastAsia="Calibri"/>
          <w:lang w:eastAsia="en-US"/>
        </w:rPr>
        <w:t xml:space="preserve"> </w:t>
      </w:r>
      <w:r w:rsidR="004C6B84" w:rsidRPr="008B0EF4">
        <w:rPr>
          <w:rFonts w:eastAsia="Calibri"/>
          <w:lang w:eastAsia="en-US"/>
        </w:rPr>
        <w:t xml:space="preserve">people and injuring 12 more.  </w:t>
      </w:r>
    </w:p>
    <w:p w14:paraId="778F27A6" w14:textId="1E44D52B" w:rsidR="007300E3" w:rsidRPr="008B0EF4" w:rsidRDefault="001B3EED" w:rsidP="004C6B84">
      <w:pPr>
        <w:spacing w:after="160" w:line="259" w:lineRule="auto"/>
        <w:ind w:left="1134" w:right="1134"/>
        <w:jc w:val="both"/>
        <w:rPr>
          <w:rFonts w:eastAsia="Calibri"/>
          <w:lang w:eastAsia="en-US"/>
        </w:rPr>
      </w:pPr>
      <w:r w:rsidRPr="008B0EF4">
        <w:rPr>
          <w:rFonts w:eastAsia="Calibri"/>
          <w:lang w:eastAsia="en-US"/>
        </w:rPr>
        <w:t>44</w:t>
      </w:r>
      <w:r w:rsidR="006A33EC" w:rsidRPr="008B0EF4">
        <w:rPr>
          <w:rFonts w:eastAsia="Calibri"/>
          <w:lang w:eastAsia="en-US"/>
        </w:rPr>
        <w:t>.</w:t>
      </w:r>
      <w:r w:rsidR="00194566" w:rsidRPr="008B0EF4">
        <w:rPr>
          <w:rFonts w:eastAsia="Calibri"/>
          <w:lang w:eastAsia="en-US"/>
        </w:rPr>
        <w:tab/>
      </w:r>
      <w:proofErr w:type="gramStart"/>
      <w:r w:rsidR="004C6B84" w:rsidRPr="008B0EF4">
        <w:rPr>
          <w:rFonts w:eastAsia="Calibri"/>
          <w:lang w:eastAsia="en-US"/>
        </w:rPr>
        <w:t>In</w:t>
      </w:r>
      <w:proofErr w:type="gramEnd"/>
      <w:r w:rsidR="004C6B84" w:rsidRPr="008B0EF4">
        <w:rPr>
          <w:rFonts w:eastAsia="Calibri"/>
          <w:lang w:eastAsia="en-US"/>
        </w:rPr>
        <w:t xml:space="preserve"> addition</w:t>
      </w:r>
      <w:r w:rsidR="004C6B84" w:rsidRPr="002F6F71">
        <w:rPr>
          <w:rFonts w:eastAsia="Calibri"/>
          <w:lang w:eastAsia="en-US"/>
        </w:rPr>
        <w:t>, Tal</w:t>
      </w:r>
      <w:r w:rsidR="002F6F71" w:rsidRPr="00D6133C">
        <w:rPr>
          <w:rFonts w:eastAsia="Calibri"/>
          <w:lang w:eastAsia="en-US"/>
        </w:rPr>
        <w:t>l</w:t>
      </w:r>
      <w:r w:rsidR="004C6B84" w:rsidRPr="002F6F71">
        <w:rPr>
          <w:rFonts w:eastAsia="Calibri"/>
          <w:lang w:eastAsia="en-US"/>
        </w:rPr>
        <w:t xml:space="preserve"> </w:t>
      </w:r>
      <w:proofErr w:type="spellStart"/>
      <w:r w:rsidR="004C6B84" w:rsidRPr="002F6F71">
        <w:rPr>
          <w:rFonts w:eastAsia="Calibri"/>
          <w:lang w:eastAsia="en-US"/>
        </w:rPr>
        <w:t>Rif</w:t>
      </w:r>
      <w:r w:rsidR="002F6F71" w:rsidRPr="00D6133C">
        <w:rPr>
          <w:rFonts w:eastAsia="Calibri"/>
          <w:lang w:eastAsia="en-US"/>
        </w:rPr>
        <w:t>‘</w:t>
      </w:r>
      <w:r w:rsidR="004C6B84" w:rsidRPr="002F6F71">
        <w:rPr>
          <w:rFonts w:eastAsia="Calibri"/>
          <w:lang w:eastAsia="en-US"/>
        </w:rPr>
        <w:t>at</w:t>
      </w:r>
      <w:proofErr w:type="spellEnd"/>
      <w:r w:rsidR="004C6B84" w:rsidRPr="002F6F71">
        <w:rPr>
          <w:rFonts w:eastAsia="Calibri"/>
          <w:lang w:eastAsia="en-US"/>
        </w:rPr>
        <w:t xml:space="preserve">, which is in neighbouring </w:t>
      </w:r>
      <w:proofErr w:type="spellStart"/>
      <w:r w:rsidR="002F6F71" w:rsidRPr="002F6F71">
        <w:rPr>
          <w:rFonts w:eastAsia="Calibri"/>
          <w:lang w:eastAsia="en-US"/>
        </w:rPr>
        <w:t>I‘</w:t>
      </w:r>
      <w:r w:rsidR="004C6B84" w:rsidRPr="002F6F71">
        <w:rPr>
          <w:rFonts w:eastAsia="Calibri"/>
          <w:lang w:eastAsia="en-US"/>
        </w:rPr>
        <w:t>zaz</w:t>
      </w:r>
      <w:proofErr w:type="spellEnd"/>
      <w:r w:rsidR="004C6B84" w:rsidRPr="002F6F71">
        <w:rPr>
          <w:rFonts w:eastAsia="Calibri"/>
          <w:lang w:eastAsia="en-US"/>
        </w:rPr>
        <w:t xml:space="preserve"> </w:t>
      </w:r>
      <w:r w:rsidR="00330BDC" w:rsidRPr="002F6F71">
        <w:rPr>
          <w:rFonts w:eastAsia="Calibri"/>
          <w:lang w:eastAsia="en-US"/>
        </w:rPr>
        <w:t>D</w:t>
      </w:r>
      <w:r w:rsidR="004C6B84" w:rsidRPr="002F6F71">
        <w:rPr>
          <w:rFonts w:eastAsia="Calibri"/>
          <w:lang w:eastAsia="en-US"/>
        </w:rPr>
        <w:t xml:space="preserve">istrict and under the control of the </w:t>
      </w:r>
      <w:r w:rsidR="00252D08" w:rsidRPr="002F6F71">
        <w:rPr>
          <w:lang w:eastAsia="en-US"/>
        </w:rPr>
        <w:t>Syrian Democratic Forces</w:t>
      </w:r>
      <w:r w:rsidR="004C6B84" w:rsidRPr="002F6F71">
        <w:rPr>
          <w:rFonts w:eastAsia="Calibri"/>
          <w:lang w:eastAsia="en-US"/>
        </w:rPr>
        <w:t>, experiences regular shelling. In a shelling incident</w:t>
      </w:r>
      <w:r w:rsidR="00DB758E" w:rsidRPr="002F6F71">
        <w:rPr>
          <w:rFonts w:eastAsia="Calibri"/>
          <w:lang w:eastAsia="en-US"/>
        </w:rPr>
        <w:t>,</w:t>
      </w:r>
      <w:r w:rsidR="004C6B84" w:rsidRPr="002F6F71">
        <w:rPr>
          <w:rFonts w:eastAsia="Calibri"/>
          <w:lang w:eastAsia="en-US"/>
        </w:rPr>
        <w:t xml:space="preserve"> allegedly originating from </w:t>
      </w:r>
      <w:proofErr w:type="spellStart"/>
      <w:r w:rsidR="004C6B84" w:rsidRPr="002F6F71">
        <w:rPr>
          <w:rFonts w:eastAsia="Calibri"/>
          <w:lang w:eastAsia="en-US"/>
        </w:rPr>
        <w:t>Jariz</w:t>
      </w:r>
      <w:proofErr w:type="spellEnd"/>
      <w:r w:rsidR="004C6B84" w:rsidRPr="002F6F71">
        <w:rPr>
          <w:rFonts w:eastAsia="Calibri"/>
          <w:lang w:eastAsia="en-US"/>
        </w:rPr>
        <w:t xml:space="preserve"> near </w:t>
      </w:r>
      <w:proofErr w:type="spellStart"/>
      <w:r w:rsidR="002F6F71" w:rsidRPr="00D6133C">
        <w:rPr>
          <w:rFonts w:eastAsia="Calibri"/>
          <w:lang w:eastAsia="en-US"/>
        </w:rPr>
        <w:t>I‘</w:t>
      </w:r>
      <w:r w:rsidR="004C6B84" w:rsidRPr="002F6F71">
        <w:rPr>
          <w:rFonts w:eastAsia="Calibri"/>
          <w:lang w:eastAsia="en-US"/>
        </w:rPr>
        <w:t>zaz</w:t>
      </w:r>
      <w:proofErr w:type="spellEnd"/>
      <w:r w:rsidR="004C6B84" w:rsidRPr="002F6F71">
        <w:rPr>
          <w:rFonts w:eastAsia="Calibri"/>
          <w:lang w:eastAsia="en-US"/>
        </w:rPr>
        <w:t xml:space="preserve"> </w:t>
      </w:r>
      <w:r w:rsidR="00330BDC" w:rsidRPr="002F6F71">
        <w:rPr>
          <w:rFonts w:eastAsia="Calibri"/>
          <w:lang w:eastAsia="en-US"/>
        </w:rPr>
        <w:t>C</w:t>
      </w:r>
      <w:r w:rsidR="004C6B84" w:rsidRPr="002F6F71">
        <w:rPr>
          <w:rFonts w:eastAsia="Calibri"/>
          <w:lang w:eastAsia="en-US"/>
        </w:rPr>
        <w:t>ity</w:t>
      </w:r>
      <w:r w:rsidR="00DB758E" w:rsidRPr="002F6F71">
        <w:rPr>
          <w:rFonts w:eastAsia="Calibri"/>
          <w:lang w:eastAsia="en-US"/>
        </w:rPr>
        <w:t>,</w:t>
      </w:r>
      <w:r w:rsidR="004C6B84" w:rsidRPr="002F6F71">
        <w:rPr>
          <w:rFonts w:eastAsia="Calibri"/>
          <w:lang w:eastAsia="en-US"/>
        </w:rPr>
        <w:t xml:space="preserve"> that</w:t>
      </w:r>
      <w:r w:rsidR="004C6B84" w:rsidRPr="008B0EF4">
        <w:rPr>
          <w:rFonts w:eastAsia="Calibri"/>
          <w:lang w:eastAsia="en-US"/>
        </w:rPr>
        <w:t xml:space="preserve"> occurred in the early afternoon on 2 December, </w:t>
      </w:r>
      <w:r w:rsidR="00DB758E">
        <w:rPr>
          <w:rFonts w:eastAsia="Calibri"/>
          <w:lang w:eastAsia="en-US"/>
        </w:rPr>
        <w:t>10</w:t>
      </w:r>
      <w:r w:rsidR="00DB758E" w:rsidRPr="008B0EF4">
        <w:rPr>
          <w:rFonts w:eastAsia="Calibri"/>
          <w:lang w:eastAsia="en-US"/>
        </w:rPr>
        <w:t xml:space="preserve"> </w:t>
      </w:r>
      <w:r w:rsidR="004C6B84" w:rsidRPr="008B0EF4">
        <w:rPr>
          <w:rFonts w:eastAsia="Calibri"/>
          <w:lang w:eastAsia="en-US"/>
        </w:rPr>
        <w:t xml:space="preserve">civilians were killed, including </w:t>
      </w:r>
      <w:r w:rsidR="00DB758E">
        <w:rPr>
          <w:rFonts w:eastAsia="Calibri"/>
          <w:lang w:eastAsia="en-US"/>
        </w:rPr>
        <w:t>2</w:t>
      </w:r>
      <w:r w:rsidR="00DB758E" w:rsidRPr="008B0EF4">
        <w:rPr>
          <w:rFonts w:eastAsia="Calibri"/>
          <w:lang w:eastAsia="en-US"/>
        </w:rPr>
        <w:t xml:space="preserve"> </w:t>
      </w:r>
      <w:r w:rsidR="004C6B84" w:rsidRPr="008B0EF4">
        <w:rPr>
          <w:rFonts w:eastAsia="Calibri"/>
          <w:lang w:eastAsia="en-US"/>
        </w:rPr>
        <w:t xml:space="preserve">children, and 12 more suffered injuries. The affected civilians </w:t>
      </w:r>
      <w:proofErr w:type="gramStart"/>
      <w:r w:rsidR="004C6B84" w:rsidRPr="008B0EF4">
        <w:rPr>
          <w:rFonts w:eastAsia="Calibri"/>
          <w:lang w:eastAsia="en-US"/>
        </w:rPr>
        <w:t>had previously been</w:t>
      </w:r>
      <w:r w:rsidR="00194566" w:rsidRPr="008B0EF4">
        <w:rPr>
          <w:rFonts w:eastAsia="Calibri"/>
          <w:lang w:eastAsia="en-US"/>
        </w:rPr>
        <w:t xml:space="preserve"> displaced</w:t>
      </w:r>
      <w:proofErr w:type="gramEnd"/>
      <w:r w:rsidR="00194566" w:rsidRPr="008B0EF4">
        <w:rPr>
          <w:rFonts w:eastAsia="Calibri"/>
          <w:lang w:eastAsia="en-US"/>
        </w:rPr>
        <w:t xml:space="preserve"> from the Afrin area</w:t>
      </w:r>
      <w:r w:rsidR="007300E3" w:rsidRPr="008B0EF4">
        <w:t xml:space="preserve">. </w:t>
      </w:r>
    </w:p>
    <w:p w14:paraId="49F10F2E" w14:textId="71950F8C" w:rsidR="007300E3" w:rsidRPr="008B0EF4" w:rsidRDefault="007300E3" w:rsidP="00EF76A2">
      <w:pPr>
        <w:pStyle w:val="H1G"/>
      </w:pPr>
      <w:r w:rsidRPr="008B0EF4">
        <w:tab/>
      </w:r>
      <w:bookmarkStart w:id="13" w:name="_Toc16754916"/>
      <w:r w:rsidRPr="008B0EF4">
        <w:t>C.</w:t>
      </w:r>
      <w:r w:rsidRPr="008B0EF4">
        <w:tab/>
      </w:r>
      <w:bookmarkEnd w:id="13"/>
      <w:r w:rsidR="00194566" w:rsidRPr="008B0EF4">
        <w:t xml:space="preserve">North-east </w:t>
      </w:r>
      <w:r w:rsidR="0026121E">
        <w:t xml:space="preserve">of the </w:t>
      </w:r>
      <w:r w:rsidR="00194566" w:rsidRPr="008B0EF4">
        <w:t>Syria</w:t>
      </w:r>
      <w:r w:rsidR="0026121E">
        <w:t>n Arab Republic</w:t>
      </w:r>
    </w:p>
    <w:p w14:paraId="3FE02590" w14:textId="77777777" w:rsidR="00194566" w:rsidRPr="008B0EF4" w:rsidRDefault="006A33EC" w:rsidP="006A33EC">
      <w:pPr>
        <w:pStyle w:val="H4G"/>
      </w:pPr>
      <w:r w:rsidRPr="008B0EF4">
        <w:tab/>
      </w:r>
      <w:r w:rsidRPr="008B0EF4">
        <w:tab/>
      </w:r>
      <w:r w:rsidR="00194566" w:rsidRPr="008B0EF4" w:rsidDel="00302BC6">
        <w:t>Operation Peace Spring</w:t>
      </w:r>
    </w:p>
    <w:p w14:paraId="150DD497" w14:textId="60DE6C03" w:rsidR="00194566" w:rsidRPr="008B0EF4" w:rsidRDefault="001B3EED" w:rsidP="00194566">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t>45</w:t>
      </w:r>
      <w:r w:rsidR="007300E3" w:rsidRPr="008B0EF4">
        <w:t>.</w:t>
      </w:r>
      <w:r w:rsidR="007300E3" w:rsidRPr="008B0EF4">
        <w:tab/>
      </w:r>
      <w:r w:rsidR="00194566" w:rsidRPr="008B0EF4">
        <w:rPr>
          <w:rFonts w:eastAsia="Calibri"/>
        </w:rPr>
        <w:t xml:space="preserve">Since 2015, the </w:t>
      </w:r>
      <w:r w:rsidR="00252D08">
        <w:rPr>
          <w:rFonts w:eastAsia="Calibri"/>
        </w:rPr>
        <w:t>Syrian Democratic Forces</w:t>
      </w:r>
      <w:r w:rsidR="00194566" w:rsidRPr="008B0EF4">
        <w:rPr>
          <w:rFonts w:eastAsia="Calibri"/>
        </w:rPr>
        <w:t xml:space="preserve"> </w:t>
      </w:r>
      <w:r w:rsidR="00DB758E" w:rsidRPr="008B0EF4">
        <w:rPr>
          <w:rFonts w:eastAsia="Calibri"/>
        </w:rPr>
        <w:t>ha</w:t>
      </w:r>
      <w:r w:rsidR="00DB758E">
        <w:rPr>
          <w:rFonts w:eastAsia="Calibri"/>
        </w:rPr>
        <w:t>ve</w:t>
      </w:r>
      <w:r w:rsidR="00DB758E" w:rsidRPr="008B0EF4">
        <w:rPr>
          <w:rFonts w:eastAsia="Calibri"/>
        </w:rPr>
        <w:t xml:space="preserve"> </w:t>
      </w:r>
      <w:r w:rsidR="00194566" w:rsidRPr="008B0EF4">
        <w:rPr>
          <w:rFonts w:eastAsia="Calibri"/>
        </w:rPr>
        <w:t xml:space="preserve">been in control of large portions of the </w:t>
      </w:r>
      <w:proofErr w:type="gramStart"/>
      <w:r w:rsidR="00194566" w:rsidRPr="008B0EF4">
        <w:rPr>
          <w:rFonts w:eastAsia="Calibri"/>
        </w:rPr>
        <w:t>north-east</w:t>
      </w:r>
      <w:proofErr w:type="gramEnd"/>
      <w:r w:rsidR="00194566" w:rsidRPr="008B0EF4">
        <w:rPr>
          <w:rFonts w:eastAsia="Calibri"/>
        </w:rPr>
        <w:t xml:space="preserve"> of the Syrian Arab Republic. Turkish armed forces, supported by the </w:t>
      </w:r>
      <w:r w:rsidR="000431E4">
        <w:rPr>
          <w:rFonts w:eastAsia="Calibri"/>
        </w:rPr>
        <w:t>Syrian National Army</w:t>
      </w:r>
      <w:r w:rsidR="00194566" w:rsidRPr="008B0EF4">
        <w:rPr>
          <w:rFonts w:eastAsia="Calibri"/>
        </w:rPr>
        <w:t>, commenced Operation Peace Spring</w:t>
      </w:r>
      <w:r w:rsidR="00194566" w:rsidRPr="008B0EF4">
        <w:rPr>
          <w:rStyle w:val="FootnoteReference"/>
          <w:rFonts w:eastAsia="Calibri"/>
        </w:rPr>
        <w:footnoteReference w:id="27"/>
      </w:r>
      <w:r w:rsidR="00194566" w:rsidRPr="008B0EF4">
        <w:rPr>
          <w:rFonts w:eastAsia="Calibri"/>
        </w:rPr>
        <w:t xml:space="preserve"> on 9 October with the launch of air</w:t>
      </w:r>
      <w:r w:rsidR="009443AF">
        <w:rPr>
          <w:rFonts w:eastAsia="Calibri"/>
        </w:rPr>
        <w:t xml:space="preserve"> </w:t>
      </w:r>
      <w:r w:rsidR="00194566" w:rsidRPr="008B0EF4">
        <w:rPr>
          <w:rFonts w:eastAsia="Calibri"/>
        </w:rPr>
        <w:t>strikes and artillery shelling on Syrian border towns</w:t>
      </w:r>
      <w:r w:rsidR="00274E72">
        <w:rPr>
          <w:rFonts w:eastAsia="Calibri"/>
        </w:rPr>
        <w:t>,</w:t>
      </w:r>
      <w:r w:rsidR="00194566" w:rsidRPr="008B0EF4">
        <w:rPr>
          <w:rFonts w:eastAsia="Calibri"/>
        </w:rPr>
        <w:t xml:space="preserve"> including </w:t>
      </w:r>
      <w:r w:rsidR="00563F81" w:rsidRPr="00D6133C">
        <w:rPr>
          <w:rFonts w:eastAsia="Calibri"/>
        </w:rPr>
        <w:t>Ayn al-Arab (</w:t>
      </w:r>
      <w:r w:rsidR="00194566" w:rsidRPr="00563F81">
        <w:rPr>
          <w:rFonts w:eastAsia="Calibri"/>
        </w:rPr>
        <w:t>Kobane</w:t>
      </w:r>
      <w:r w:rsidR="00563F81" w:rsidRPr="00D6133C">
        <w:rPr>
          <w:rFonts w:eastAsia="Calibri"/>
        </w:rPr>
        <w:t>)</w:t>
      </w:r>
      <w:r w:rsidR="00194566" w:rsidRPr="00563F81">
        <w:rPr>
          <w:rFonts w:eastAsia="Calibri"/>
        </w:rPr>
        <w:t>, Tal</w:t>
      </w:r>
      <w:r w:rsidR="00563F81" w:rsidRPr="00D6133C">
        <w:rPr>
          <w:rFonts w:eastAsia="Calibri"/>
        </w:rPr>
        <w:t>l</w:t>
      </w:r>
      <w:r w:rsidR="00194566" w:rsidRPr="00563F81">
        <w:rPr>
          <w:rFonts w:eastAsia="Calibri"/>
        </w:rPr>
        <w:t xml:space="preserve"> </w:t>
      </w:r>
      <w:proofErr w:type="spellStart"/>
      <w:r w:rsidR="00194566" w:rsidRPr="00563F81">
        <w:rPr>
          <w:rFonts w:eastAsia="Calibri"/>
        </w:rPr>
        <w:t>Abyad</w:t>
      </w:r>
      <w:proofErr w:type="spellEnd"/>
      <w:r w:rsidR="00194566" w:rsidRPr="00563F81">
        <w:rPr>
          <w:rFonts w:eastAsia="Calibri"/>
        </w:rPr>
        <w:t>, Ra</w:t>
      </w:r>
      <w:r w:rsidR="004B1877">
        <w:rPr>
          <w:rFonts w:eastAsia="Calibri"/>
        </w:rPr>
        <w:t>’</w:t>
      </w:r>
      <w:r w:rsidR="00194566" w:rsidRPr="00563F81">
        <w:rPr>
          <w:rFonts w:eastAsia="Calibri"/>
        </w:rPr>
        <w:t>s al</w:t>
      </w:r>
      <w:r w:rsidR="00563F81" w:rsidRPr="00D6133C">
        <w:rPr>
          <w:rFonts w:eastAsia="Calibri"/>
        </w:rPr>
        <w:t>-</w:t>
      </w:r>
      <w:r w:rsidR="00194566" w:rsidRPr="00563F81">
        <w:rPr>
          <w:rFonts w:eastAsia="Calibri"/>
        </w:rPr>
        <w:t xml:space="preserve">Ayn and </w:t>
      </w:r>
      <w:proofErr w:type="spellStart"/>
      <w:r w:rsidR="00194566" w:rsidRPr="00563F81">
        <w:rPr>
          <w:rFonts w:eastAsia="Calibri"/>
        </w:rPr>
        <w:t>Qamishli</w:t>
      </w:r>
      <w:proofErr w:type="spellEnd"/>
      <w:r w:rsidR="00194566" w:rsidRPr="008B0EF4">
        <w:rPr>
          <w:rFonts w:eastAsia="Calibri"/>
        </w:rPr>
        <w:t xml:space="preserve">. The ground advance commenced on 10 October. </w:t>
      </w:r>
    </w:p>
    <w:p w14:paraId="4EA15F13" w14:textId="439A2261" w:rsidR="00194566" w:rsidRPr="008B0EF4" w:rsidRDefault="001B3EED" w:rsidP="00194566">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46</w:t>
      </w:r>
      <w:r w:rsidR="006A33EC" w:rsidRPr="008B0EF4">
        <w:rPr>
          <w:rFonts w:eastAsia="Calibri"/>
        </w:rPr>
        <w:t>.</w:t>
      </w:r>
      <w:r w:rsidR="00194566" w:rsidRPr="008B0EF4">
        <w:rPr>
          <w:rFonts w:eastAsia="Calibri"/>
        </w:rPr>
        <w:tab/>
        <w:t xml:space="preserve">By 21 November, Turkey secured territory that they referred to as a “safe zone”, which consisted of an area stretching </w:t>
      </w:r>
      <w:r w:rsidR="00194566" w:rsidRPr="00563F81">
        <w:rPr>
          <w:rFonts w:eastAsia="Calibri"/>
        </w:rPr>
        <w:t>between Tal</w:t>
      </w:r>
      <w:r w:rsidR="00563F81" w:rsidRPr="00D6133C">
        <w:rPr>
          <w:rFonts w:eastAsia="Calibri"/>
        </w:rPr>
        <w:t>l</w:t>
      </w:r>
      <w:r w:rsidR="00194566" w:rsidRPr="00563F81">
        <w:rPr>
          <w:rFonts w:eastAsia="Calibri"/>
        </w:rPr>
        <w:t xml:space="preserve"> </w:t>
      </w:r>
      <w:proofErr w:type="spellStart"/>
      <w:r w:rsidR="00194566" w:rsidRPr="00563F81">
        <w:rPr>
          <w:rFonts w:eastAsia="Calibri"/>
        </w:rPr>
        <w:t>Abyad</w:t>
      </w:r>
      <w:proofErr w:type="spellEnd"/>
      <w:r w:rsidR="00194566" w:rsidRPr="00563F81">
        <w:rPr>
          <w:rFonts w:eastAsia="Calibri"/>
        </w:rPr>
        <w:t xml:space="preserve"> and Ra</w:t>
      </w:r>
      <w:r w:rsidR="004B1877">
        <w:rPr>
          <w:rFonts w:eastAsia="Calibri"/>
        </w:rPr>
        <w:t>’</w:t>
      </w:r>
      <w:r w:rsidR="00194566" w:rsidRPr="00563F81">
        <w:rPr>
          <w:rFonts w:eastAsia="Calibri"/>
        </w:rPr>
        <w:t>s</w:t>
      </w:r>
      <w:r w:rsidR="00563F81" w:rsidRPr="00D6133C">
        <w:rPr>
          <w:rFonts w:eastAsia="Calibri"/>
        </w:rPr>
        <w:t xml:space="preserve"> </w:t>
      </w:r>
      <w:r w:rsidR="00194566" w:rsidRPr="00563F81">
        <w:rPr>
          <w:rFonts w:eastAsia="Calibri"/>
        </w:rPr>
        <w:t>al</w:t>
      </w:r>
      <w:r w:rsidR="00563F81" w:rsidRPr="00D6133C">
        <w:rPr>
          <w:rFonts w:eastAsia="Calibri"/>
        </w:rPr>
        <w:t>-</w:t>
      </w:r>
      <w:r w:rsidR="00194566" w:rsidRPr="00563F81">
        <w:rPr>
          <w:rFonts w:eastAsia="Calibri"/>
        </w:rPr>
        <w:t>Ayn.</w:t>
      </w:r>
      <w:r w:rsidR="00194566" w:rsidRPr="008B0EF4">
        <w:rPr>
          <w:rFonts w:eastAsia="Calibri"/>
        </w:rPr>
        <w:t xml:space="preserve"> </w:t>
      </w:r>
      <w:r w:rsidR="00194566" w:rsidRPr="008B0EF4">
        <w:rPr>
          <w:rFonts w:eastAsia="Calibri"/>
          <w:szCs w:val="24"/>
        </w:rPr>
        <w:t>While</w:t>
      </w:r>
      <w:r w:rsidR="00194566" w:rsidRPr="008B0EF4">
        <w:rPr>
          <w:rFonts w:eastAsia="Calibri"/>
        </w:rPr>
        <w:t xml:space="preserve"> major air</w:t>
      </w:r>
      <w:r w:rsidR="009443AF">
        <w:rPr>
          <w:rFonts w:eastAsia="Calibri"/>
        </w:rPr>
        <w:t xml:space="preserve"> </w:t>
      </w:r>
      <w:r w:rsidR="00194566" w:rsidRPr="008B0EF4">
        <w:rPr>
          <w:rFonts w:eastAsia="Calibri"/>
        </w:rPr>
        <w:t>strikes and artillery shelling scaled down significantly in late November, the area experienced frequent attacks, including sporadic artillery shelling, ground skirmishes, car bombs and the use of other improvised explosive devices.</w:t>
      </w:r>
    </w:p>
    <w:p w14:paraId="1FC93AEA" w14:textId="0B25BB35" w:rsidR="00194566" w:rsidRPr="008B0EF4" w:rsidRDefault="001B3EED" w:rsidP="00194566">
      <w:pPr>
        <w:suppressAutoHyphens/>
        <w:kinsoku w:val="0"/>
        <w:overflowPunct w:val="0"/>
        <w:autoSpaceDE w:val="0"/>
        <w:autoSpaceDN w:val="0"/>
        <w:adjustRightInd w:val="0"/>
        <w:snapToGrid w:val="0"/>
        <w:spacing w:after="120" w:line="240" w:lineRule="atLeast"/>
        <w:ind w:left="1134" w:right="1134"/>
        <w:jc w:val="both"/>
        <w:rPr>
          <w:rFonts w:eastAsia="Calibri"/>
          <w:szCs w:val="24"/>
        </w:rPr>
      </w:pPr>
      <w:r w:rsidRPr="008B0EF4">
        <w:rPr>
          <w:rFonts w:eastAsia="Calibri"/>
          <w:szCs w:val="24"/>
        </w:rPr>
        <w:t>47</w:t>
      </w:r>
      <w:r w:rsidR="006A33EC" w:rsidRPr="008B0EF4">
        <w:rPr>
          <w:rFonts w:eastAsia="Calibri"/>
          <w:szCs w:val="24"/>
        </w:rPr>
        <w:t>.</w:t>
      </w:r>
      <w:r w:rsidR="00194566" w:rsidRPr="008B0EF4">
        <w:rPr>
          <w:rFonts w:eastAsia="Calibri"/>
          <w:szCs w:val="24"/>
        </w:rPr>
        <w:tab/>
        <w:t>In carrying out aerial attacks, the Turkish air force employed aircraft</w:t>
      </w:r>
      <w:r w:rsidR="00194566" w:rsidRPr="008B0EF4">
        <w:rPr>
          <w:rFonts w:eastAsia="Calibri"/>
        </w:rPr>
        <w:t>, including drones,</w:t>
      </w:r>
      <w:r w:rsidR="00194566" w:rsidRPr="008B0EF4">
        <w:rPr>
          <w:rFonts w:eastAsia="Calibri"/>
          <w:szCs w:val="24"/>
        </w:rPr>
        <w:t xml:space="preserve"> and precise munitions. The </w:t>
      </w:r>
      <w:r w:rsidR="000431E4">
        <w:rPr>
          <w:rFonts w:eastAsia="Calibri"/>
          <w:szCs w:val="24"/>
        </w:rPr>
        <w:t>Syrian National Army</w:t>
      </w:r>
      <w:r w:rsidR="00194566" w:rsidRPr="008B0EF4">
        <w:rPr>
          <w:rFonts w:eastAsia="Calibri"/>
          <w:szCs w:val="24"/>
        </w:rPr>
        <w:t xml:space="preserve">, financially and logistically supported by Turkish forces, formed part of the ground forces </w:t>
      </w:r>
      <w:r w:rsidR="00557BE5" w:rsidRPr="008B0EF4">
        <w:rPr>
          <w:rFonts w:eastAsia="Calibri"/>
          <w:szCs w:val="24"/>
        </w:rPr>
        <w:t xml:space="preserve">and </w:t>
      </w:r>
      <w:r w:rsidR="00194566" w:rsidRPr="008B0EF4">
        <w:rPr>
          <w:rFonts w:eastAsia="Calibri"/>
          <w:szCs w:val="24"/>
        </w:rPr>
        <w:t>were lightly armed, although some units deployed tanks, light personnel carriers and several types of artillery.</w:t>
      </w:r>
      <w:r w:rsidR="00194566" w:rsidRPr="008B0EF4">
        <w:rPr>
          <w:rFonts w:eastAsia="Calibri"/>
        </w:rPr>
        <w:t xml:space="preserve"> </w:t>
      </w:r>
    </w:p>
    <w:p w14:paraId="05E5E2C7" w14:textId="418B9D2C" w:rsidR="00194566" w:rsidRPr="008B0EF4" w:rsidRDefault="001B3EED" w:rsidP="00194566">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48</w:t>
      </w:r>
      <w:r w:rsidR="006A33EC" w:rsidRPr="008B0EF4">
        <w:rPr>
          <w:rFonts w:eastAsia="Calibri"/>
        </w:rPr>
        <w:t>.</w:t>
      </w:r>
      <w:r w:rsidR="00194566" w:rsidRPr="008B0EF4">
        <w:rPr>
          <w:rFonts w:eastAsia="Calibri"/>
        </w:rPr>
        <w:tab/>
        <w:t xml:space="preserve">The launch of Operation Peace Spring triggered mass waves of displacement. More than 100,000 people </w:t>
      </w:r>
      <w:r w:rsidR="00274E72">
        <w:rPr>
          <w:rFonts w:eastAsia="Calibri"/>
        </w:rPr>
        <w:t xml:space="preserve">had </w:t>
      </w:r>
      <w:r w:rsidR="00194566" w:rsidRPr="008B0EF4">
        <w:rPr>
          <w:rFonts w:eastAsia="Calibri"/>
        </w:rPr>
        <w:t xml:space="preserve">fled by 11 October. This number rose to more than 175,000 displaced individuals by 22 October, including approximately 80,000 children. </w:t>
      </w:r>
      <w:r w:rsidR="00050D25">
        <w:rPr>
          <w:rFonts w:eastAsia="Calibri"/>
        </w:rPr>
        <w:t>More than</w:t>
      </w:r>
      <w:r w:rsidR="00050D25" w:rsidRPr="008B0EF4">
        <w:rPr>
          <w:rFonts w:eastAsia="Calibri"/>
        </w:rPr>
        <w:t xml:space="preserve"> </w:t>
      </w:r>
      <w:r w:rsidR="00194566" w:rsidRPr="008B0EF4">
        <w:rPr>
          <w:rFonts w:eastAsia="Calibri"/>
        </w:rPr>
        <w:t xml:space="preserve">10,000 civilians fled across the border to Iraq. By mid-October, as hostilities intensified, international humanitarian organizations reduced their presence on the ground, which further compromised civilians’ access to services. </w:t>
      </w:r>
    </w:p>
    <w:p w14:paraId="5F398F82" w14:textId="6BC22802" w:rsidR="00194566" w:rsidRPr="008B0EF4" w:rsidRDefault="001B3EED" w:rsidP="00194566">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49</w:t>
      </w:r>
      <w:r w:rsidR="006A33EC" w:rsidRPr="008B0EF4">
        <w:rPr>
          <w:rFonts w:eastAsia="Calibri"/>
        </w:rPr>
        <w:t>.</w:t>
      </w:r>
      <w:r w:rsidR="00194566" w:rsidRPr="008B0EF4">
        <w:rPr>
          <w:rFonts w:eastAsia="Calibri"/>
        </w:rPr>
        <w:tab/>
        <w:t xml:space="preserve">Most casualties </w:t>
      </w:r>
      <w:proofErr w:type="gramStart"/>
      <w:r w:rsidR="00194566" w:rsidRPr="008B0EF4">
        <w:rPr>
          <w:rFonts w:eastAsia="Calibri"/>
        </w:rPr>
        <w:t>were inflicted</w:t>
      </w:r>
      <w:proofErr w:type="gramEnd"/>
      <w:r w:rsidR="00194566" w:rsidRPr="008B0EF4">
        <w:rPr>
          <w:rFonts w:eastAsia="Calibri"/>
        </w:rPr>
        <w:t xml:space="preserve"> in the early days of the offensive, including in areas outside of the territory eventually controlled by Operation Peace Spring forces. On 10 October in </w:t>
      </w:r>
      <w:proofErr w:type="spellStart"/>
      <w:r w:rsidR="00194566" w:rsidRPr="00563F81">
        <w:rPr>
          <w:rFonts w:eastAsia="Calibri"/>
        </w:rPr>
        <w:t>Qamishli</w:t>
      </w:r>
      <w:proofErr w:type="spellEnd"/>
      <w:r w:rsidR="00194566" w:rsidRPr="008B0EF4">
        <w:rPr>
          <w:rFonts w:eastAsia="Calibri"/>
        </w:rPr>
        <w:t xml:space="preserve">, in the neighbourhood of </w:t>
      </w:r>
      <w:proofErr w:type="spellStart"/>
      <w:r w:rsidR="00194566" w:rsidRPr="008B0EF4">
        <w:rPr>
          <w:rFonts w:eastAsia="Calibri"/>
        </w:rPr>
        <w:t>Qadour</w:t>
      </w:r>
      <w:proofErr w:type="spellEnd"/>
      <w:r w:rsidR="00194566" w:rsidRPr="008B0EF4">
        <w:rPr>
          <w:rFonts w:eastAsia="Calibri"/>
        </w:rPr>
        <w:t xml:space="preserve"> Beck</w:t>
      </w:r>
      <w:r w:rsidR="00050D25">
        <w:rPr>
          <w:rFonts w:eastAsia="Calibri"/>
        </w:rPr>
        <w:t>,</w:t>
      </w:r>
      <w:r w:rsidR="00194566" w:rsidRPr="008B0EF4">
        <w:rPr>
          <w:rFonts w:eastAsia="Calibri"/>
        </w:rPr>
        <w:t xml:space="preserve"> at around 4</w:t>
      </w:r>
      <w:r w:rsidR="00050D25">
        <w:rPr>
          <w:rFonts w:eastAsia="Calibri"/>
        </w:rPr>
        <w:t>.</w:t>
      </w:r>
      <w:r w:rsidR="00194566" w:rsidRPr="008B0EF4">
        <w:rPr>
          <w:rFonts w:eastAsia="Calibri"/>
        </w:rPr>
        <w:t xml:space="preserve">30 p.m., a mortar hit a civilian house resulting in the death of </w:t>
      </w:r>
      <w:r w:rsidR="00557BE5" w:rsidRPr="008B0EF4">
        <w:rPr>
          <w:rFonts w:eastAsia="Calibri"/>
        </w:rPr>
        <w:t xml:space="preserve">a </w:t>
      </w:r>
      <w:r w:rsidR="00194566" w:rsidRPr="008B0EF4">
        <w:rPr>
          <w:rFonts w:eastAsia="Calibri"/>
        </w:rPr>
        <w:t xml:space="preserve">boy and </w:t>
      </w:r>
      <w:proofErr w:type="gramStart"/>
      <w:r w:rsidR="00194566" w:rsidRPr="008B0EF4">
        <w:rPr>
          <w:rFonts w:eastAsia="Calibri"/>
        </w:rPr>
        <w:t>seriously</w:t>
      </w:r>
      <w:proofErr w:type="gramEnd"/>
      <w:r w:rsidR="00194566" w:rsidRPr="008B0EF4">
        <w:rPr>
          <w:rFonts w:eastAsia="Calibri"/>
        </w:rPr>
        <w:t xml:space="preserve"> injuring one girl aged 8 and one boy aged 11. The children were playing outside when the attack took place. The attack also killed an elderly woman who was passing by at the time of the incident. Witnesses described the </w:t>
      </w:r>
      <w:proofErr w:type="spellStart"/>
      <w:r w:rsidR="00194566" w:rsidRPr="008B0EF4">
        <w:rPr>
          <w:rFonts w:eastAsia="Calibri"/>
        </w:rPr>
        <w:t>Qadour</w:t>
      </w:r>
      <w:proofErr w:type="spellEnd"/>
      <w:r w:rsidR="00194566" w:rsidRPr="008B0EF4">
        <w:rPr>
          <w:rFonts w:eastAsia="Calibri"/>
        </w:rPr>
        <w:t xml:space="preserve"> Beck neighbourhood as a civilian area, with no military </w:t>
      </w:r>
      <w:r w:rsidR="00834E0B" w:rsidRPr="008B0EF4">
        <w:rPr>
          <w:rFonts w:eastAsia="Calibri"/>
        </w:rPr>
        <w:t>object</w:t>
      </w:r>
      <w:r w:rsidR="00834E0B">
        <w:rPr>
          <w:rFonts w:eastAsia="Calibri"/>
        </w:rPr>
        <w:t>ives</w:t>
      </w:r>
      <w:r w:rsidR="00834E0B" w:rsidRPr="008B0EF4">
        <w:rPr>
          <w:rFonts w:eastAsia="Calibri"/>
        </w:rPr>
        <w:t xml:space="preserve"> </w:t>
      </w:r>
      <w:r w:rsidR="00194566" w:rsidRPr="008B0EF4">
        <w:rPr>
          <w:rFonts w:eastAsia="Calibri"/>
        </w:rPr>
        <w:t xml:space="preserve">located nearby. Witnesses reported that shells </w:t>
      </w:r>
      <w:proofErr w:type="gramStart"/>
      <w:r w:rsidR="00BB479E">
        <w:rPr>
          <w:rFonts w:eastAsia="Calibri"/>
        </w:rPr>
        <w:t>had been</w:t>
      </w:r>
      <w:r w:rsidR="00BB479E" w:rsidRPr="008B0EF4">
        <w:rPr>
          <w:rFonts w:eastAsia="Calibri"/>
        </w:rPr>
        <w:t xml:space="preserve"> </w:t>
      </w:r>
      <w:r w:rsidR="00194566" w:rsidRPr="008B0EF4">
        <w:rPr>
          <w:rFonts w:eastAsia="Calibri"/>
        </w:rPr>
        <w:t>launched</w:t>
      </w:r>
      <w:proofErr w:type="gramEnd"/>
      <w:r w:rsidR="00194566" w:rsidRPr="008B0EF4">
        <w:rPr>
          <w:rFonts w:eastAsia="Calibri"/>
        </w:rPr>
        <w:t xml:space="preserve"> from the </w:t>
      </w:r>
      <w:proofErr w:type="spellStart"/>
      <w:r w:rsidR="00194566" w:rsidRPr="008B0EF4">
        <w:rPr>
          <w:rFonts w:eastAsia="Calibri"/>
        </w:rPr>
        <w:t>Nseibin</w:t>
      </w:r>
      <w:proofErr w:type="spellEnd"/>
      <w:r w:rsidR="00194566" w:rsidRPr="008B0EF4">
        <w:rPr>
          <w:rFonts w:eastAsia="Calibri"/>
        </w:rPr>
        <w:t xml:space="preserve"> area of Turkey, adjacent to </w:t>
      </w:r>
      <w:proofErr w:type="spellStart"/>
      <w:r w:rsidR="00194566" w:rsidRPr="008B0EF4">
        <w:rPr>
          <w:rFonts w:eastAsia="Calibri"/>
        </w:rPr>
        <w:t>Qamishli</w:t>
      </w:r>
      <w:proofErr w:type="spellEnd"/>
      <w:r w:rsidR="00194566" w:rsidRPr="008B0EF4">
        <w:rPr>
          <w:rFonts w:eastAsia="Calibri"/>
        </w:rPr>
        <w:t>.</w:t>
      </w:r>
    </w:p>
    <w:p w14:paraId="3E43564D" w14:textId="54031213" w:rsidR="00194566" w:rsidRPr="008B0EF4" w:rsidRDefault="001B3EED" w:rsidP="00194566">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50</w:t>
      </w:r>
      <w:r w:rsidR="006A33EC" w:rsidRPr="008B0EF4">
        <w:rPr>
          <w:rFonts w:eastAsia="Calibri"/>
        </w:rPr>
        <w:t>.</w:t>
      </w:r>
      <w:r w:rsidR="00194566" w:rsidRPr="008B0EF4">
        <w:rPr>
          <w:rFonts w:eastAsia="Calibri"/>
        </w:rPr>
        <w:tab/>
        <w:t xml:space="preserve">Objects necessary for the survival of the civilian population </w:t>
      </w:r>
      <w:proofErr w:type="gramStart"/>
      <w:r w:rsidR="00194566" w:rsidRPr="008B0EF4">
        <w:rPr>
          <w:rFonts w:eastAsia="Calibri"/>
        </w:rPr>
        <w:t xml:space="preserve">were </w:t>
      </w:r>
      <w:r w:rsidR="00BB479E">
        <w:rPr>
          <w:rFonts w:eastAsia="Calibri"/>
        </w:rPr>
        <w:t>affected</w:t>
      </w:r>
      <w:proofErr w:type="gramEnd"/>
      <w:r w:rsidR="00BB479E" w:rsidRPr="008B0EF4">
        <w:rPr>
          <w:rFonts w:eastAsia="Calibri"/>
        </w:rPr>
        <w:t xml:space="preserve"> </w:t>
      </w:r>
      <w:r w:rsidR="00194566" w:rsidRPr="008B0EF4">
        <w:rPr>
          <w:rFonts w:eastAsia="Calibri"/>
        </w:rPr>
        <w:t xml:space="preserve">several times by the hostilities. On 9 October, at around 4 p.m., witnesses reported that an artillery strike </w:t>
      </w:r>
      <w:r w:rsidR="00BB479E">
        <w:rPr>
          <w:rFonts w:eastAsia="Calibri"/>
        </w:rPr>
        <w:t xml:space="preserve">had </w:t>
      </w:r>
      <w:r w:rsidR="00194566" w:rsidRPr="008B0EF4">
        <w:rPr>
          <w:rFonts w:eastAsia="Calibri"/>
        </w:rPr>
        <w:t xml:space="preserve">hit the </w:t>
      </w:r>
      <w:r w:rsidR="00194566" w:rsidRPr="004B1877">
        <w:rPr>
          <w:rFonts w:eastAsia="Calibri"/>
        </w:rPr>
        <w:t xml:space="preserve">area of </w:t>
      </w:r>
      <w:proofErr w:type="spellStart"/>
      <w:r w:rsidR="00194566" w:rsidRPr="004B1877">
        <w:rPr>
          <w:rFonts w:eastAsia="Calibri"/>
        </w:rPr>
        <w:t>Aluk</w:t>
      </w:r>
      <w:proofErr w:type="spellEnd"/>
      <w:r w:rsidR="00194566" w:rsidRPr="004B1877">
        <w:rPr>
          <w:rFonts w:eastAsia="Calibri"/>
        </w:rPr>
        <w:t xml:space="preserve"> water station</w:t>
      </w:r>
      <w:r w:rsidR="00194566" w:rsidRPr="008B0EF4">
        <w:rPr>
          <w:rFonts w:eastAsia="Calibri"/>
        </w:rPr>
        <w:t xml:space="preserve">. The strike destroyed electricity cables and, as a result, water pumping came to a halt and the water supply for 460,000 people </w:t>
      </w:r>
      <w:proofErr w:type="gramStart"/>
      <w:r w:rsidR="00194566" w:rsidRPr="008B0EF4">
        <w:rPr>
          <w:rFonts w:eastAsia="Calibri"/>
        </w:rPr>
        <w:t>was cut off</w:t>
      </w:r>
      <w:proofErr w:type="gramEnd"/>
      <w:r w:rsidR="00194566" w:rsidRPr="008B0EF4">
        <w:rPr>
          <w:rFonts w:eastAsia="Calibri"/>
        </w:rPr>
        <w:t xml:space="preserve">. The area </w:t>
      </w:r>
      <w:proofErr w:type="gramStart"/>
      <w:r w:rsidR="00194566" w:rsidRPr="008B0EF4">
        <w:rPr>
          <w:rFonts w:eastAsia="Calibri"/>
        </w:rPr>
        <w:t>was hit</w:t>
      </w:r>
      <w:proofErr w:type="gramEnd"/>
      <w:r w:rsidR="00194566" w:rsidRPr="008B0EF4">
        <w:rPr>
          <w:rFonts w:eastAsia="Calibri"/>
        </w:rPr>
        <w:t xml:space="preserve"> again by ground shelling the following day, damaging the administrative building of the water station. On 17 October, water repai</w:t>
      </w:r>
      <w:r w:rsidR="00785875" w:rsidRPr="008B0EF4">
        <w:rPr>
          <w:rFonts w:eastAsia="Calibri"/>
        </w:rPr>
        <w:t>r workers attempted to conduct</w:t>
      </w:r>
      <w:r w:rsidR="00194566" w:rsidRPr="008B0EF4">
        <w:rPr>
          <w:rFonts w:eastAsia="Calibri"/>
        </w:rPr>
        <w:t xml:space="preserve"> </w:t>
      </w:r>
      <w:r w:rsidR="00194566" w:rsidRPr="004B1877">
        <w:rPr>
          <w:rFonts w:eastAsia="Calibri"/>
        </w:rPr>
        <w:t xml:space="preserve">repairs, but </w:t>
      </w:r>
      <w:proofErr w:type="gramStart"/>
      <w:r w:rsidR="00194566" w:rsidRPr="004B1877">
        <w:rPr>
          <w:rFonts w:eastAsia="Calibri"/>
        </w:rPr>
        <w:t>were allegedly abducted</w:t>
      </w:r>
      <w:proofErr w:type="gramEnd"/>
      <w:r w:rsidR="00194566" w:rsidRPr="004B1877">
        <w:rPr>
          <w:rFonts w:eastAsia="Calibri"/>
        </w:rPr>
        <w:t xml:space="preserve"> by armed group fighters from </w:t>
      </w:r>
      <w:proofErr w:type="spellStart"/>
      <w:r w:rsidR="00194566" w:rsidRPr="004B1877">
        <w:rPr>
          <w:rFonts w:eastAsia="Calibri"/>
        </w:rPr>
        <w:t>Ahrar</w:t>
      </w:r>
      <w:proofErr w:type="spellEnd"/>
      <w:r w:rsidR="00194566" w:rsidRPr="004B1877">
        <w:rPr>
          <w:rFonts w:eastAsia="Calibri"/>
        </w:rPr>
        <w:t xml:space="preserve"> </w:t>
      </w:r>
      <w:r w:rsidR="004B1877" w:rsidRPr="00D6133C">
        <w:rPr>
          <w:rFonts w:eastAsia="Calibri"/>
        </w:rPr>
        <w:t>a</w:t>
      </w:r>
      <w:r w:rsidR="00194566" w:rsidRPr="004B1877">
        <w:rPr>
          <w:rFonts w:eastAsia="Calibri"/>
        </w:rPr>
        <w:t>l-</w:t>
      </w:r>
      <w:proofErr w:type="spellStart"/>
      <w:r w:rsidR="00194566" w:rsidRPr="004B1877">
        <w:rPr>
          <w:rFonts w:eastAsia="Calibri"/>
        </w:rPr>
        <w:t>Sharqiyah</w:t>
      </w:r>
      <w:proofErr w:type="spellEnd"/>
      <w:r w:rsidR="00194566" w:rsidRPr="004B1877">
        <w:rPr>
          <w:rFonts w:eastAsia="Calibri"/>
        </w:rPr>
        <w:t xml:space="preserve"> (Brigade 123) though</w:t>
      </w:r>
      <w:r w:rsidR="00194566" w:rsidRPr="008B0EF4">
        <w:rPr>
          <w:rFonts w:eastAsia="Calibri"/>
        </w:rPr>
        <w:t xml:space="preserve"> later released. It was not until </w:t>
      </w:r>
      <w:r w:rsidR="00BB479E">
        <w:rPr>
          <w:rFonts w:eastAsia="Calibri"/>
        </w:rPr>
        <w:t>more than</w:t>
      </w:r>
      <w:r w:rsidR="00BB479E" w:rsidRPr="008B0EF4">
        <w:rPr>
          <w:rFonts w:eastAsia="Calibri"/>
        </w:rPr>
        <w:t xml:space="preserve"> </w:t>
      </w:r>
      <w:r w:rsidR="00194566" w:rsidRPr="008B0EF4">
        <w:rPr>
          <w:rFonts w:eastAsia="Calibri"/>
        </w:rPr>
        <w:t xml:space="preserve">a month later, on 13 </w:t>
      </w:r>
      <w:proofErr w:type="gramStart"/>
      <w:r w:rsidR="00194566" w:rsidRPr="008B0EF4">
        <w:rPr>
          <w:rFonts w:eastAsia="Calibri"/>
        </w:rPr>
        <w:t>November, that</w:t>
      </w:r>
      <w:proofErr w:type="gramEnd"/>
      <w:r w:rsidR="00194566" w:rsidRPr="008B0EF4">
        <w:rPr>
          <w:rFonts w:eastAsia="Calibri"/>
        </w:rPr>
        <w:t xml:space="preserve"> the water supply was restored following negotiations by humanitarian actors.</w:t>
      </w:r>
    </w:p>
    <w:p w14:paraId="3852AD47" w14:textId="2F5C8477" w:rsidR="00194566" w:rsidRPr="008B0EF4" w:rsidRDefault="001B3EED" w:rsidP="00194566">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51</w:t>
      </w:r>
      <w:r w:rsidR="006A33EC" w:rsidRPr="008B0EF4">
        <w:rPr>
          <w:rFonts w:eastAsia="Calibri"/>
        </w:rPr>
        <w:t>.</w:t>
      </w:r>
      <w:r w:rsidR="00194566" w:rsidRPr="008B0EF4">
        <w:rPr>
          <w:rFonts w:eastAsia="Calibri"/>
        </w:rPr>
        <w:tab/>
        <w:t>On 12 October at 6</w:t>
      </w:r>
      <w:r w:rsidR="00BB479E">
        <w:rPr>
          <w:rFonts w:eastAsia="Calibri"/>
        </w:rPr>
        <w:t>.</w:t>
      </w:r>
      <w:r w:rsidR="00194566" w:rsidRPr="008B0EF4">
        <w:rPr>
          <w:rFonts w:eastAsia="Calibri"/>
        </w:rPr>
        <w:t xml:space="preserve">50 a.m., </w:t>
      </w:r>
      <w:r w:rsidR="00557BE5" w:rsidRPr="008B0EF4">
        <w:rPr>
          <w:rFonts w:eastAsia="Calibri"/>
        </w:rPr>
        <w:t xml:space="preserve">an </w:t>
      </w:r>
      <w:r w:rsidR="00194566" w:rsidRPr="002268CE">
        <w:rPr>
          <w:rFonts w:eastAsia="Calibri"/>
        </w:rPr>
        <w:t xml:space="preserve">ordinance hit a temporary medical point located within a school in </w:t>
      </w:r>
      <w:proofErr w:type="spellStart"/>
      <w:r w:rsidR="00834E0B" w:rsidRPr="000C7220">
        <w:rPr>
          <w:rFonts w:eastAsia="Calibri"/>
        </w:rPr>
        <w:t>Salihiyah</w:t>
      </w:r>
      <w:proofErr w:type="spellEnd"/>
      <w:r w:rsidR="00194566" w:rsidRPr="002268CE">
        <w:rPr>
          <w:rFonts w:eastAsia="Calibri"/>
        </w:rPr>
        <w:t xml:space="preserve">, which is between </w:t>
      </w:r>
      <w:bookmarkStart w:id="14" w:name="_Hlk30576673"/>
      <w:r w:rsidR="0054514C" w:rsidRPr="00D6133C">
        <w:rPr>
          <w:rFonts w:eastAsia="Calibri"/>
        </w:rPr>
        <w:t>Ra’s al-Ayn</w:t>
      </w:r>
      <w:r w:rsidR="00194566" w:rsidRPr="002268CE">
        <w:rPr>
          <w:rFonts w:eastAsia="Calibri"/>
        </w:rPr>
        <w:t xml:space="preserve"> </w:t>
      </w:r>
      <w:bookmarkEnd w:id="14"/>
      <w:r w:rsidR="00194566" w:rsidRPr="002268CE">
        <w:rPr>
          <w:rFonts w:eastAsia="Calibri"/>
        </w:rPr>
        <w:t>and Tal</w:t>
      </w:r>
      <w:r w:rsidR="002268CE" w:rsidRPr="00D6133C">
        <w:rPr>
          <w:rFonts w:eastAsia="Calibri"/>
        </w:rPr>
        <w:t>l</w:t>
      </w:r>
      <w:r w:rsidR="00194566" w:rsidRPr="002268CE">
        <w:rPr>
          <w:rFonts w:eastAsia="Calibri"/>
        </w:rPr>
        <w:t xml:space="preserve"> </w:t>
      </w:r>
      <w:proofErr w:type="spellStart"/>
      <w:r w:rsidR="00194566" w:rsidRPr="002268CE">
        <w:rPr>
          <w:rFonts w:eastAsia="Calibri"/>
        </w:rPr>
        <w:t>Tamr</w:t>
      </w:r>
      <w:proofErr w:type="spellEnd"/>
      <w:r w:rsidR="00194566" w:rsidRPr="002268CE">
        <w:rPr>
          <w:rFonts w:eastAsia="Calibri"/>
        </w:rPr>
        <w:t>. The noise</w:t>
      </w:r>
      <w:r w:rsidR="00194566" w:rsidRPr="008B0EF4">
        <w:rPr>
          <w:rFonts w:eastAsia="Calibri"/>
        </w:rPr>
        <w:t xml:space="preserve"> of an aircraft </w:t>
      </w:r>
      <w:proofErr w:type="gramStart"/>
      <w:r w:rsidR="00194566" w:rsidRPr="008B0EF4">
        <w:rPr>
          <w:rFonts w:eastAsia="Calibri"/>
        </w:rPr>
        <w:t>was heard</w:t>
      </w:r>
      <w:proofErr w:type="gramEnd"/>
      <w:r w:rsidR="00194566" w:rsidRPr="008B0EF4">
        <w:rPr>
          <w:rFonts w:eastAsia="Calibri"/>
        </w:rPr>
        <w:t xml:space="preserve"> shortly before the medical point was hit. The attack damaged the building and destroyed a nearby car. </w:t>
      </w:r>
    </w:p>
    <w:p w14:paraId="56CE4672" w14:textId="55B86B7C" w:rsidR="00194566" w:rsidRPr="008B0EF4" w:rsidRDefault="001B3EED" w:rsidP="00194566">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52</w:t>
      </w:r>
      <w:r w:rsidR="006A33EC" w:rsidRPr="008B0EF4">
        <w:rPr>
          <w:rFonts w:eastAsia="Calibri"/>
        </w:rPr>
        <w:t>.</w:t>
      </w:r>
      <w:r w:rsidR="00194566" w:rsidRPr="008B0EF4">
        <w:rPr>
          <w:rFonts w:eastAsia="Calibri"/>
        </w:rPr>
        <w:tab/>
        <w:t xml:space="preserve">In another incident on 12 October, a convoy consisting of </w:t>
      </w:r>
      <w:r w:rsidR="00F640F8">
        <w:rPr>
          <w:rFonts w:eastAsia="Calibri"/>
        </w:rPr>
        <w:t xml:space="preserve">between </w:t>
      </w:r>
      <w:r w:rsidR="00194566" w:rsidRPr="008B0EF4">
        <w:rPr>
          <w:rFonts w:eastAsia="Calibri"/>
        </w:rPr>
        <w:t xml:space="preserve">70 </w:t>
      </w:r>
      <w:r w:rsidR="00F640F8">
        <w:rPr>
          <w:rFonts w:eastAsia="Calibri"/>
        </w:rPr>
        <w:t>and</w:t>
      </w:r>
      <w:r w:rsidR="00194566" w:rsidRPr="008B0EF4">
        <w:rPr>
          <w:rFonts w:eastAsia="Calibri"/>
        </w:rPr>
        <w:t xml:space="preserve"> 80 vehicles, and including up to 400 people, was travel</w:t>
      </w:r>
      <w:r w:rsidR="0054514C">
        <w:rPr>
          <w:rFonts w:eastAsia="Calibri"/>
        </w:rPr>
        <w:t>l</w:t>
      </w:r>
      <w:r w:rsidR="00194566" w:rsidRPr="008B0EF4">
        <w:rPr>
          <w:rFonts w:eastAsia="Calibri"/>
        </w:rPr>
        <w:t>ing from Tal</w:t>
      </w:r>
      <w:r w:rsidR="002268CE">
        <w:rPr>
          <w:rFonts w:eastAsia="Calibri"/>
        </w:rPr>
        <w:t>l</w:t>
      </w:r>
      <w:r w:rsidR="00194566" w:rsidRPr="008B0EF4">
        <w:rPr>
          <w:rFonts w:eastAsia="Calibri"/>
        </w:rPr>
        <w:t xml:space="preserve"> </w:t>
      </w:r>
      <w:proofErr w:type="spellStart"/>
      <w:r w:rsidR="00194566" w:rsidRPr="008B0EF4">
        <w:rPr>
          <w:rFonts w:eastAsia="Calibri"/>
        </w:rPr>
        <w:t>Tamr</w:t>
      </w:r>
      <w:proofErr w:type="spellEnd"/>
      <w:r w:rsidR="00194566" w:rsidRPr="008B0EF4">
        <w:rPr>
          <w:rFonts w:eastAsia="Calibri"/>
        </w:rPr>
        <w:t xml:space="preserve"> to Ra</w:t>
      </w:r>
      <w:r w:rsidR="00F640F8">
        <w:rPr>
          <w:rFonts w:eastAsia="Calibri"/>
        </w:rPr>
        <w:t>’</w:t>
      </w:r>
      <w:r w:rsidR="00194566" w:rsidRPr="008B0EF4">
        <w:rPr>
          <w:rFonts w:eastAsia="Calibri"/>
        </w:rPr>
        <w:t>s al-Ayn. The convoy consisted of private vehicles, mainly minivans and cars, and included journalists and families with children. Interviewees characterized the convoy as civilian in nature, with the purpose of demonstrating “against the Turkish aggression” and show</w:t>
      </w:r>
      <w:r w:rsidR="0030472C">
        <w:rPr>
          <w:rFonts w:eastAsia="Calibri"/>
        </w:rPr>
        <w:t>ing</w:t>
      </w:r>
      <w:r w:rsidR="00194566" w:rsidRPr="008B0EF4">
        <w:rPr>
          <w:rFonts w:eastAsia="Calibri"/>
        </w:rPr>
        <w:t xml:space="preserve"> solidarity. While about a dozen of the participants were carrying rifles, numerous interviewees confirmed that </w:t>
      </w:r>
      <w:proofErr w:type="gramStart"/>
      <w:r w:rsidR="00194566" w:rsidRPr="008B0EF4">
        <w:rPr>
          <w:rFonts w:eastAsia="Calibri"/>
        </w:rPr>
        <w:t>neither military vehicles,</w:t>
      </w:r>
      <w:proofErr w:type="gramEnd"/>
      <w:r w:rsidR="00194566" w:rsidRPr="008B0EF4">
        <w:rPr>
          <w:rFonts w:eastAsia="Calibri"/>
        </w:rPr>
        <w:t xml:space="preserve"> heavy weapons nor ammunition were transported by the convoy. At around 3.30 p.m.</w:t>
      </w:r>
      <w:r w:rsidR="000C7220">
        <w:rPr>
          <w:rFonts w:eastAsia="Calibri"/>
        </w:rPr>
        <w:t>,</w:t>
      </w:r>
      <w:r w:rsidR="00194566" w:rsidRPr="008B0EF4">
        <w:rPr>
          <w:rFonts w:eastAsia="Calibri"/>
        </w:rPr>
        <w:t xml:space="preserve"> the convoy </w:t>
      </w:r>
      <w:proofErr w:type="gramStart"/>
      <w:r w:rsidR="00194566" w:rsidRPr="008B0EF4">
        <w:rPr>
          <w:rFonts w:eastAsia="Calibri"/>
        </w:rPr>
        <w:t>was hit</w:t>
      </w:r>
      <w:proofErr w:type="gramEnd"/>
      <w:r w:rsidR="00194566" w:rsidRPr="008B0EF4">
        <w:rPr>
          <w:rFonts w:eastAsia="Calibri"/>
        </w:rPr>
        <w:t xml:space="preserve"> by an air</w:t>
      </w:r>
      <w:r w:rsidR="009443AF">
        <w:rPr>
          <w:rFonts w:eastAsia="Calibri"/>
        </w:rPr>
        <w:t xml:space="preserve"> </w:t>
      </w:r>
      <w:r w:rsidR="00194566" w:rsidRPr="008B0EF4">
        <w:rPr>
          <w:rFonts w:eastAsia="Calibri"/>
        </w:rPr>
        <w:t xml:space="preserve">strike, targeting the first vehicle, in the centre of </w:t>
      </w:r>
      <w:r w:rsidR="003864BE">
        <w:rPr>
          <w:rFonts w:eastAsia="Calibri"/>
        </w:rPr>
        <w:t>Ra’s al-Ayn</w:t>
      </w:r>
      <w:r w:rsidR="00194566" w:rsidRPr="008B0EF4">
        <w:rPr>
          <w:rFonts w:eastAsia="Calibri"/>
        </w:rPr>
        <w:t xml:space="preserve">, near the Great Mosque. As a result, 11 people </w:t>
      </w:r>
      <w:proofErr w:type="gramStart"/>
      <w:r w:rsidR="00194566" w:rsidRPr="008B0EF4">
        <w:rPr>
          <w:rFonts w:eastAsia="Calibri"/>
        </w:rPr>
        <w:t>were killed</w:t>
      </w:r>
      <w:proofErr w:type="gramEnd"/>
      <w:r w:rsidR="00194566" w:rsidRPr="008B0EF4">
        <w:rPr>
          <w:rFonts w:eastAsia="Calibri"/>
        </w:rPr>
        <w:t xml:space="preserve"> </w:t>
      </w:r>
      <w:r w:rsidR="00557BE5" w:rsidRPr="008B0EF4">
        <w:rPr>
          <w:rFonts w:eastAsia="Calibri"/>
        </w:rPr>
        <w:t xml:space="preserve">and </w:t>
      </w:r>
      <w:r w:rsidR="00194566" w:rsidRPr="008B0EF4">
        <w:rPr>
          <w:rFonts w:eastAsia="Calibri"/>
        </w:rPr>
        <w:t>74</w:t>
      </w:r>
      <w:r w:rsidR="00557BE5" w:rsidRPr="008B0EF4">
        <w:rPr>
          <w:rFonts w:eastAsia="Calibri"/>
        </w:rPr>
        <w:t xml:space="preserve"> injured</w:t>
      </w:r>
      <w:r w:rsidR="00EE7BC7" w:rsidRPr="008B0EF4">
        <w:rPr>
          <w:rFonts w:eastAsia="Calibri"/>
        </w:rPr>
        <w:t>, including 19 women</w:t>
      </w:r>
      <w:r w:rsidR="00194566" w:rsidRPr="008B0EF4">
        <w:rPr>
          <w:rFonts w:eastAsia="Calibri"/>
        </w:rPr>
        <w:t xml:space="preserve">. </w:t>
      </w:r>
    </w:p>
    <w:p w14:paraId="42717275" w14:textId="6DA50E8C" w:rsidR="00194566" w:rsidRPr="008B0EF4" w:rsidRDefault="001B3EED" w:rsidP="00194566">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53</w:t>
      </w:r>
      <w:r w:rsidR="006A33EC" w:rsidRPr="008B0EF4">
        <w:rPr>
          <w:rFonts w:eastAsia="Calibri"/>
        </w:rPr>
        <w:t>.</w:t>
      </w:r>
      <w:r w:rsidR="00194566" w:rsidRPr="008B0EF4">
        <w:rPr>
          <w:rFonts w:eastAsia="Calibri"/>
        </w:rPr>
        <w:tab/>
        <w:t xml:space="preserve">The Turkish authorities have either denied involvement in or indicated that they </w:t>
      </w:r>
      <w:r w:rsidR="00A8771E" w:rsidRPr="008B0EF4">
        <w:rPr>
          <w:rFonts w:eastAsia="Calibri"/>
        </w:rPr>
        <w:t>ha</w:t>
      </w:r>
      <w:r w:rsidR="00A8771E">
        <w:rPr>
          <w:rFonts w:eastAsia="Calibri"/>
        </w:rPr>
        <w:t>ve</w:t>
      </w:r>
      <w:r w:rsidR="00A8771E" w:rsidRPr="008B0EF4">
        <w:rPr>
          <w:rFonts w:eastAsia="Calibri"/>
        </w:rPr>
        <w:t xml:space="preserve"> </w:t>
      </w:r>
      <w:r w:rsidR="00194566" w:rsidRPr="008B0EF4">
        <w:rPr>
          <w:rFonts w:eastAsia="Calibri"/>
        </w:rPr>
        <w:t>no reco</w:t>
      </w:r>
      <w:r w:rsidR="00785875" w:rsidRPr="008B0EF4">
        <w:rPr>
          <w:rFonts w:eastAsia="Calibri"/>
        </w:rPr>
        <w:t>rd of these incidents (paras. 50</w:t>
      </w:r>
      <w:r w:rsidR="00E2479D">
        <w:rPr>
          <w:rFonts w:eastAsia="Calibri"/>
        </w:rPr>
        <w:t>–</w:t>
      </w:r>
      <w:r w:rsidR="00785875" w:rsidRPr="008B0EF4">
        <w:rPr>
          <w:rFonts w:eastAsia="Calibri"/>
        </w:rPr>
        <w:t>52</w:t>
      </w:r>
      <w:r w:rsidR="00194566" w:rsidRPr="008B0EF4">
        <w:rPr>
          <w:rFonts w:eastAsia="Calibri"/>
        </w:rPr>
        <w:t>). The Commission continues to investigate these incidents, and calls on the Turkish authorities to launch its own investigations and make the findings public.</w:t>
      </w:r>
    </w:p>
    <w:p w14:paraId="1540D3B0" w14:textId="04C6FD0D" w:rsidR="00194566" w:rsidRPr="008B0EF4" w:rsidRDefault="001B3EED" w:rsidP="00194566">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54</w:t>
      </w:r>
      <w:r w:rsidR="006A33EC" w:rsidRPr="008B0EF4">
        <w:rPr>
          <w:rFonts w:eastAsia="Calibri"/>
        </w:rPr>
        <w:t>.</w:t>
      </w:r>
      <w:r w:rsidR="00194566" w:rsidRPr="008B0EF4">
        <w:rPr>
          <w:rFonts w:eastAsia="Calibri"/>
        </w:rPr>
        <w:tab/>
        <w:t xml:space="preserve">Beyond active hostilities, civilians in and around </w:t>
      </w:r>
      <w:r w:rsidR="003864BE">
        <w:rPr>
          <w:rFonts w:eastAsia="Calibri"/>
        </w:rPr>
        <w:t>Ra’s al-Ayn</w:t>
      </w:r>
      <w:r w:rsidR="00194566" w:rsidRPr="008B0EF4">
        <w:rPr>
          <w:rFonts w:eastAsia="Calibri"/>
        </w:rPr>
        <w:t xml:space="preserve"> and Tal</w:t>
      </w:r>
      <w:r w:rsidR="00ED25AD">
        <w:rPr>
          <w:rFonts w:eastAsia="Calibri"/>
        </w:rPr>
        <w:t>l</w:t>
      </w:r>
      <w:r w:rsidR="00194566" w:rsidRPr="008B0EF4">
        <w:rPr>
          <w:rFonts w:eastAsia="Calibri"/>
        </w:rPr>
        <w:t xml:space="preserve"> </w:t>
      </w:r>
      <w:proofErr w:type="spellStart"/>
      <w:r w:rsidR="00194566" w:rsidRPr="008B0EF4">
        <w:rPr>
          <w:rFonts w:eastAsia="Calibri"/>
        </w:rPr>
        <w:t>Abyad</w:t>
      </w:r>
      <w:proofErr w:type="spellEnd"/>
      <w:r w:rsidR="00194566" w:rsidRPr="008B0EF4">
        <w:rPr>
          <w:rFonts w:eastAsia="Calibri"/>
        </w:rPr>
        <w:t xml:space="preserve"> were subjected to myriad violations </w:t>
      </w:r>
      <w:r w:rsidR="00834E0B">
        <w:rPr>
          <w:rFonts w:eastAsia="Calibri"/>
        </w:rPr>
        <w:t xml:space="preserve">of human rights and international humanitarian law </w:t>
      </w:r>
      <w:r w:rsidR="00194566" w:rsidRPr="008B0EF4">
        <w:rPr>
          <w:rFonts w:eastAsia="Calibri"/>
        </w:rPr>
        <w:t xml:space="preserve">by </w:t>
      </w:r>
      <w:r w:rsidR="000431E4">
        <w:rPr>
          <w:rFonts w:eastAsia="Calibri"/>
        </w:rPr>
        <w:t>Syrian National Army</w:t>
      </w:r>
      <w:r w:rsidR="00194566" w:rsidRPr="008B0EF4">
        <w:rPr>
          <w:rFonts w:eastAsia="Calibri"/>
        </w:rPr>
        <w:t xml:space="preserve"> fighters consistent with </w:t>
      </w:r>
      <w:r w:rsidR="00A8771E">
        <w:rPr>
          <w:rFonts w:eastAsia="Calibri"/>
        </w:rPr>
        <w:t>the</w:t>
      </w:r>
      <w:r w:rsidR="00194566" w:rsidRPr="008B0EF4">
        <w:rPr>
          <w:rFonts w:eastAsia="Calibri"/>
        </w:rPr>
        <w:t xml:space="preserve"> pattern documented in </w:t>
      </w:r>
      <w:r w:rsidR="00A8771E">
        <w:rPr>
          <w:rFonts w:eastAsia="Calibri"/>
        </w:rPr>
        <w:t xml:space="preserve">the </w:t>
      </w:r>
      <w:r w:rsidR="00194566" w:rsidRPr="008B0EF4">
        <w:rPr>
          <w:rFonts w:eastAsia="Calibri"/>
        </w:rPr>
        <w:t xml:space="preserve">Afrin </w:t>
      </w:r>
      <w:r w:rsidR="00A8771E">
        <w:rPr>
          <w:rFonts w:eastAsia="Calibri"/>
        </w:rPr>
        <w:t>District</w:t>
      </w:r>
      <w:r w:rsidR="00A8771E" w:rsidRPr="008B0EF4">
        <w:rPr>
          <w:rFonts w:eastAsia="Calibri"/>
        </w:rPr>
        <w:t xml:space="preserve"> </w:t>
      </w:r>
      <w:r w:rsidR="00194566" w:rsidRPr="008B0EF4">
        <w:rPr>
          <w:rFonts w:eastAsia="Calibri"/>
        </w:rPr>
        <w:t>(see para</w:t>
      </w:r>
      <w:r w:rsidR="00A8771E">
        <w:rPr>
          <w:rFonts w:eastAsia="Calibri"/>
        </w:rPr>
        <w:t>s</w:t>
      </w:r>
      <w:r w:rsidR="00194566" w:rsidRPr="008B0EF4">
        <w:rPr>
          <w:rFonts w:eastAsia="Calibri"/>
        </w:rPr>
        <w:t xml:space="preserve">. </w:t>
      </w:r>
      <w:r w:rsidR="00785875" w:rsidRPr="008B0EF4">
        <w:rPr>
          <w:rFonts w:eastAsia="Calibri"/>
        </w:rPr>
        <w:t>39-41</w:t>
      </w:r>
      <w:r w:rsidR="00194566" w:rsidRPr="008B0EF4">
        <w:rPr>
          <w:rFonts w:eastAsia="Calibri"/>
        </w:rPr>
        <w:t xml:space="preserve">). These violations instilled fear among Kurdish residents and caused further displacement. </w:t>
      </w:r>
      <w:r w:rsidR="003864BE">
        <w:rPr>
          <w:rFonts w:eastAsia="Calibri"/>
        </w:rPr>
        <w:t>Aware</w:t>
      </w:r>
      <w:r w:rsidR="003864BE" w:rsidRPr="008B0EF4">
        <w:rPr>
          <w:rFonts w:eastAsia="Calibri"/>
        </w:rPr>
        <w:t xml:space="preserve"> </w:t>
      </w:r>
      <w:r w:rsidR="00194566" w:rsidRPr="008B0EF4">
        <w:rPr>
          <w:rFonts w:eastAsia="Calibri"/>
        </w:rPr>
        <w:t xml:space="preserve">of the scale of violations in Afrin, many fled their homes. Anticipating attacks on their community, Yazidi women, men and children, </w:t>
      </w:r>
      <w:r w:rsidR="003864BE">
        <w:rPr>
          <w:rFonts w:eastAsia="Calibri"/>
        </w:rPr>
        <w:t>who</w:t>
      </w:r>
      <w:r w:rsidR="003864BE" w:rsidRPr="008B0EF4">
        <w:rPr>
          <w:rFonts w:eastAsia="Calibri"/>
        </w:rPr>
        <w:t xml:space="preserve"> </w:t>
      </w:r>
      <w:r w:rsidR="00194566" w:rsidRPr="008B0EF4">
        <w:rPr>
          <w:rFonts w:eastAsia="Calibri"/>
        </w:rPr>
        <w:t xml:space="preserve">populated some 13 villages across </w:t>
      </w:r>
      <w:r w:rsidR="003864BE">
        <w:rPr>
          <w:rFonts w:eastAsia="Calibri"/>
        </w:rPr>
        <w:t>Ra’s al-Ayn</w:t>
      </w:r>
      <w:r w:rsidR="00194566" w:rsidRPr="008B0EF4">
        <w:rPr>
          <w:rFonts w:eastAsia="Calibri"/>
        </w:rPr>
        <w:t xml:space="preserve"> </w:t>
      </w:r>
      <w:r w:rsidR="003864BE">
        <w:rPr>
          <w:rFonts w:eastAsia="Calibri"/>
        </w:rPr>
        <w:t>District,</w:t>
      </w:r>
      <w:r w:rsidR="00194566" w:rsidRPr="008B0EF4">
        <w:rPr>
          <w:rFonts w:eastAsia="Calibri"/>
        </w:rPr>
        <w:t xml:space="preserve"> also left. Videos published on the Internet</w:t>
      </w:r>
      <w:r w:rsidR="003864BE">
        <w:rPr>
          <w:rFonts w:eastAsia="Calibri"/>
        </w:rPr>
        <w:t>,</w:t>
      </w:r>
      <w:r w:rsidR="00194566" w:rsidRPr="008B0EF4">
        <w:rPr>
          <w:rFonts w:eastAsia="Calibri"/>
        </w:rPr>
        <w:t xml:space="preserve"> </w:t>
      </w:r>
      <w:r w:rsidR="00F013D9" w:rsidRPr="008B0EF4">
        <w:rPr>
          <w:rFonts w:eastAsia="Calibri"/>
        </w:rPr>
        <w:t xml:space="preserve">purportedly </w:t>
      </w:r>
      <w:r w:rsidR="00194566" w:rsidRPr="008B0EF4">
        <w:rPr>
          <w:rFonts w:eastAsia="Calibri"/>
        </w:rPr>
        <w:t xml:space="preserve">by </w:t>
      </w:r>
      <w:r w:rsidR="000431E4">
        <w:rPr>
          <w:rFonts w:eastAsia="Calibri"/>
        </w:rPr>
        <w:t>Syrian National Army</w:t>
      </w:r>
      <w:r w:rsidR="00194566" w:rsidRPr="008B0EF4">
        <w:rPr>
          <w:rFonts w:eastAsia="Calibri"/>
        </w:rPr>
        <w:t xml:space="preserve"> fighters</w:t>
      </w:r>
      <w:r w:rsidR="003864BE">
        <w:rPr>
          <w:rFonts w:eastAsia="Calibri"/>
        </w:rPr>
        <w:t>,</w:t>
      </w:r>
      <w:r w:rsidR="00194566" w:rsidRPr="008B0EF4">
        <w:rPr>
          <w:rFonts w:eastAsia="Calibri"/>
        </w:rPr>
        <w:t xml:space="preserve"> used language comparing their “enemies” to “infidels”</w:t>
      </w:r>
      <w:r w:rsidR="00137CD8">
        <w:rPr>
          <w:rFonts w:eastAsia="Calibri"/>
        </w:rPr>
        <w:t>,</w:t>
      </w:r>
      <w:r w:rsidR="00194566" w:rsidRPr="008B0EF4">
        <w:rPr>
          <w:rFonts w:eastAsia="Calibri"/>
        </w:rPr>
        <w:t xml:space="preserve"> “atheists” and “pigs” when referring to civilians, detainees and property, which further amplified fears and created a</w:t>
      </w:r>
      <w:r w:rsidR="00137CD8">
        <w:rPr>
          <w:rFonts w:eastAsia="Calibri"/>
        </w:rPr>
        <w:t>n</w:t>
      </w:r>
      <w:r w:rsidR="00194566" w:rsidRPr="008B0EF4">
        <w:rPr>
          <w:rFonts w:eastAsia="Calibri"/>
        </w:rPr>
        <w:t xml:space="preserve"> environment </w:t>
      </w:r>
      <w:r w:rsidR="00137CD8">
        <w:rPr>
          <w:rFonts w:eastAsia="Calibri"/>
        </w:rPr>
        <w:t>conducive to</w:t>
      </w:r>
      <w:r w:rsidR="00137CD8" w:rsidRPr="008B0EF4">
        <w:rPr>
          <w:rFonts w:eastAsia="Calibri"/>
        </w:rPr>
        <w:t xml:space="preserve"> </w:t>
      </w:r>
      <w:r w:rsidR="00194566" w:rsidRPr="008B0EF4">
        <w:rPr>
          <w:rFonts w:eastAsia="Calibri"/>
        </w:rPr>
        <w:t>abuse.</w:t>
      </w:r>
      <w:r w:rsidR="00DA601A" w:rsidRPr="008B0EF4">
        <w:rPr>
          <w:rStyle w:val="FootnoteReference"/>
          <w:rFonts w:eastAsia="Calibri"/>
        </w:rPr>
        <w:footnoteReference w:id="28"/>
      </w:r>
      <w:r w:rsidR="00194566" w:rsidRPr="008B0EF4">
        <w:rPr>
          <w:rFonts w:eastAsia="Calibri"/>
        </w:rPr>
        <w:t xml:space="preserve"> </w:t>
      </w:r>
    </w:p>
    <w:p w14:paraId="7305D0F7" w14:textId="0285E17A" w:rsidR="000D690F" w:rsidRPr="008B0EF4" w:rsidRDefault="001B3EED" w:rsidP="00194566">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55</w:t>
      </w:r>
      <w:r w:rsidR="006A33EC" w:rsidRPr="008B0EF4">
        <w:rPr>
          <w:rFonts w:eastAsia="Calibri"/>
        </w:rPr>
        <w:t>.</w:t>
      </w:r>
      <w:r w:rsidR="00194566" w:rsidRPr="008B0EF4">
        <w:rPr>
          <w:rFonts w:eastAsia="Calibri"/>
        </w:rPr>
        <w:tab/>
      </w:r>
      <w:r w:rsidR="000D690F" w:rsidRPr="008B0EF4">
        <w:rPr>
          <w:rFonts w:eastAsia="Calibri"/>
        </w:rPr>
        <w:t xml:space="preserve">During Operation Peace Spring, the Minister of Defence </w:t>
      </w:r>
      <w:r w:rsidR="00137CD8">
        <w:rPr>
          <w:rFonts w:eastAsia="Calibri"/>
        </w:rPr>
        <w:t xml:space="preserve">of </w:t>
      </w:r>
      <w:r w:rsidR="00137CD8" w:rsidRPr="008B0EF4">
        <w:rPr>
          <w:rFonts w:eastAsia="Calibri"/>
        </w:rPr>
        <w:t>Turk</w:t>
      </w:r>
      <w:r w:rsidR="00137CD8">
        <w:rPr>
          <w:rFonts w:eastAsia="Calibri"/>
        </w:rPr>
        <w:t>ey</w:t>
      </w:r>
      <w:r w:rsidR="00137CD8" w:rsidRPr="008B0EF4">
        <w:rPr>
          <w:rFonts w:eastAsia="Calibri"/>
        </w:rPr>
        <w:t xml:space="preserve"> </w:t>
      </w:r>
      <w:r w:rsidR="000D690F" w:rsidRPr="008B0EF4">
        <w:rPr>
          <w:rFonts w:eastAsia="Calibri"/>
        </w:rPr>
        <w:t xml:space="preserve">announced that 4,219 </w:t>
      </w:r>
      <w:r w:rsidR="00137CD8">
        <w:rPr>
          <w:rFonts w:eastAsia="Calibri"/>
        </w:rPr>
        <w:t>km</w:t>
      </w:r>
      <w:r w:rsidR="00137CD8" w:rsidRPr="00D6133C">
        <w:rPr>
          <w:rFonts w:eastAsia="Calibri"/>
          <w:vertAlign w:val="superscript"/>
        </w:rPr>
        <w:t>2</w:t>
      </w:r>
      <w:r w:rsidR="000D690F" w:rsidRPr="008B0EF4">
        <w:rPr>
          <w:rFonts w:eastAsia="Calibri"/>
        </w:rPr>
        <w:t xml:space="preserve"> and 600 settlements were taken under control and checkpoints established on the M4 motorway.</w:t>
      </w:r>
      <w:r w:rsidR="000D690F" w:rsidRPr="008B0EF4">
        <w:rPr>
          <w:rStyle w:val="FootnoteReference"/>
          <w:rFonts w:eastAsia="Calibri"/>
        </w:rPr>
        <w:footnoteReference w:id="29"/>
      </w:r>
      <w:r w:rsidR="000D690F" w:rsidRPr="008B0EF4">
        <w:rPr>
          <w:rFonts w:eastAsia="Calibri"/>
        </w:rPr>
        <w:t xml:space="preserve"> Interviewees reported that checkpoints within the “safe zone” </w:t>
      </w:r>
      <w:proofErr w:type="gramStart"/>
      <w:r w:rsidR="000D690F" w:rsidRPr="008B0EF4">
        <w:rPr>
          <w:rFonts w:eastAsia="Calibri"/>
        </w:rPr>
        <w:t xml:space="preserve">were controlled by Turkish officers and staffed with </w:t>
      </w:r>
      <w:r w:rsidR="000431E4">
        <w:rPr>
          <w:rFonts w:eastAsia="Calibri"/>
        </w:rPr>
        <w:t>Syrian National Army</w:t>
      </w:r>
      <w:r w:rsidR="000D690F" w:rsidRPr="008B0EF4">
        <w:rPr>
          <w:rFonts w:eastAsia="Calibri"/>
        </w:rPr>
        <w:t xml:space="preserve"> fighters</w:t>
      </w:r>
      <w:proofErr w:type="gramEnd"/>
      <w:r w:rsidR="000D690F" w:rsidRPr="008B0EF4">
        <w:rPr>
          <w:rFonts w:eastAsia="Calibri"/>
        </w:rPr>
        <w:t xml:space="preserve">. </w:t>
      </w:r>
    </w:p>
    <w:p w14:paraId="412E7F41" w14:textId="3E0371A4" w:rsidR="00194566" w:rsidRPr="0026121E" w:rsidRDefault="000D690F" w:rsidP="00194566">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56.</w:t>
      </w:r>
      <w:r w:rsidRPr="008B0EF4">
        <w:rPr>
          <w:rFonts w:eastAsia="Calibri"/>
        </w:rPr>
        <w:tab/>
      </w:r>
      <w:r w:rsidR="00194566" w:rsidRPr="008B0EF4">
        <w:rPr>
          <w:rFonts w:eastAsia="Calibri"/>
        </w:rPr>
        <w:t xml:space="preserve">Civilians in and around </w:t>
      </w:r>
      <w:r w:rsidR="003864BE">
        <w:rPr>
          <w:rFonts w:eastAsia="Calibri"/>
        </w:rPr>
        <w:t>Ra’s al-Ayn</w:t>
      </w:r>
      <w:r w:rsidR="00194566" w:rsidRPr="008B0EF4">
        <w:rPr>
          <w:rFonts w:eastAsia="Calibri"/>
        </w:rPr>
        <w:t xml:space="preserve"> and Tal</w:t>
      </w:r>
      <w:r w:rsidR="00ED25AD">
        <w:rPr>
          <w:rFonts w:eastAsia="Calibri"/>
        </w:rPr>
        <w:t>l</w:t>
      </w:r>
      <w:r w:rsidR="00194566" w:rsidRPr="008B0EF4">
        <w:rPr>
          <w:rFonts w:eastAsia="Calibri"/>
        </w:rPr>
        <w:t xml:space="preserve"> </w:t>
      </w:r>
      <w:proofErr w:type="spellStart"/>
      <w:r w:rsidR="00194566" w:rsidRPr="008B0EF4">
        <w:rPr>
          <w:rFonts w:eastAsia="Calibri"/>
        </w:rPr>
        <w:t>Abyad</w:t>
      </w:r>
      <w:proofErr w:type="spellEnd"/>
      <w:r w:rsidR="00194566" w:rsidRPr="008B0EF4">
        <w:rPr>
          <w:rFonts w:eastAsia="Calibri"/>
        </w:rPr>
        <w:t xml:space="preserve"> reported numerous cases of looting and property appropriation by members of the </w:t>
      </w:r>
      <w:r w:rsidR="000431E4">
        <w:rPr>
          <w:rFonts w:eastAsia="Calibri"/>
        </w:rPr>
        <w:t>Syrian National Army</w:t>
      </w:r>
      <w:r w:rsidR="00194566" w:rsidRPr="008B0EF4">
        <w:rPr>
          <w:rFonts w:eastAsia="Calibri"/>
        </w:rPr>
        <w:t>, primarily affecting Kurdish residents and, on occasions, Yazidi owners who had fled in October. Schools and businesses</w:t>
      </w:r>
      <w:r w:rsidR="00304059">
        <w:rPr>
          <w:rFonts w:eastAsia="Calibri"/>
        </w:rPr>
        <w:t>,</w:t>
      </w:r>
      <w:r w:rsidR="00194566" w:rsidRPr="008B0EF4">
        <w:rPr>
          <w:rFonts w:eastAsia="Calibri"/>
        </w:rPr>
        <w:t xml:space="preserve"> such as bakeries</w:t>
      </w:r>
      <w:r w:rsidR="00304059">
        <w:rPr>
          <w:rFonts w:eastAsia="Calibri"/>
        </w:rPr>
        <w:t>,</w:t>
      </w:r>
      <w:r w:rsidR="00194566" w:rsidRPr="008B0EF4">
        <w:rPr>
          <w:rFonts w:eastAsia="Calibri"/>
        </w:rPr>
        <w:t xml:space="preserve"> were also looted or expropriated, along with land </w:t>
      </w:r>
      <w:r w:rsidR="00194566" w:rsidRPr="0026121E">
        <w:rPr>
          <w:rFonts w:eastAsia="Calibri"/>
        </w:rPr>
        <w:t xml:space="preserve">for making olive oil, agricultural tools and vehicles. </w:t>
      </w:r>
    </w:p>
    <w:p w14:paraId="2FD4AD44" w14:textId="17054059" w:rsidR="00194566" w:rsidRPr="008B0EF4" w:rsidRDefault="000D690F" w:rsidP="00EE7BC7">
      <w:pPr>
        <w:suppressAutoHyphens/>
        <w:kinsoku w:val="0"/>
        <w:overflowPunct w:val="0"/>
        <w:autoSpaceDE w:val="0"/>
        <w:autoSpaceDN w:val="0"/>
        <w:adjustRightInd w:val="0"/>
        <w:snapToGrid w:val="0"/>
        <w:spacing w:after="120" w:line="240" w:lineRule="atLeast"/>
        <w:ind w:left="1134" w:right="1134"/>
        <w:jc w:val="both"/>
        <w:rPr>
          <w:rFonts w:eastAsia="Calibri"/>
        </w:rPr>
      </w:pPr>
      <w:r w:rsidRPr="0026121E">
        <w:rPr>
          <w:rFonts w:eastAsia="Calibri"/>
        </w:rPr>
        <w:t>57</w:t>
      </w:r>
      <w:r w:rsidR="006A33EC" w:rsidRPr="0026121E">
        <w:rPr>
          <w:rFonts w:eastAsia="Calibri"/>
        </w:rPr>
        <w:t>.</w:t>
      </w:r>
      <w:r w:rsidR="00194566" w:rsidRPr="0026121E">
        <w:rPr>
          <w:rFonts w:eastAsia="Calibri"/>
        </w:rPr>
        <w:tab/>
        <w:t xml:space="preserve">Male Kurdish residents from </w:t>
      </w:r>
      <w:r w:rsidR="003864BE" w:rsidRPr="0026121E">
        <w:rPr>
          <w:rFonts w:eastAsia="Calibri"/>
        </w:rPr>
        <w:t>Ra’s al-Ayn</w:t>
      </w:r>
      <w:r w:rsidR="00194566" w:rsidRPr="0026121E">
        <w:rPr>
          <w:rFonts w:eastAsia="Calibri"/>
        </w:rPr>
        <w:t xml:space="preserve"> and adjacent areas in particular feared</w:t>
      </w:r>
      <w:r w:rsidR="00194566" w:rsidRPr="008B0EF4">
        <w:rPr>
          <w:rFonts w:eastAsia="Calibri"/>
        </w:rPr>
        <w:t xml:space="preserve"> returning</w:t>
      </w:r>
      <w:r w:rsidR="00304059">
        <w:rPr>
          <w:rFonts w:eastAsia="Calibri"/>
        </w:rPr>
        <w:t>.</w:t>
      </w:r>
      <w:r w:rsidR="00194566" w:rsidRPr="008B0EF4">
        <w:rPr>
          <w:rFonts w:eastAsia="Calibri"/>
        </w:rPr>
        <w:t xml:space="preserve"> </w:t>
      </w:r>
      <w:r w:rsidR="00304059">
        <w:rPr>
          <w:rFonts w:eastAsia="Calibri"/>
        </w:rPr>
        <w:t>H</w:t>
      </w:r>
      <w:r w:rsidR="00194566" w:rsidRPr="008B0EF4">
        <w:rPr>
          <w:rFonts w:eastAsia="Calibri"/>
        </w:rPr>
        <w:t>owever</w:t>
      </w:r>
      <w:r w:rsidR="00304059">
        <w:rPr>
          <w:rFonts w:eastAsia="Calibri"/>
        </w:rPr>
        <w:t>,</w:t>
      </w:r>
      <w:r w:rsidR="00194566" w:rsidRPr="008B0EF4">
        <w:rPr>
          <w:rFonts w:eastAsia="Calibri"/>
        </w:rPr>
        <w:t xml:space="preserve"> some Kurdish women were able to access their propert</w:t>
      </w:r>
      <w:r w:rsidR="00557BE5" w:rsidRPr="008B0EF4">
        <w:rPr>
          <w:rFonts w:eastAsia="Calibri"/>
        </w:rPr>
        <w:t>ies</w:t>
      </w:r>
      <w:r w:rsidR="00194566" w:rsidRPr="008B0EF4">
        <w:rPr>
          <w:rFonts w:eastAsia="Calibri"/>
        </w:rPr>
        <w:t xml:space="preserve"> during day trips to gather </w:t>
      </w:r>
      <w:r w:rsidR="00304059">
        <w:rPr>
          <w:rFonts w:eastAsia="Calibri"/>
        </w:rPr>
        <w:t xml:space="preserve">their </w:t>
      </w:r>
      <w:r w:rsidR="00194566" w:rsidRPr="008B0EF4">
        <w:rPr>
          <w:rFonts w:eastAsia="Calibri"/>
        </w:rPr>
        <w:t xml:space="preserve">belongings. When attempting to return to their properties, individuals found that locks </w:t>
      </w:r>
      <w:proofErr w:type="gramStart"/>
      <w:r w:rsidR="00194566" w:rsidRPr="008B0EF4">
        <w:rPr>
          <w:rFonts w:eastAsia="Calibri"/>
        </w:rPr>
        <w:t>had been changed</w:t>
      </w:r>
      <w:proofErr w:type="gramEnd"/>
      <w:r w:rsidR="00194566" w:rsidRPr="008B0EF4">
        <w:rPr>
          <w:rFonts w:eastAsia="Calibri"/>
        </w:rPr>
        <w:t xml:space="preserve"> or </w:t>
      </w:r>
      <w:r w:rsidR="000431E4">
        <w:rPr>
          <w:rFonts w:eastAsia="Calibri"/>
        </w:rPr>
        <w:t>Syrian National Army</w:t>
      </w:r>
      <w:r w:rsidR="00194566" w:rsidRPr="008B0EF4">
        <w:rPr>
          <w:rFonts w:eastAsia="Calibri"/>
        </w:rPr>
        <w:t xml:space="preserve"> fighters </w:t>
      </w:r>
      <w:r w:rsidR="00304059">
        <w:rPr>
          <w:rFonts w:eastAsia="Calibri"/>
        </w:rPr>
        <w:t xml:space="preserve">had </w:t>
      </w:r>
      <w:r w:rsidR="00194566" w:rsidRPr="008B0EF4">
        <w:rPr>
          <w:rFonts w:eastAsia="Calibri"/>
        </w:rPr>
        <w:t xml:space="preserve">occupied </w:t>
      </w:r>
      <w:r w:rsidR="00304059">
        <w:rPr>
          <w:rFonts w:eastAsia="Calibri"/>
        </w:rPr>
        <w:t xml:space="preserve">their </w:t>
      </w:r>
      <w:r w:rsidR="00194566" w:rsidRPr="008B0EF4">
        <w:rPr>
          <w:rFonts w:eastAsia="Calibri"/>
        </w:rPr>
        <w:t xml:space="preserve">homes. This prevented potential returns and further facilitated the transfer of families and communities supported by </w:t>
      </w:r>
      <w:r w:rsidR="000431E4">
        <w:rPr>
          <w:rFonts w:eastAsia="Calibri"/>
        </w:rPr>
        <w:t>Syrian National Army</w:t>
      </w:r>
      <w:r w:rsidR="00194566" w:rsidRPr="008B0EF4">
        <w:rPr>
          <w:rFonts w:eastAsia="Calibri"/>
        </w:rPr>
        <w:t xml:space="preserve"> fighters to the private residences of displaced persons.   </w:t>
      </w:r>
    </w:p>
    <w:p w14:paraId="0D07DC94" w14:textId="71F98C67" w:rsidR="00194566" w:rsidRPr="008B0EF4" w:rsidRDefault="001B3EED" w:rsidP="00194566">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58</w:t>
      </w:r>
      <w:r w:rsidR="006A33EC" w:rsidRPr="008B0EF4">
        <w:rPr>
          <w:rFonts w:eastAsia="Calibri"/>
        </w:rPr>
        <w:t>.</w:t>
      </w:r>
      <w:r w:rsidR="00194566" w:rsidRPr="008B0EF4">
        <w:rPr>
          <w:rFonts w:eastAsia="Calibri"/>
        </w:rPr>
        <w:tab/>
      </w:r>
      <w:r w:rsidR="00194566" w:rsidRPr="00830E5C">
        <w:rPr>
          <w:rFonts w:eastAsia="Calibri"/>
        </w:rPr>
        <w:t xml:space="preserve">In the early hours of 12 October, </w:t>
      </w:r>
      <w:proofErr w:type="spellStart"/>
      <w:r w:rsidR="00194566" w:rsidRPr="00830E5C">
        <w:rPr>
          <w:rFonts w:eastAsia="Calibri"/>
        </w:rPr>
        <w:t>Hevrin</w:t>
      </w:r>
      <w:proofErr w:type="spellEnd"/>
      <w:r w:rsidR="00194566" w:rsidRPr="00830E5C">
        <w:rPr>
          <w:rFonts w:eastAsia="Calibri"/>
        </w:rPr>
        <w:t xml:space="preserve"> </w:t>
      </w:r>
      <w:proofErr w:type="spellStart"/>
      <w:r w:rsidR="00194566" w:rsidRPr="00830E5C">
        <w:rPr>
          <w:rFonts w:eastAsia="Calibri"/>
        </w:rPr>
        <w:t>Khalaf</w:t>
      </w:r>
      <w:proofErr w:type="spellEnd"/>
      <w:r w:rsidR="00194566" w:rsidRPr="00830E5C">
        <w:rPr>
          <w:rFonts w:eastAsia="Calibri"/>
        </w:rPr>
        <w:t>, Secretary-General of the Future Party of Syria,</w:t>
      </w:r>
      <w:r w:rsidR="00194566" w:rsidRPr="008B0EF4">
        <w:rPr>
          <w:rFonts w:eastAsia="Calibri"/>
        </w:rPr>
        <w:t xml:space="preserve"> was travelling </w:t>
      </w:r>
      <w:r w:rsidR="00194566" w:rsidRPr="00830E5C">
        <w:rPr>
          <w:rFonts w:eastAsia="Calibri"/>
        </w:rPr>
        <w:t xml:space="preserve">with her driver in a black vehicle from </w:t>
      </w:r>
      <w:proofErr w:type="spellStart"/>
      <w:r w:rsidR="00194566" w:rsidRPr="00830E5C">
        <w:rPr>
          <w:rFonts w:eastAsia="Calibri"/>
        </w:rPr>
        <w:t>Qamishli</w:t>
      </w:r>
      <w:proofErr w:type="spellEnd"/>
      <w:r w:rsidR="00194566" w:rsidRPr="00830E5C">
        <w:rPr>
          <w:rFonts w:eastAsia="Calibri"/>
        </w:rPr>
        <w:t xml:space="preserve"> on the M4 motorway. At around 7 a.m., between </w:t>
      </w:r>
      <w:proofErr w:type="spellStart"/>
      <w:r w:rsidR="00194566" w:rsidRPr="00830E5C">
        <w:rPr>
          <w:rFonts w:eastAsia="Calibri"/>
        </w:rPr>
        <w:t>Suluk</w:t>
      </w:r>
      <w:proofErr w:type="spellEnd"/>
      <w:r w:rsidR="00194566" w:rsidRPr="00830E5C">
        <w:rPr>
          <w:rFonts w:eastAsia="Calibri"/>
        </w:rPr>
        <w:t xml:space="preserve"> and Tal</w:t>
      </w:r>
      <w:r w:rsidR="002268CE" w:rsidRPr="00D6133C">
        <w:rPr>
          <w:rFonts w:eastAsia="Calibri"/>
        </w:rPr>
        <w:t>l</w:t>
      </w:r>
      <w:r w:rsidR="00194566" w:rsidRPr="00830E5C">
        <w:rPr>
          <w:rFonts w:eastAsia="Calibri"/>
        </w:rPr>
        <w:t xml:space="preserve"> </w:t>
      </w:r>
      <w:proofErr w:type="spellStart"/>
      <w:r w:rsidR="00194566" w:rsidRPr="00830E5C">
        <w:rPr>
          <w:rFonts w:eastAsia="Calibri"/>
        </w:rPr>
        <w:t>Tamr</w:t>
      </w:r>
      <w:proofErr w:type="spellEnd"/>
      <w:r w:rsidR="00194566" w:rsidRPr="00830E5C">
        <w:rPr>
          <w:rFonts w:eastAsia="Calibri"/>
        </w:rPr>
        <w:t>, members</w:t>
      </w:r>
      <w:r w:rsidR="00194566" w:rsidRPr="008B0EF4">
        <w:rPr>
          <w:rFonts w:eastAsia="Calibri"/>
        </w:rPr>
        <w:t xml:space="preserve"> </w:t>
      </w:r>
      <w:r w:rsidR="00194566" w:rsidRPr="00830E5C">
        <w:rPr>
          <w:rFonts w:eastAsia="Calibri"/>
        </w:rPr>
        <w:t xml:space="preserve">of </w:t>
      </w:r>
      <w:proofErr w:type="spellStart"/>
      <w:r w:rsidR="00194566" w:rsidRPr="00830E5C">
        <w:rPr>
          <w:rFonts w:eastAsia="Calibri"/>
        </w:rPr>
        <w:t>Ahrar</w:t>
      </w:r>
      <w:proofErr w:type="spellEnd"/>
      <w:r w:rsidR="00194566" w:rsidRPr="00830E5C">
        <w:rPr>
          <w:rFonts w:eastAsia="Calibri"/>
        </w:rPr>
        <w:t xml:space="preserve"> Al-</w:t>
      </w:r>
      <w:proofErr w:type="spellStart"/>
      <w:r w:rsidR="00194566" w:rsidRPr="00830E5C">
        <w:rPr>
          <w:rFonts w:eastAsia="Calibri"/>
        </w:rPr>
        <w:t>Sharqiyah</w:t>
      </w:r>
      <w:proofErr w:type="spellEnd"/>
      <w:r w:rsidR="00194566" w:rsidRPr="00830E5C" w:rsidDel="00E2319A">
        <w:rPr>
          <w:rFonts w:eastAsia="Calibri"/>
        </w:rPr>
        <w:t xml:space="preserve"> </w:t>
      </w:r>
      <w:r w:rsidR="00194566" w:rsidRPr="00830E5C">
        <w:rPr>
          <w:rFonts w:eastAsia="Calibri"/>
        </w:rPr>
        <w:t xml:space="preserve">(Brigade 123) of the </w:t>
      </w:r>
      <w:r w:rsidR="000431E4" w:rsidRPr="00830E5C">
        <w:rPr>
          <w:rFonts w:eastAsia="Calibri"/>
        </w:rPr>
        <w:t>Syrian National Army</w:t>
      </w:r>
      <w:r w:rsidR="00194566" w:rsidRPr="00830E5C">
        <w:rPr>
          <w:rFonts w:eastAsia="Calibri"/>
        </w:rPr>
        <w:t xml:space="preserve"> executed </w:t>
      </w:r>
      <w:proofErr w:type="spellStart"/>
      <w:r w:rsidR="00194566" w:rsidRPr="00830E5C">
        <w:rPr>
          <w:rFonts w:eastAsia="Calibri"/>
        </w:rPr>
        <w:t>Hevrin</w:t>
      </w:r>
      <w:proofErr w:type="spellEnd"/>
      <w:r w:rsidR="00194566" w:rsidRPr="00830E5C">
        <w:rPr>
          <w:rFonts w:eastAsia="Calibri"/>
        </w:rPr>
        <w:t xml:space="preserve"> </w:t>
      </w:r>
      <w:proofErr w:type="spellStart"/>
      <w:r w:rsidR="00194566" w:rsidRPr="00830E5C">
        <w:rPr>
          <w:rFonts w:eastAsia="Calibri"/>
        </w:rPr>
        <w:t>Khalaf</w:t>
      </w:r>
      <w:proofErr w:type="spellEnd"/>
      <w:r w:rsidR="00194566" w:rsidRPr="008B0EF4">
        <w:rPr>
          <w:rFonts w:eastAsia="Calibri"/>
        </w:rPr>
        <w:t xml:space="preserve"> together with her driver, after dragging her out by her hair and mutilating her body.</w:t>
      </w:r>
      <w:r w:rsidR="00DA601A" w:rsidRPr="008B0EF4">
        <w:rPr>
          <w:rStyle w:val="FootnoteReference"/>
          <w:rFonts w:eastAsia="Calibri"/>
        </w:rPr>
        <w:footnoteReference w:id="30"/>
      </w:r>
      <w:r w:rsidR="00194566" w:rsidRPr="008B0EF4">
        <w:rPr>
          <w:rFonts w:eastAsia="Calibri"/>
        </w:rPr>
        <w:t xml:space="preserve"> </w:t>
      </w:r>
    </w:p>
    <w:p w14:paraId="01A5C933" w14:textId="0D8C343F" w:rsidR="007300E3" w:rsidRPr="008B0EF4" w:rsidRDefault="001B3EED" w:rsidP="00194566">
      <w:pPr>
        <w:pStyle w:val="SingleTxtG"/>
        <w:rPr>
          <w:rFonts w:eastAsia="Calibri"/>
        </w:rPr>
      </w:pPr>
      <w:r w:rsidRPr="008B0EF4">
        <w:rPr>
          <w:rFonts w:eastAsia="Calibri"/>
        </w:rPr>
        <w:t>59</w:t>
      </w:r>
      <w:r w:rsidR="006A33EC" w:rsidRPr="008B0EF4">
        <w:rPr>
          <w:rFonts w:eastAsia="Calibri"/>
        </w:rPr>
        <w:t>.</w:t>
      </w:r>
      <w:r w:rsidR="00194566" w:rsidRPr="008B0EF4">
        <w:rPr>
          <w:rFonts w:eastAsia="Calibri"/>
        </w:rPr>
        <w:tab/>
        <w:t xml:space="preserve">In conducting the aforementioned acts, the Commission finds that there are reasonable grounds to believe that </w:t>
      </w:r>
      <w:r w:rsidR="000431E4">
        <w:rPr>
          <w:rFonts w:eastAsia="Calibri"/>
        </w:rPr>
        <w:t>Syrian National Army</w:t>
      </w:r>
      <w:r w:rsidR="00194566" w:rsidRPr="008B0EF4">
        <w:rPr>
          <w:rFonts w:eastAsia="Calibri"/>
        </w:rPr>
        <w:t xml:space="preserve"> fighters perpetrated the war crime of murder and repeatedly committed the war crime of pillaging, further seriously contravening the right to enjoyment of possessions and property. If any armed group members were shown to be acting under the effective command and control of Turkish forces, these violations may entail criminal responsibility for such commanders who knew or should have known about the crimes, or failed to take all necessary and reasonable measures to prevent or repress their commission</w:t>
      </w:r>
      <w:r w:rsidR="00DA601A" w:rsidRPr="008B0EF4">
        <w:rPr>
          <w:rFonts w:eastAsia="Calibri"/>
        </w:rPr>
        <w:t>.</w:t>
      </w:r>
      <w:r w:rsidR="00DA601A" w:rsidRPr="008B0EF4">
        <w:rPr>
          <w:rStyle w:val="FootnoteReference"/>
          <w:rFonts w:eastAsia="Calibri"/>
        </w:rPr>
        <w:footnoteReference w:id="31"/>
      </w:r>
    </w:p>
    <w:p w14:paraId="50245C2E" w14:textId="56BD0CDB" w:rsidR="00DA601A" w:rsidRPr="008B0EF4" w:rsidRDefault="00DA601A" w:rsidP="00DA601A">
      <w:pPr>
        <w:suppressAutoHyphens/>
        <w:kinsoku w:val="0"/>
        <w:overflowPunct w:val="0"/>
        <w:autoSpaceDE w:val="0"/>
        <w:autoSpaceDN w:val="0"/>
        <w:adjustRightInd w:val="0"/>
        <w:snapToGrid w:val="0"/>
        <w:spacing w:before="240" w:after="120" w:line="240" w:lineRule="atLeast"/>
        <w:ind w:left="1134" w:right="1134"/>
        <w:jc w:val="both"/>
        <w:rPr>
          <w:rFonts w:eastAsia="Calibri"/>
          <w:i/>
        </w:rPr>
      </w:pPr>
      <w:r w:rsidRPr="008B0EF4">
        <w:rPr>
          <w:rFonts w:eastAsia="Calibri"/>
          <w:i/>
        </w:rPr>
        <w:t xml:space="preserve">Areas under the control </w:t>
      </w:r>
      <w:r w:rsidR="000B3F09">
        <w:rPr>
          <w:rFonts w:eastAsia="Calibri"/>
          <w:i/>
        </w:rPr>
        <w:t xml:space="preserve">of </w:t>
      </w:r>
      <w:r w:rsidRPr="008B0EF4">
        <w:rPr>
          <w:rFonts w:eastAsia="Calibri"/>
          <w:i/>
        </w:rPr>
        <w:t>the Syrian Democratic Forces</w:t>
      </w:r>
    </w:p>
    <w:p w14:paraId="1DF12276" w14:textId="3CF0D995" w:rsidR="00DA601A" w:rsidRPr="008B0EF4" w:rsidRDefault="001B3EED" w:rsidP="00DA601A">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60</w:t>
      </w:r>
      <w:r w:rsidR="006A33EC" w:rsidRPr="008B0EF4">
        <w:rPr>
          <w:rFonts w:eastAsia="Calibri"/>
        </w:rPr>
        <w:t>.</w:t>
      </w:r>
      <w:r w:rsidR="00DA601A" w:rsidRPr="008B0EF4">
        <w:rPr>
          <w:rFonts w:eastAsia="Calibri"/>
        </w:rPr>
        <w:tab/>
        <w:t xml:space="preserve">Since the final battles over the last remaining ISIL areas south of </w:t>
      </w:r>
      <w:proofErr w:type="spellStart"/>
      <w:r w:rsidR="00DA601A" w:rsidRPr="008B0EF4">
        <w:rPr>
          <w:rFonts w:eastAsia="Calibri"/>
        </w:rPr>
        <w:t>Hajin</w:t>
      </w:r>
      <w:proofErr w:type="spellEnd"/>
      <w:r w:rsidR="00DA601A" w:rsidRPr="008B0EF4">
        <w:rPr>
          <w:rFonts w:eastAsia="Calibri"/>
        </w:rPr>
        <w:t xml:space="preserve">, individuals with perceived links to </w:t>
      </w:r>
      <w:r w:rsidR="000D690F" w:rsidRPr="008B0EF4">
        <w:rPr>
          <w:rFonts w:eastAsia="Calibri"/>
        </w:rPr>
        <w:t xml:space="preserve">the group </w:t>
      </w:r>
      <w:proofErr w:type="gramStart"/>
      <w:r w:rsidR="00DA601A" w:rsidRPr="008B0EF4">
        <w:rPr>
          <w:rFonts w:eastAsia="Calibri"/>
        </w:rPr>
        <w:t xml:space="preserve">have been either transported to displacement camps or transferred to detention facilities scattered in </w:t>
      </w:r>
      <w:r w:rsidR="00252D08" w:rsidRPr="008B0EF4">
        <w:rPr>
          <w:rFonts w:eastAsia="Calibri"/>
        </w:rPr>
        <w:t>areas</w:t>
      </w:r>
      <w:r w:rsidR="00252D08">
        <w:rPr>
          <w:rFonts w:eastAsia="Calibri"/>
        </w:rPr>
        <w:t xml:space="preserve"> </w:t>
      </w:r>
      <w:r w:rsidR="00DA601A" w:rsidRPr="008B0EF4">
        <w:rPr>
          <w:rFonts w:eastAsia="Calibri"/>
        </w:rPr>
        <w:t xml:space="preserve">controlled </w:t>
      </w:r>
      <w:r w:rsidR="00252D08">
        <w:rPr>
          <w:rFonts w:eastAsia="Calibri"/>
        </w:rPr>
        <w:t xml:space="preserve">by the </w:t>
      </w:r>
      <w:r w:rsidR="00252D08" w:rsidRPr="006E4468">
        <w:rPr>
          <w:lang w:eastAsia="en-US"/>
        </w:rPr>
        <w:t>Syrian Democratic Forces</w:t>
      </w:r>
      <w:proofErr w:type="gramEnd"/>
      <w:r w:rsidR="00DA601A" w:rsidRPr="008B0EF4">
        <w:rPr>
          <w:rFonts w:eastAsia="Calibri"/>
        </w:rPr>
        <w:t xml:space="preserve">. As many of their countries of origin initially refused to repatriate them, most families of foreign ISIL fighters, including children, </w:t>
      </w:r>
      <w:proofErr w:type="gramStart"/>
      <w:r w:rsidR="00DA601A" w:rsidRPr="008B0EF4">
        <w:rPr>
          <w:rFonts w:eastAsia="Calibri"/>
        </w:rPr>
        <w:t>are being held</w:t>
      </w:r>
      <w:proofErr w:type="gramEnd"/>
      <w:r w:rsidR="00DA601A" w:rsidRPr="008B0EF4">
        <w:rPr>
          <w:rFonts w:eastAsia="Calibri"/>
        </w:rPr>
        <w:t xml:space="preserve"> in a legal limbo, in squalid living conditions and with meagre prospect</w:t>
      </w:r>
      <w:r w:rsidR="00897D7A">
        <w:rPr>
          <w:rFonts w:eastAsia="Calibri"/>
        </w:rPr>
        <w:t>s</w:t>
      </w:r>
      <w:r w:rsidR="00DA601A" w:rsidRPr="008B0EF4">
        <w:rPr>
          <w:rFonts w:eastAsia="Calibri"/>
        </w:rPr>
        <w:t xml:space="preserve"> to return. </w:t>
      </w:r>
    </w:p>
    <w:p w14:paraId="46C3CE53" w14:textId="37A32E91" w:rsidR="00DA601A" w:rsidRPr="008B0EF4" w:rsidRDefault="001B3EED" w:rsidP="00DA601A">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61</w:t>
      </w:r>
      <w:r w:rsidR="006A33EC" w:rsidRPr="008B0EF4">
        <w:rPr>
          <w:rFonts w:eastAsia="Calibri"/>
        </w:rPr>
        <w:t>.</w:t>
      </w:r>
      <w:r w:rsidR="00DA601A" w:rsidRPr="008B0EF4">
        <w:rPr>
          <w:rFonts w:eastAsia="Calibri"/>
        </w:rPr>
        <w:tab/>
      </w:r>
      <w:r w:rsidR="00DA601A" w:rsidRPr="00897D7A">
        <w:rPr>
          <w:rFonts w:eastAsia="Calibri"/>
        </w:rPr>
        <w:t xml:space="preserve">In </w:t>
      </w:r>
      <w:proofErr w:type="spellStart"/>
      <w:r w:rsidR="00F76D6E">
        <w:rPr>
          <w:rFonts w:eastAsia="Calibri"/>
        </w:rPr>
        <w:t>Hawl</w:t>
      </w:r>
      <w:proofErr w:type="spellEnd"/>
      <w:r w:rsidR="00DA601A" w:rsidRPr="00897D7A">
        <w:rPr>
          <w:rFonts w:eastAsia="Calibri"/>
        </w:rPr>
        <w:t xml:space="preserve"> camp,</w:t>
      </w:r>
      <w:r w:rsidR="00DA601A" w:rsidRPr="008B0EF4">
        <w:rPr>
          <w:rFonts w:eastAsia="Calibri"/>
        </w:rPr>
        <w:t xml:space="preserve"> women and children with familial links to ISIL suffered discrimination </w:t>
      </w:r>
      <w:proofErr w:type="gramStart"/>
      <w:r w:rsidR="00DA601A" w:rsidRPr="008B0EF4">
        <w:rPr>
          <w:rFonts w:eastAsia="Calibri"/>
        </w:rPr>
        <w:t>on the basis of</w:t>
      </w:r>
      <w:proofErr w:type="gramEnd"/>
      <w:r w:rsidR="00DA601A" w:rsidRPr="008B0EF4">
        <w:rPr>
          <w:rFonts w:eastAsia="Calibri"/>
        </w:rPr>
        <w:t xml:space="preserve"> their perceived affiliation with the group, in violation of international humanitarian law.</w:t>
      </w:r>
      <w:r w:rsidR="00DA601A" w:rsidRPr="008B0EF4">
        <w:rPr>
          <w:rStyle w:val="FootnoteReference"/>
          <w:rFonts w:eastAsia="Calibri"/>
        </w:rPr>
        <w:footnoteReference w:id="32"/>
      </w:r>
      <w:r w:rsidR="00DA601A" w:rsidRPr="008B0EF4">
        <w:rPr>
          <w:rFonts w:eastAsia="Calibri"/>
        </w:rPr>
        <w:t xml:space="preserve"> As interned women and children </w:t>
      </w:r>
      <w:proofErr w:type="gramStart"/>
      <w:r w:rsidR="00DA601A" w:rsidRPr="008B0EF4">
        <w:rPr>
          <w:rFonts w:eastAsia="Calibri"/>
        </w:rPr>
        <w:t>are believed</w:t>
      </w:r>
      <w:proofErr w:type="gramEnd"/>
      <w:r w:rsidR="00DA601A" w:rsidRPr="008B0EF4">
        <w:rPr>
          <w:rFonts w:eastAsia="Calibri"/>
        </w:rPr>
        <w:t xml:space="preserve"> to pose a security threat,</w:t>
      </w:r>
      <w:r w:rsidR="00DA601A" w:rsidRPr="008B0EF4">
        <w:rPr>
          <w:rStyle w:val="FootnoteReference"/>
          <w:rFonts w:eastAsia="Calibri"/>
        </w:rPr>
        <w:footnoteReference w:id="33"/>
      </w:r>
      <w:r w:rsidR="00DA601A" w:rsidRPr="008B0EF4">
        <w:rPr>
          <w:rFonts w:eastAsia="Calibri"/>
        </w:rPr>
        <w:t xml:space="preserve"> they face </w:t>
      </w:r>
      <w:r w:rsidR="00897D7A" w:rsidRPr="008B0EF4">
        <w:rPr>
          <w:rFonts w:eastAsia="Calibri"/>
        </w:rPr>
        <w:t xml:space="preserve">restrictions </w:t>
      </w:r>
      <w:r w:rsidR="00897D7A">
        <w:rPr>
          <w:rFonts w:eastAsia="Calibri"/>
        </w:rPr>
        <w:t xml:space="preserve">on their </w:t>
      </w:r>
      <w:r w:rsidR="00DA601A" w:rsidRPr="008B0EF4">
        <w:rPr>
          <w:rFonts w:eastAsia="Calibri"/>
        </w:rPr>
        <w:t>movement</w:t>
      </w:r>
      <w:r w:rsidR="00897D7A">
        <w:rPr>
          <w:rFonts w:eastAsia="Calibri"/>
        </w:rPr>
        <w:t>s</w:t>
      </w:r>
      <w:r w:rsidR="00DA601A" w:rsidRPr="008B0EF4">
        <w:rPr>
          <w:rFonts w:eastAsia="Calibri"/>
        </w:rPr>
        <w:t xml:space="preserve"> and are reliant on </w:t>
      </w:r>
      <w:r w:rsidR="000B3F09">
        <w:rPr>
          <w:rFonts w:eastAsia="Calibri"/>
        </w:rPr>
        <w:t>the Syrian Democratic Forces</w:t>
      </w:r>
      <w:r w:rsidR="00DA601A" w:rsidRPr="008B0EF4">
        <w:rPr>
          <w:rFonts w:eastAsia="Calibri"/>
        </w:rPr>
        <w:t xml:space="preserve"> </w:t>
      </w:r>
      <w:r w:rsidR="00DA601A" w:rsidRPr="001F7F5C">
        <w:rPr>
          <w:rFonts w:eastAsia="Calibri"/>
        </w:rPr>
        <w:t xml:space="preserve">to facilitate their access to medical facilities. Interviewees described that, on occasion, access to medical care </w:t>
      </w:r>
      <w:proofErr w:type="gramStart"/>
      <w:r w:rsidR="00DA601A" w:rsidRPr="001F7F5C">
        <w:rPr>
          <w:rFonts w:eastAsia="Calibri"/>
        </w:rPr>
        <w:t>was denied</w:t>
      </w:r>
      <w:proofErr w:type="gramEnd"/>
      <w:r w:rsidR="00DA601A" w:rsidRPr="001F7F5C">
        <w:rPr>
          <w:rFonts w:eastAsia="Calibri"/>
        </w:rPr>
        <w:t xml:space="preserve"> by guards, or they were not allowed to accompany children to hospitals in </w:t>
      </w:r>
      <w:proofErr w:type="spellStart"/>
      <w:r w:rsidR="00DA601A" w:rsidRPr="001F7F5C">
        <w:rPr>
          <w:rFonts w:eastAsia="Calibri"/>
        </w:rPr>
        <w:t>Hasakah</w:t>
      </w:r>
      <w:proofErr w:type="spellEnd"/>
      <w:r w:rsidR="00DA601A" w:rsidRPr="001F7F5C">
        <w:rPr>
          <w:rFonts w:eastAsia="Calibri"/>
        </w:rPr>
        <w:t xml:space="preserve"> or </w:t>
      </w:r>
      <w:proofErr w:type="spellStart"/>
      <w:r w:rsidR="00DA601A" w:rsidRPr="001F7F5C">
        <w:rPr>
          <w:rFonts w:eastAsia="Calibri"/>
        </w:rPr>
        <w:t>Qamishli</w:t>
      </w:r>
      <w:proofErr w:type="spellEnd"/>
      <w:r w:rsidR="00DA601A" w:rsidRPr="001F7F5C">
        <w:rPr>
          <w:rFonts w:eastAsia="Calibri"/>
        </w:rPr>
        <w:t>. Instances of</w:t>
      </w:r>
      <w:r w:rsidR="00DA601A" w:rsidRPr="008B0EF4">
        <w:rPr>
          <w:rFonts w:eastAsia="Calibri"/>
        </w:rPr>
        <w:t xml:space="preserve"> harassment, verbal abuse </w:t>
      </w:r>
      <w:r w:rsidR="00897D7A">
        <w:rPr>
          <w:rFonts w:eastAsia="Calibri"/>
        </w:rPr>
        <w:t>and</w:t>
      </w:r>
      <w:r w:rsidR="00DA601A" w:rsidRPr="008B0EF4">
        <w:rPr>
          <w:rFonts w:eastAsia="Calibri"/>
        </w:rPr>
        <w:t xml:space="preserve"> looting</w:t>
      </w:r>
      <w:r w:rsidR="00DA601A" w:rsidRPr="008B0EF4">
        <w:rPr>
          <w:rStyle w:val="FootnoteReference"/>
          <w:rFonts w:eastAsia="Calibri"/>
        </w:rPr>
        <w:footnoteReference w:id="34"/>
      </w:r>
      <w:r w:rsidR="00DA601A" w:rsidRPr="008B0EF4">
        <w:rPr>
          <w:rFonts w:eastAsia="Calibri"/>
        </w:rPr>
        <w:t xml:space="preserve"> of the tents of family members of ISIL fighters by camp guards </w:t>
      </w:r>
      <w:proofErr w:type="gramStart"/>
      <w:r w:rsidR="00DA601A" w:rsidRPr="008B0EF4">
        <w:rPr>
          <w:rFonts w:eastAsia="Calibri"/>
        </w:rPr>
        <w:t>have also been documented</w:t>
      </w:r>
      <w:proofErr w:type="gramEnd"/>
      <w:r w:rsidR="00DA601A" w:rsidRPr="008B0EF4">
        <w:rPr>
          <w:rFonts w:eastAsia="Calibri"/>
        </w:rPr>
        <w:t xml:space="preserve">. </w:t>
      </w:r>
    </w:p>
    <w:p w14:paraId="60CF2E9A" w14:textId="0EA16AF6" w:rsidR="00DA601A" w:rsidRPr="008B0EF4" w:rsidRDefault="001B3EED" w:rsidP="00DA601A">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62</w:t>
      </w:r>
      <w:r w:rsidR="006A33EC" w:rsidRPr="008B0EF4">
        <w:rPr>
          <w:rFonts w:eastAsia="Calibri"/>
        </w:rPr>
        <w:t>.</w:t>
      </w:r>
      <w:r w:rsidR="00DA601A" w:rsidRPr="008B0EF4">
        <w:rPr>
          <w:rFonts w:eastAsia="Calibri"/>
        </w:rPr>
        <w:tab/>
        <w:t xml:space="preserve">Compounding the dire living conditions, prevailing insecurity and violence increased, </w:t>
      </w:r>
      <w:proofErr w:type="gramStart"/>
      <w:r w:rsidR="00DA601A" w:rsidRPr="008B0EF4">
        <w:rPr>
          <w:rFonts w:eastAsia="Calibri"/>
        </w:rPr>
        <w:t>further</w:t>
      </w:r>
      <w:proofErr w:type="gramEnd"/>
      <w:r w:rsidR="00DA601A" w:rsidRPr="008B0EF4">
        <w:rPr>
          <w:rFonts w:eastAsia="Calibri"/>
        </w:rPr>
        <w:t xml:space="preserve"> weakening the most vulnerable segments of the encamped population. Inside the annexed section of </w:t>
      </w:r>
      <w:proofErr w:type="spellStart"/>
      <w:r w:rsidR="00F76D6E">
        <w:rPr>
          <w:rFonts w:eastAsia="Calibri"/>
        </w:rPr>
        <w:t>Hawl</w:t>
      </w:r>
      <w:proofErr w:type="spellEnd"/>
      <w:r w:rsidR="00072706">
        <w:rPr>
          <w:rFonts w:eastAsia="Calibri"/>
        </w:rPr>
        <w:t xml:space="preserve"> camp</w:t>
      </w:r>
      <w:r w:rsidR="00DA601A" w:rsidRPr="008B0EF4">
        <w:rPr>
          <w:rFonts w:eastAsia="Calibri"/>
        </w:rPr>
        <w:t xml:space="preserve">, ISIL sympathizers have established a female morality police to monitor adherence to dress codes and enforce punishments on women perceived to be “infidels”. In September, at least two women </w:t>
      </w:r>
      <w:proofErr w:type="gramStart"/>
      <w:r w:rsidR="00DA601A" w:rsidRPr="008B0EF4">
        <w:rPr>
          <w:rFonts w:eastAsia="Calibri"/>
        </w:rPr>
        <w:t>were stabbed</w:t>
      </w:r>
      <w:proofErr w:type="gramEnd"/>
      <w:r w:rsidR="00DA601A" w:rsidRPr="008B0EF4">
        <w:rPr>
          <w:rFonts w:eastAsia="Calibri"/>
        </w:rPr>
        <w:t xml:space="preserve"> to death following </w:t>
      </w:r>
      <w:r w:rsidR="00FE5758">
        <w:rPr>
          <w:rFonts w:eastAsia="Calibri"/>
        </w:rPr>
        <w:t xml:space="preserve">a </w:t>
      </w:r>
      <w:r w:rsidR="00DA601A" w:rsidRPr="008B0EF4">
        <w:rPr>
          <w:rFonts w:eastAsia="Calibri"/>
        </w:rPr>
        <w:t xml:space="preserve">decision by a makeshift “sharia court” set up by militant women. At least one </w:t>
      </w:r>
      <w:r w:rsidR="000B3F09">
        <w:rPr>
          <w:rFonts w:eastAsia="Calibri"/>
        </w:rPr>
        <w:t>Syrian Democratic Forces</w:t>
      </w:r>
      <w:r w:rsidR="00DA601A" w:rsidRPr="008B0EF4">
        <w:rPr>
          <w:rFonts w:eastAsia="Calibri"/>
        </w:rPr>
        <w:t xml:space="preserve"> guard </w:t>
      </w:r>
      <w:proofErr w:type="gramStart"/>
      <w:r w:rsidR="00DA601A" w:rsidRPr="008B0EF4">
        <w:rPr>
          <w:rFonts w:eastAsia="Calibri"/>
        </w:rPr>
        <w:t>was stabbed</w:t>
      </w:r>
      <w:proofErr w:type="gramEnd"/>
      <w:r w:rsidR="00DA601A" w:rsidRPr="008B0EF4">
        <w:rPr>
          <w:rFonts w:eastAsia="Calibri"/>
        </w:rPr>
        <w:t xml:space="preserve"> inside the annexed section.   </w:t>
      </w:r>
    </w:p>
    <w:p w14:paraId="073BABBB" w14:textId="3FE4C6AD" w:rsidR="00DA601A" w:rsidRPr="008B0EF4" w:rsidRDefault="001B3EED" w:rsidP="00DA601A">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63</w:t>
      </w:r>
      <w:r w:rsidR="006A33EC" w:rsidRPr="008B0EF4">
        <w:rPr>
          <w:rFonts w:eastAsia="Calibri"/>
        </w:rPr>
        <w:t>.</w:t>
      </w:r>
      <w:r w:rsidR="00DA601A" w:rsidRPr="008B0EF4">
        <w:rPr>
          <w:rFonts w:eastAsia="Calibri"/>
        </w:rPr>
        <w:tab/>
        <w:t>As Operation Peace Spring prog</w:t>
      </w:r>
      <w:r w:rsidR="00754BD3" w:rsidRPr="008B0EF4">
        <w:rPr>
          <w:rFonts w:eastAsia="Calibri"/>
        </w:rPr>
        <w:t xml:space="preserve">ressed in </w:t>
      </w:r>
      <w:r w:rsidR="00754BD3" w:rsidRPr="005108B5">
        <w:rPr>
          <w:rFonts w:eastAsia="Calibri"/>
        </w:rPr>
        <w:t>October (see paras. 45</w:t>
      </w:r>
      <w:r w:rsidR="00FE5758" w:rsidRPr="005108B5">
        <w:rPr>
          <w:rFonts w:eastAsia="Calibri"/>
        </w:rPr>
        <w:t>–</w:t>
      </w:r>
      <w:r w:rsidR="00754BD3" w:rsidRPr="005108B5">
        <w:rPr>
          <w:rFonts w:eastAsia="Calibri"/>
        </w:rPr>
        <w:t>52</w:t>
      </w:r>
      <w:r w:rsidR="00DA601A" w:rsidRPr="005108B5">
        <w:rPr>
          <w:rFonts w:eastAsia="Calibri"/>
        </w:rPr>
        <w:t>), fear</w:t>
      </w:r>
      <w:r w:rsidR="00DA601A" w:rsidRPr="008B0EF4">
        <w:rPr>
          <w:rFonts w:eastAsia="Calibri"/>
        </w:rPr>
        <w:t xml:space="preserve"> spread among the population in </w:t>
      </w:r>
      <w:proofErr w:type="spellStart"/>
      <w:r w:rsidR="00F76D6E">
        <w:rPr>
          <w:rFonts w:eastAsia="Calibri"/>
        </w:rPr>
        <w:t>Hawl</w:t>
      </w:r>
      <w:proofErr w:type="spellEnd"/>
      <w:r w:rsidR="00DA601A" w:rsidRPr="001F7F5C">
        <w:rPr>
          <w:rFonts w:eastAsia="Calibri"/>
        </w:rPr>
        <w:t xml:space="preserve"> and Ayn</w:t>
      </w:r>
      <w:r w:rsidR="001F7F5C" w:rsidRPr="00D6133C">
        <w:rPr>
          <w:rFonts w:eastAsia="Calibri"/>
        </w:rPr>
        <w:t xml:space="preserve"> </w:t>
      </w:r>
      <w:r w:rsidR="00DA601A" w:rsidRPr="001F7F5C">
        <w:rPr>
          <w:rFonts w:eastAsia="Calibri"/>
        </w:rPr>
        <w:t xml:space="preserve">Isa camps. Interviewees recalled that the number of guards at </w:t>
      </w:r>
      <w:proofErr w:type="spellStart"/>
      <w:r w:rsidR="00F76D6E">
        <w:rPr>
          <w:rFonts w:eastAsia="Calibri"/>
        </w:rPr>
        <w:t>Hawl</w:t>
      </w:r>
      <w:proofErr w:type="spellEnd"/>
      <w:r w:rsidR="00DA601A" w:rsidRPr="001F7F5C">
        <w:rPr>
          <w:rFonts w:eastAsia="Calibri"/>
        </w:rPr>
        <w:t xml:space="preserve"> camp </w:t>
      </w:r>
      <w:r w:rsidR="00FE5758" w:rsidRPr="001F7F5C">
        <w:rPr>
          <w:rFonts w:eastAsia="Calibri"/>
        </w:rPr>
        <w:t xml:space="preserve">had been </w:t>
      </w:r>
      <w:r w:rsidR="00DA601A" w:rsidRPr="001F7F5C">
        <w:rPr>
          <w:rFonts w:eastAsia="Calibri"/>
        </w:rPr>
        <w:t xml:space="preserve">reduced significantly, resulting in sporadic outbreaks of violence affecting the annexed section in particular. As instability increased, the only medical clinic servicing the annexed section </w:t>
      </w:r>
      <w:proofErr w:type="gramStart"/>
      <w:r w:rsidR="00DA601A" w:rsidRPr="001F7F5C">
        <w:rPr>
          <w:rFonts w:eastAsia="Calibri"/>
        </w:rPr>
        <w:t>was closed</w:t>
      </w:r>
      <w:proofErr w:type="gramEnd"/>
      <w:r w:rsidR="00DA601A" w:rsidRPr="001F7F5C">
        <w:rPr>
          <w:rFonts w:eastAsia="Calibri"/>
        </w:rPr>
        <w:t>, depriving thousands of women and children of medical care. Hostilities further affected Ayn</w:t>
      </w:r>
      <w:r w:rsidR="001F7F5C" w:rsidRPr="00D6133C">
        <w:rPr>
          <w:rFonts w:eastAsia="Calibri"/>
        </w:rPr>
        <w:t xml:space="preserve"> </w:t>
      </w:r>
      <w:r w:rsidR="00DA601A" w:rsidRPr="001F7F5C">
        <w:rPr>
          <w:rFonts w:eastAsia="Calibri"/>
        </w:rPr>
        <w:t>Isa camp,</w:t>
      </w:r>
      <w:r w:rsidR="00DA601A" w:rsidRPr="008B0EF4">
        <w:rPr>
          <w:rFonts w:eastAsia="Calibri"/>
        </w:rPr>
        <w:t xml:space="preserve"> where 249 women and 700 children with </w:t>
      </w:r>
      <w:r w:rsidR="00DA601A" w:rsidRPr="005108B5">
        <w:rPr>
          <w:rFonts w:eastAsia="Calibri"/>
        </w:rPr>
        <w:t xml:space="preserve">family links to ISIL </w:t>
      </w:r>
      <w:proofErr w:type="gramStart"/>
      <w:r w:rsidR="00DA601A" w:rsidRPr="005108B5">
        <w:rPr>
          <w:rFonts w:eastAsia="Calibri"/>
        </w:rPr>
        <w:t>were held</w:t>
      </w:r>
      <w:proofErr w:type="gramEnd"/>
      <w:r w:rsidR="00DA601A" w:rsidRPr="005108B5">
        <w:rPr>
          <w:rFonts w:eastAsia="Calibri"/>
        </w:rPr>
        <w:t xml:space="preserve">. While some of the encamped residents escaped and others </w:t>
      </w:r>
      <w:proofErr w:type="gramStart"/>
      <w:r w:rsidR="00DA601A" w:rsidRPr="005108B5">
        <w:rPr>
          <w:rFonts w:eastAsia="Calibri"/>
        </w:rPr>
        <w:t>were transferred</w:t>
      </w:r>
      <w:proofErr w:type="gramEnd"/>
      <w:r w:rsidR="00DA601A" w:rsidRPr="005108B5">
        <w:rPr>
          <w:rFonts w:eastAsia="Calibri"/>
        </w:rPr>
        <w:t xml:space="preserve"> to </w:t>
      </w:r>
      <w:proofErr w:type="spellStart"/>
      <w:r w:rsidR="00DA601A" w:rsidRPr="005108B5">
        <w:rPr>
          <w:rFonts w:eastAsia="Calibri"/>
        </w:rPr>
        <w:t>Mahmudi</w:t>
      </w:r>
      <w:proofErr w:type="spellEnd"/>
      <w:r w:rsidR="00DA601A" w:rsidRPr="005108B5">
        <w:rPr>
          <w:rFonts w:eastAsia="Calibri"/>
        </w:rPr>
        <w:t xml:space="preserve"> camp in </w:t>
      </w:r>
      <w:proofErr w:type="spellStart"/>
      <w:r w:rsidR="00DA601A" w:rsidRPr="005108B5">
        <w:rPr>
          <w:rFonts w:eastAsia="Calibri"/>
        </w:rPr>
        <w:t>Raqqah</w:t>
      </w:r>
      <w:proofErr w:type="spellEnd"/>
      <w:r w:rsidR="00DA601A" w:rsidRPr="005108B5">
        <w:rPr>
          <w:rFonts w:eastAsia="Calibri"/>
        </w:rPr>
        <w:t xml:space="preserve"> Governorate, some</w:t>
      </w:r>
      <w:r w:rsidR="00DA601A" w:rsidRPr="008B0EF4">
        <w:rPr>
          <w:rFonts w:eastAsia="Calibri"/>
        </w:rPr>
        <w:t xml:space="preserve"> of the women appear to have been apprehended by armed groups.</w:t>
      </w:r>
    </w:p>
    <w:p w14:paraId="1737D9FC" w14:textId="54DFF9F4" w:rsidR="00DA601A" w:rsidRPr="008B0EF4" w:rsidRDefault="001B3EED" w:rsidP="00DA601A">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64</w:t>
      </w:r>
      <w:r w:rsidR="006A33EC" w:rsidRPr="008B0EF4">
        <w:rPr>
          <w:rFonts w:eastAsia="Calibri"/>
        </w:rPr>
        <w:t>.</w:t>
      </w:r>
      <w:r w:rsidR="00DA601A" w:rsidRPr="008B0EF4">
        <w:rPr>
          <w:rFonts w:eastAsia="Calibri"/>
        </w:rPr>
        <w:tab/>
        <w:t>Approximately 11,000 male individuals, including 1,000 foreigners from 50 different countries, remain detained in detention sites</w:t>
      </w:r>
      <w:r w:rsidR="000B3F09">
        <w:rPr>
          <w:rFonts w:eastAsia="Calibri"/>
        </w:rPr>
        <w:t xml:space="preserve"> </w:t>
      </w:r>
      <w:r w:rsidR="000B3F09" w:rsidRPr="008B0EF4">
        <w:rPr>
          <w:rFonts w:eastAsia="Calibri"/>
        </w:rPr>
        <w:t xml:space="preserve">run </w:t>
      </w:r>
      <w:r w:rsidR="000B3F09">
        <w:rPr>
          <w:rFonts w:eastAsia="Calibri"/>
        </w:rPr>
        <w:t xml:space="preserve">by the </w:t>
      </w:r>
      <w:r w:rsidR="000B3F09" w:rsidRPr="006E4468">
        <w:rPr>
          <w:lang w:eastAsia="en-US"/>
        </w:rPr>
        <w:t>Syrian Democratic Forces</w:t>
      </w:r>
      <w:r w:rsidR="00DA601A" w:rsidRPr="008B0EF4">
        <w:rPr>
          <w:rFonts w:eastAsia="Calibri"/>
        </w:rPr>
        <w:t xml:space="preserve">. Men and boys as young as 9 years of age </w:t>
      </w:r>
      <w:proofErr w:type="gramStart"/>
      <w:r w:rsidR="00DA601A" w:rsidRPr="008B0EF4">
        <w:rPr>
          <w:rFonts w:eastAsia="Calibri"/>
        </w:rPr>
        <w:t xml:space="preserve">were </w:t>
      </w:r>
      <w:r w:rsidR="00A576D3">
        <w:rPr>
          <w:rFonts w:eastAsia="Calibri"/>
        </w:rPr>
        <w:t xml:space="preserve">being </w:t>
      </w:r>
      <w:r w:rsidR="00DA601A" w:rsidRPr="008B0EF4">
        <w:rPr>
          <w:rFonts w:eastAsia="Calibri"/>
        </w:rPr>
        <w:t>held</w:t>
      </w:r>
      <w:proofErr w:type="gramEnd"/>
      <w:r w:rsidR="00DA601A" w:rsidRPr="008B0EF4">
        <w:rPr>
          <w:rFonts w:eastAsia="Calibri"/>
        </w:rPr>
        <w:t xml:space="preserve"> in squalid conditions</w:t>
      </w:r>
      <w:r w:rsidR="00DA601A" w:rsidRPr="008B0EF4">
        <w:rPr>
          <w:rFonts w:eastAsia="Calibri"/>
          <w:vertAlign w:val="superscript"/>
        </w:rPr>
        <w:t xml:space="preserve"> </w:t>
      </w:r>
      <w:r w:rsidR="00DA601A" w:rsidRPr="008B0EF4">
        <w:rPr>
          <w:rFonts w:eastAsia="Calibri"/>
        </w:rPr>
        <w:t>without adequate access to food or water</w:t>
      </w:r>
      <w:r w:rsidR="00A576D3">
        <w:rPr>
          <w:rFonts w:eastAsia="Calibri"/>
        </w:rPr>
        <w:t>; they were</w:t>
      </w:r>
      <w:r w:rsidR="00DA601A" w:rsidRPr="008B0EF4">
        <w:rPr>
          <w:rFonts w:eastAsia="Calibri"/>
        </w:rPr>
        <w:t xml:space="preserve"> visibly ill and </w:t>
      </w:r>
      <w:r w:rsidR="00A576D3">
        <w:rPr>
          <w:rFonts w:eastAsia="Calibri"/>
        </w:rPr>
        <w:t>had</w:t>
      </w:r>
      <w:r w:rsidR="00A576D3" w:rsidRPr="008B0EF4">
        <w:rPr>
          <w:rFonts w:eastAsia="Calibri"/>
        </w:rPr>
        <w:t xml:space="preserve"> </w:t>
      </w:r>
      <w:r w:rsidR="00DA601A" w:rsidRPr="008B0EF4">
        <w:rPr>
          <w:rFonts w:eastAsia="Calibri"/>
        </w:rPr>
        <w:t xml:space="preserve">untreated conflict-related injuries. Detainees have limited access to the outside world, with many still unaware of the whereabouts of their family members following the battles </w:t>
      </w:r>
      <w:r w:rsidR="00A576D3">
        <w:rPr>
          <w:rFonts w:eastAsia="Calibri"/>
        </w:rPr>
        <w:t xml:space="preserve">for </w:t>
      </w:r>
      <w:r w:rsidR="00A576D3" w:rsidRPr="005108B5">
        <w:rPr>
          <w:rFonts w:eastAsia="Calibri"/>
        </w:rPr>
        <w:t xml:space="preserve">control of </w:t>
      </w:r>
      <w:proofErr w:type="spellStart"/>
      <w:r w:rsidR="00DA601A" w:rsidRPr="005108B5">
        <w:rPr>
          <w:rFonts w:eastAsia="Calibri"/>
        </w:rPr>
        <w:t>Baghuz</w:t>
      </w:r>
      <w:proofErr w:type="spellEnd"/>
      <w:r w:rsidR="00DA601A" w:rsidRPr="005108B5">
        <w:rPr>
          <w:rFonts w:eastAsia="Calibri"/>
        </w:rPr>
        <w:t>.</w:t>
      </w:r>
    </w:p>
    <w:p w14:paraId="54B26319" w14:textId="27ADF2A5" w:rsidR="00DA601A" w:rsidRPr="008B0EF4" w:rsidRDefault="001B3EED" w:rsidP="00DA601A">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65</w:t>
      </w:r>
      <w:r w:rsidR="006A33EC" w:rsidRPr="008B0EF4">
        <w:rPr>
          <w:rFonts w:eastAsia="Calibri"/>
        </w:rPr>
        <w:t>.</w:t>
      </w:r>
      <w:r w:rsidR="00DA601A" w:rsidRPr="008B0EF4">
        <w:rPr>
          <w:rFonts w:eastAsia="Calibri"/>
        </w:rPr>
        <w:tab/>
        <w:t xml:space="preserve">Elsewhere in areas under the control of </w:t>
      </w:r>
      <w:r w:rsidR="000B3F09">
        <w:rPr>
          <w:rFonts w:eastAsia="Calibri"/>
        </w:rPr>
        <w:t xml:space="preserve">the </w:t>
      </w:r>
      <w:r w:rsidR="000B3F09" w:rsidRPr="006E4468">
        <w:rPr>
          <w:lang w:eastAsia="en-US"/>
        </w:rPr>
        <w:t>Syrian Democratic Forces</w:t>
      </w:r>
      <w:r w:rsidR="00DA601A" w:rsidRPr="008B0EF4">
        <w:rPr>
          <w:rFonts w:eastAsia="Calibri"/>
        </w:rPr>
        <w:t>, civilians, including children, suffered violations</w:t>
      </w:r>
      <w:r w:rsidR="00072706">
        <w:rPr>
          <w:rFonts w:eastAsia="Calibri"/>
        </w:rPr>
        <w:t xml:space="preserve"> of their rights</w:t>
      </w:r>
      <w:r w:rsidR="00DA601A" w:rsidRPr="008B0EF4">
        <w:rPr>
          <w:rFonts w:eastAsia="Calibri"/>
        </w:rPr>
        <w:t xml:space="preserve">. Notwithstanding the signing of </w:t>
      </w:r>
      <w:r w:rsidR="00DA601A" w:rsidRPr="005108B5">
        <w:rPr>
          <w:rFonts w:eastAsia="Calibri"/>
        </w:rPr>
        <w:t xml:space="preserve">an </w:t>
      </w:r>
      <w:r w:rsidR="005108B5" w:rsidRPr="005108B5">
        <w:rPr>
          <w:rFonts w:eastAsia="Calibri"/>
        </w:rPr>
        <w:t xml:space="preserve">action plan </w:t>
      </w:r>
      <w:r w:rsidR="00DA601A" w:rsidRPr="005108B5">
        <w:rPr>
          <w:rFonts w:eastAsia="Calibri"/>
        </w:rPr>
        <w:t xml:space="preserve">between the </w:t>
      </w:r>
      <w:r w:rsidR="000B3F09" w:rsidRPr="005108B5">
        <w:rPr>
          <w:lang w:eastAsia="en-US"/>
        </w:rPr>
        <w:t>Syrian Democratic Forces</w:t>
      </w:r>
      <w:r w:rsidR="00DA601A" w:rsidRPr="005108B5">
        <w:rPr>
          <w:rFonts w:eastAsia="Calibri"/>
        </w:rPr>
        <w:t xml:space="preserve"> and the United Nations to end and prevent the</w:t>
      </w:r>
      <w:r w:rsidR="00DA601A" w:rsidRPr="008B0EF4">
        <w:rPr>
          <w:rFonts w:eastAsia="Calibri"/>
        </w:rPr>
        <w:t xml:space="preserve"> recruitment and use of children under the age of 18 in June 2019, children aged 16 and 17 </w:t>
      </w:r>
      <w:proofErr w:type="gramStart"/>
      <w:r w:rsidR="00DA601A" w:rsidRPr="008B0EF4">
        <w:rPr>
          <w:rFonts w:eastAsia="Calibri"/>
        </w:rPr>
        <w:t>continued to be recruited</w:t>
      </w:r>
      <w:proofErr w:type="gramEnd"/>
      <w:r w:rsidR="00DA601A" w:rsidRPr="008B0EF4">
        <w:rPr>
          <w:rFonts w:eastAsia="Calibri"/>
        </w:rPr>
        <w:t xml:space="preserve"> by the </w:t>
      </w:r>
      <w:r w:rsidR="00A576D3" w:rsidRPr="00557B72">
        <w:t>Kurdish People’s Protection Units</w:t>
      </w:r>
      <w:r w:rsidR="00DA601A" w:rsidRPr="008B0EF4">
        <w:rPr>
          <w:rFonts w:eastAsia="Calibri"/>
        </w:rPr>
        <w:t xml:space="preserve"> throughout the reported period, with multiple accounts emanating from Aleppo </w:t>
      </w:r>
      <w:r w:rsidR="00A576D3">
        <w:rPr>
          <w:rFonts w:eastAsia="Calibri"/>
        </w:rPr>
        <w:t>Governorate</w:t>
      </w:r>
      <w:r w:rsidR="00DA601A" w:rsidRPr="008B0EF4">
        <w:rPr>
          <w:rFonts w:eastAsia="Calibri"/>
        </w:rPr>
        <w:t>.</w:t>
      </w:r>
      <w:r w:rsidR="00DA601A" w:rsidRPr="008B0EF4">
        <w:rPr>
          <w:rStyle w:val="FootnoteReference"/>
          <w:rFonts w:eastAsia="Calibri"/>
        </w:rPr>
        <w:footnoteReference w:id="35"/>
      </w:r>
    </w:p>
    <w:p w14:paraId="5A90AC05" w14:textId="5FF89AD4" w:rsidR="00DA601A" w:rsidRPr="008B0EF4" w:rsidRDefault="001B3EED" w:rsidP="00DA601A">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66</w:t>
      </w:r>
      <w:r w:rsidR="006A33EC" w:rsidRPr="008B0EF4">
        <w:rPr>
          <w:rFonts w:eastAsia="Calibri"/>
        </w:rPr>
        <w:t>.</w:t>
      </w:r>
      <w:r w:rsidR="00DA601A" w:rsidRPr="008B0EF4">
        <w:rPr>
          <w:rFonts w:eastAsia="Calibri"/>
        </w:rPr>
        <w:tab/>
        <w:t xml:space="preserve">The </w:t>
      </w:r>
      <w:r w:rsidR="000B3F09" w:rsidRPr="006E4468">
        <w:rPr>
          <w:lang w:eastAsia="en-US"/>
        </w:rPr>
        <w:t>Syrian Democratic Forces</w:t>
      </w:r>
      <w:r w:rsidR="00DA601A" w:rsidRPr="008B0EF4">
        <w:rPr>
          <w:rFonts w:eastAsia="Calibri"/>
        </w:rPr>
        <w:t xml:space="preserve"> also caused civilian deaths and injuries in other documented events. On 10 August, a </w:t>
      </w:r>
      <w:r w:rsidR="00A576D3">
        <w:rPr>
          <w:rFonts w:eastAsia="Calibri"/>
        </w:rPr>
        <w:t>3</w:t>
      </w:r>
      <w:r w:rsidR="00DA601A" w:rsidRPr="008B0EF4">
        <w:rPr>
          <w:rFonts w:eastAsia="Calibri"/>
        </w:rPr>
        <w:t>-year</w:t>
      </w:r>
      <w:r w:rsidR="00A576D3">
        <w:rPr>
          <w:rFonts w:eastAsia="Calibri"/>
        </w:rPr>
        <w:t>-</w:t>
      </w:r>
      <w:r w:rsidR="00DA601A" w:rsidRPr="008B0EF4">
        <w:rPr>
          <w:rFonts w:eastAsia="Calibri"/>
        </w:rPr>
        <w:t xml:space="preserve">old child </w:t>
      </w:r>
      <w:proofErr w:type="gramStart"/>
      <w:r w:rsidR="00DA601A" w:rsidRPr="008B0EF4">
        <w:rPr>
          <w:rFonts w:eastAsia="Calibri"/>
        </w:rPr>
        <w:t>was shot</w:t>
      </w:r>
      <w:proofErr w:type="gramEnd"/>
      <w:r w:rsidR="00DA601A" w:rsidRPr="008B0EF4">
        <w:rPr>
          <w:rFonts w:eastAsia="Calibri"/>
        </w:rPr>
        <w:t xml:space="preserve"> in the back at a checkpoint as his father was parking his car in accordance with the instructions of </w:t>
      </w:r>
      <w:r w:rsidR="004938FF">
        <w:rPr>
          <w:rFonts w:eastAsia="Calibri"/>
        </w:rPr>
        <w:t xml:space="preserve">members of the </w:t>
      </w:r>
      <w:r w:rsidR="000B3F09" w:rsidRPr="006E4468">
        <w:rPr>
          <w:lang w:eastAsia="en-US"/>
        </w:rPr>
        <w:t>Syrian Democratic Forces</w:t>
      </w:r>
      <w:r w:rsidR="00DA601A" w:rsidRPr="008B0EF4">
        <w:rPr>
          <w:rFonts w:eastAsia="Calibri"/>
        </w:rPr>
        <w:t xml:space="preserve">. When a crowd came to protest the killing, </w:t>
      </w:r>
      <w:r w:rsidR="004938FF" w:rsidRPr="008B0EF4">
        <w:rPr>
          <w:rFonts w:eastAsia="Calibri"/>
        </w:rPr>
        <w:t xml:space="preserve">members </w:t>
      </w:r>
      <w:r w:rsidR="004938FF">
        <w:rPr>
          <w:rFonts w:eastAsia="Calibri"/>
        </w:rPr>
        <w:t xml:space="preserve">of the </w:t>
      </w:r>
      <w:r w:rsidR="000B3F09" w:rsidRPr="006E4468">
        <w:rPr>
          <w:lang w:eastAsia="en-US"/>
        </w:rPr>
        <w:t>Syrian Democratic Forces</w:t>
      </w:r>
      <w:r w:rsidR="00DA601A" w:rsidRPr="008B0EF4">
        <w:rPr>
          <w:rFonts w:eastAsia="Calibri"/>
        </w:rPr>
        <w:t xml:space="preserve"> opened fire and </w:t>
      </w:r>
      <w:proofErr w:type="gramStart"/>
      <w:r w:rsidR="00DA601A" w:rsidRPr="008B0EF4">
        <w:rPr>
          <w:rFonts w:eastAsia="Calibri"/>
        </w:rPr>
        <w:t>one civilian was injured by bullets in the back and leg</w:t>
      </w:r>
      <w:proofErr w:type="gramEnd"/>
      <w:r w:rsidR="00DA601A" w:rsidRPr="008B0EF4">
        <w:rPr>
          <w:rFonts w:eastAsia="Calibri"/>
        </w:rPr>
        <w:t xml:space="preserve">. In </w:t>
      </w:r>
      <w:proofErr w:type="spellStart"/>
      <w:r w:rsidR="00DA601A" w:rsidRPr="005108B5">
        <w:rPr>
          <w:rFonts w:eastAsia="Calibri"/>
        </w:rPr>
        <w:t>Tab</w:t>
      </w:r>
      <w:r w:rsidR="005108B5" w:rsidRPr="00D6133C">
        <w:rPr>
          <w:rFonts w:eastAsia="Calibri"/>
        </w:rPr>
        <w:t>a</w:t>
      </w:r>
      <w:r w:rsidR="00DA601A" w:rsidRPr="005108B5">
        <w:rPr>
          <w:rFonts w:eastAsia="Calibri"/>
        </w:rPr>
        <w:t>qa</w:t>
      </w:r>
      <w:r w:rsidR="005108B5" w:rsidRPr="00D6133C">
        <w:rPr>
          <w:rFonts w:eastAsia="Calibri"/>
        </w:rPr>
        <w:t>h</w:t>
      </w:r>
      <w:proofErr w:type="spellEnd"/>
      <w:r w:rsidR="00DA601A" w:rsidRPr="008B0EF4">
        <w:rPr>
          <w:rFonts w:eastAsia="Calibri"/>
        </w:rPr>
        <w:t xml:space="preserve">, on 16 August, members </w:t>
      </w:r>
      <w:r w:rsidR="00A576D3">
        <w:rPr>
          <w:rFonts w:eastAsia="Calibri"/>
        </w:rPr>
        <w:t>of</w:t>
      </w:r>
      <w:r w:rsidR="00A576D3" w:rsidRPr="008B0EF4">
        <w:rPr>
          <w:rFonts w:eastAsia="Calibri"/>
        </w:rPr>
        <w:t xml:space="preserve"> </w:t>
      </w:r>
      <w:r w:rsidR="00DA601A" w:rsidRPr="008B0EF4">
        <w:rPr>
          <w:rFonts w:eastAsia="Calibri"/>
        </w:rPr>
        <w:t xml:space="preserve">the </w:t>
      </w:r>
      <w:r w:rsidR="004938FF" w:rsidRPr="006E4468">
        <w:rPr>
          <w:lang w:eastAsia="en-US"/>
        </w:rPr>
        <w:t>Syrian Democratic Forces</w:t>
      </w:r>
      <w:r w:rsidR="00DA601A" w:rsidRPr="008B0EF4">
        <w:rPr>
          <w:rFonts w:eastAsia="Calibri"/>
        </w:rPr>
        <w:t xml:space="preserve"> forced their way into the house of a doctor. The doctor </w:t>
      </w:r>
      <w:proofErr w:type="gramStart"/>
      <w:r w:rsidR="00DA601A" w:rsidRPr="008B0EF4">
        <w:rPr>
          <w:rFonts w:eastAsia="Calibri"/>
        </w:rPr>
        <w:t>was taken</w:t>
      </w:r>
      <w:proofErr w:type="gramEnd"/>
      <w:r w:rsidR="00DA601A" w:rsidRPr="008B0EF4">
        <w:rPr>
          <w:rFonts w:eastAsia="Calibri"/>
        </w:rPr>
        <w:t xml:space="preserve"> away and his spouse was physically assaulted.</w:t>
      </w:r>
    </w:p>
    <w:p w14:paraId="7B2411E8" w14:textId="77777777" w:rsidR="000C0114" w:rsidRPr="008B0EF4" w:rsidRDefault="000C0114" w:rsidP="000C0114">
      <w:pPr>
        <w:pStyle w:val="SingleTxtG"/>
        <w:spacing w:before="360" w:after="240"/>
        <w:ind w:left="0" w:firstLine="567"/>
        <w:rPr>
          <w:rFonts w:eastAsia="Calibri"/>
          <w:b/>
          <w:sz w:val="28"/>
        </w:rPr>
      </w:pPr>
      <w:r w:rsidRPr="008B0EF4">
        <w:rPr>
          <w:rFonts w:eastAsia="Calibri"/>
          <w:b/>
          <w:sz w:val="28"/>
        </w:rPr>
        <w:t>IV.</w:t>
      </w:r>
      <w:r w:rsidRPr="008B0EF4">
        <w:rPr>
          <w:rFonts w:eastAsia="Calibri"/>
          <w:b/>
          <w:sz w:val="28"/>
        </w:rPr>
        <w:tab/>
        <w:t>Government-held areas</w:t>
      </w:r>
    </w:p>
    <w:p w14:paraId="31CFE62C" w14:textId="61615A6D" w:rsidR="000C0114" w:rsidRPr="008B0EF4" w:rsidRDefault="001B3EED" w:rsidP="000C0114">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67</w:t>
      </w:r>
      <w:r w:rsidR="006A33EC" w:rsidRPr="008B0EF4">
        <w:rPr>
          <w:rFonts w:eastAsia="Calibri"/>
        </w:rPr>
        <w:t>.</w:t>
      </w:r>
      <w:r w:rsidR="000C0114" w:rsidRPr="008B0EF4">
        <w:rPr>
          <w:rFonts w:eastAsia="Calibri"/>
        </w:rPr>
        <w:tab/>
        <w:t xml:space="preserve">Living conditions remained dire in areas retaken by the Government, with residents, particularly in eastern </w:t>
      </w:r>
      <w:bookmarkStart w:id="15" w:name="_Hlk30582219"/>
      <w:proofErr w:type="spellStart"/>
      <w:r w:rsidR="000C0114" w:rsidRPr="008B0EF4">
        <w:rPr>
          <w:rFonts w:eastAsia="Calibri"/>
        </w:rPr>
        <w:t>Ghuta</w:t>
      </w:r>
      <w:r w:rsidR="0038189E">
        <w:rPr>
          <w:rFonts w:eastAsia="Calibri"/>
        </w:rPr>
        <w:t>h</w:t>
      </w:r>
      <w:proofErr w:type="spellEnd"/>
      <w:r w:rsidR="000C0114" w:rsidRPr="008B0EF4">
        <w:rPr>
          <w:rFonts w:eastAsia="Calibri"/>
        </w:rPr>
        <w:t xml:space="preserve"> (Rif </w:t>
      </w:r>
      <w:proofErr w:type="spellStart"/>
      <w:r w:rsidR="000C0114" w:rsidRPr="008B0EF4">
        <w:rPr>
          <w:rFonts w:eastAsia="Calibri"/>
        </w:rPr>
        <w:t>D</w:t>
      </w:r>
      <w:r w:rsidR="0038189E">
        <w:rPr>
          <w:rFonts w:eastAsia="Calibri"/>
        </w:rPr>
        <w:t>i</w:t>
      </w:r>
      <w:r w:rsidR="000C0114" w:rsidRPr="008B0EF4">
        <w:rPr>
          <w:rFonts w:eastAsia="Calibri"/>
        </w:rPr>
        <w:t>mashq</w:t>
      </w:r>
      <w:proofErr w:type="spellEnd"/>
      <w:r w:rsidR="000C0114" w:rsidRPr="008B0EF4">
        <w:rPr>
          <w:rFonts w:eastAsia="Calibri"/>
        </w:rPr>
        <w:t>)</w:t>
      </w:r>
      <w:bookmarkEnd w:id="15"/>
      <w:r w:rsidR="000C0114" w:rsidRPr="008B0EF4">
        <w:rPr>
          <w:rFonts w:eastAsia="Calibri"/>
        </w:rPr>
        <w:t xml:space="preserve">, experiencing limited access to basic services and meagre </w:t>
      </w:r>
      <w:r w:rsidR="0038189E" w:rsidRPr="008B0EF4">
        <w:rPr>
          <w:rFonts w:eastAsia="Calibri"/>
        </w:rPr>
        <w:t>progress</w:t>
      </w:r>
      <w:r w:rsidR="0038189E">
        <w:rPr>
          <w:rFonts w:eastAsia="Calibri"/>
        </w:rPr>
        <w:t xml:space="preserve"> on </w:t>
      </w:r>
      <w:r w:rsidR="000C0114" w:rsidRPr="008B0EF4">
        <w:rPr>
          <w:rFonts w:eastAsia="Calibri"/>
        </w:rPr>
        <w:t xml:space="preserve">reconstruction. Where electricity is available, it is prohibitively expensive and often rationed. In </w:t>
      </w:r>
      <w:bookmarkStart w:id="16" w:name="_Hlk30582229"/>
      <w:r w:rsidR="000C0114" w:rsidRPr="008B0EF4">
        <w:rPr>
          <w:rFonts w:eastAsia="Calibri"/>
        </w:rPr>
        <w:t>Duma</w:t>
      </w:r>
      <w:bookmarkEnd w:id="16"/>
      <w:r w:rsidR="000C0114" w:rsidRPr="008B0EF4">
        <w:rPr>
          <w:rFonts w:eastAsia="Calibri"/>
        </w:rPr>
        <w:t xml:space="preserve">, electricity is only available on the main street, while water supplies in eastern </w:t>
      </w:r>
      <w:proofErr w:type="spellStart"/>
      <w:r w:rsidR="0038189E">
        <w:rPr>
          <w:rFonts w:eastAsia="Calibri"/>
        </w:rPr>
        <w:t>Ghutah</w:t>
      </w:r>
      <w:proofErr w:type="spellEnd"/>
      <w:r w:rsidR="000C0114" w:rsidRPr="008B0EF4">
        <w:rPr>
          <w:rFonts w:eastAsia="Calibri"/>
        </w:rPr>
        <w:t xml:space="preserve"> are unpotable. The movement of construction materials and furniture has also been heavily </w:t>
      </w:r>
      <w:proofErr w:type="gramStart"/>
      <w:r w:rsidR="000C0114" w:rsidRPr="008B0EF4">
        <w:rPr>
          <w:rFonts w:eastAsia="Calibri"/>
        </w:rPr>
        <w:t>restricted,</w:t>
      </w:r>
      <w:proofErr w:type="gramEnd"/>
      <w:r w:rsidR="000C0114" w:rsidRPr="008B0EF4">
        <w:rPr>
          <w:rFonts w:eastAsia="Calibri"/>
        </w:rPr>
        <w:t xml:space="preserve"> in particular between </w:t>
      </w:r>
      <w:r w:rsidR="0038189E">
        <w:rPr>
          <w:rFonts w:eastAsia="Calibri"/>
        </w:rPr>
        <w:t>Duma</w:t>
      </w:r>
      <w:r w:rsidR="000C0114" w:rsidRPr="008B0EF4">
        <w:rPr>
          <w:rFonts w:eastAsia="Calibri"/>
        </w:rPr>
        <w:t xml:space="preserve"> and </w:t>
      </w:r>
      <w:proofErr w:type="spellStart"/>
      <w:r w:rsidR="000C0114" w:rsidRPr="005108B5">
        <w:rPr>
          <w:rFonts w:eastAsia="Calibri"/>
        </w:rPr>
        <w:t>M</w:t>
      </w:r>
      <w:r w:rsidR="005108B5" w:rsidRPr="00D6133C">
        <w:rPr>
          <w:rFonts w:eastAsia="Calibri"/>
        </w:rPr>
        <w:t>i</w:t>
      </w:r>
      <w:r w:rsidR="000C0114" w:rsidRPr="005108B5">
        <w:rPr>
          <w:rFonts w:eastAsia="Calibri"/>
        </w:rPr>
        <w:t>sraba</w:t>
      </w:r>
      <w:proofErr w:type="spellEnd"/>
      <w:r w:rsidR="000C0114" w:rsidRPr="008B0EF4">
        <w:rPr>
          <w:rFonts w:eastAsia="Calibri"/>
        </w:rPr>
        <w:t xml:space="preserve">, further hampering efforts to rebuild homes. While some schools have reopened, the marginalization of qualified teachers with perceived affiliations to schooling systems that were in place under armed groups </w:t>
      </w:r>
      <w:r w:rsidR="0038189E">
        <w:rPr>
          <w:rFonts w:eastAsia="Calibri"/>
        </w:rPr>
        <w:t>has affected</w:t>
      </w:r>
      <w:r w:rsidR="0038189E" w:rsidRPr="008B0EF4">
        <w:rPr>
          <w:rFonts w:eastAsia="Calibri"/>
        </w:rPr>
        <w:t xml:space="preserve"> </w:t>
      </w:r>
      <w:r w:rsidR="000C0114" w:rsidRPr="008B0EF4">
        <w:rPr>
          <w:rFonts w:eastAsia="Calibri"/>
        </w:rPr>
        <w:t xml:space="preserve">the quality of education. </w:t>
      </w:r>
    </w:p>
    <w:p w14:paraId="0FBDE740" w14:textId="796A6362" w:rsidR="000C0114" w:rsidRPr="008B0EF4" w:rsidRDefault="001B3EED" w:rsidP="000C0114">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68</w:t>
      </w:r>
      <w:r w:rsidR="006A33EC" w:rsidRPr="008B0EF4">
        <w:rPr>
          <w:rFonts w:eastAsia="Calibri"/>
        </w:rPr>
        <w:t>.</w:t>
      </w:r>
      <w:r w:rsidR="000C0114" w:rsidRPr="008B0EF4">
        <w:rPr>
          <w:rFonts w:eastAsia="Calibri"/>
        </w:rPr>
        <w:tab/>
        <w:t>Civilians in areas retaken by the Government suffered from a general absence of the rule of law. Arbitrary arrests, enforced disappearances</w:t>
      </w:r>
      <w:r w:rsidR="000C0114" w:rsidRPr="008B0EF4">
        <w:rPr>
          <w:rStyle w:val="FootnoteReference"/>
          <w:rFonts w:eastAsia="Calibri"/>
        </w:rPr>
        <w:footnoteReference w:id="36"/>
      </w:r>
      <w:r w:rsidR="000C0114" w:rsidRPr="008B0EF4">
        <w:rPr>
          <w:rFonts w:eastAsia="Calibri"/>
        </w:rPr>
        <w:t xml:space="preserve"> and detentions continued to be commonplace throughout</w:t>
      </w:r>
      <w:r w:rsidR="000C0114" w:rsidRPr="008B0EF4">
        <w:rPr>
          <w:rFonts w:eastAsia="Calibri"/>
          <w:bCs/>
        </w:rPr>
        <w:t xml:space="preserve"> areas such as </w:t>
      </w:r>
      <w:proofErr w:type="spellStart"/>
      <w:r w:rsidR="00EF59AE">
        <w:rPr>
          <w:rFonts w:eastAsia="Calibri"/>
          <w:bCs/>
        </w:rPr>
        <w:t>Dar‘a</w:t>
      </w:r>
      <w:proofErr w:type="spellEnd"/>
      <w:r w:rsidR="000C0114" w:rsidRPr="008B0EF4">
        <w:rPr>
          <w:rFonts w:eastAsia="Calibri"/>
          <w:bCs/>
        </w:rPr>
        <w:t xml:space="preserve">, </w:t>
      </w:r>
      <w:r w:rsidR="0038189E">
        <w:rPr>
          <w:rFonts w:eastAsia="Calibri"/>
          <w:bCs/>
        </w:rPr>
        <w:t>Duma</w:t>
      </w:r>
      <w:r w:rsidR="000C0114" w:rsidRPr="008B0EF4">
        <w:rPr>
          <w:rFonts w:eastAsia="Calibri"/>
          <w:bCs/>
        </w:rPr>
        <w:t xml:space="preserve"> and eastern </w:t>
      </w:r>
      <w:proofErr w:type="spellStart"/>
      <w:r w:rsidR="0038189E">
        <w:rPr>
          <w:rFonts w:eastAsia="Calibri"/>
          <w:bCs/>
        </w:rPr>
        <w:t>Ghutah</w:t>
      </w:r>
      <w:proofErr w:type="spellEnd"/>
      <w:r w:rsidR="000C0114" w:rsidRPr="008B0EF4">
        <w:rPr>
          <w:rFonts w:eastAsia="Calibri"/>
          <w:bCs/>
        </w:rPr>
        <w:t xml:space="preserve">. During the period under review, large numbers of adult men </w:t>
      </w:r>
      <w:proofErr w:type="gramStart"/>
      <w:r w:rsidR="00401E4A">
        <w:rPr>
          <w:rFonts w:eastAsia="Calibri"/>
          <w:bCs/>
        </w:rPr>
        <w:t>were</w:t>
      </w:r>
      <w:r w:rsidR="00401E4A" w:rsidRPr="008B0EF4">
        <w:rPr>
          <w:rFonts w:eastAsia="Calibri"/>
          <w:bCs/>
        </w:rPr>
        <w:t xml:space="preserve"> </w:t>
      </w:r>
      <w:r w:rsidR="000C0114" w:rsidRPr="008B0EF4">
        <w:rPr>
          <w:rFonts w:eastAsia="Calibri"/>
          <w:bCs/>
        </w:rPr>
        <w:t>also detained</w:t>
      </w:r>
      <w:proofErr w:type="gramEnd"/>
      <w:r w:rsidR="000C0114" w:rsidRPr="008B0EF4">
        <w:rPr>
          <w:rFonts w:eastAsia="Calibri"/>
          <w:bCs/>
        </w:rPr>
        <w:t xml:space="preserve"> purportedly for conscription. </w:t>
      </w:r>
      <w:r w:rsidR="000C0114" w:rsidRPr="008B0EF4">
        <w:rPr>
          <w:rFonts w:eastAsia="Calibri"/>
        </w:rPr>
        <w:t xml:space="preserve">In </w:t>
      </w:r>
      <w:r w:rsidR="0038189E">
        <w:rPr>
          <w:rFonts w:eastAsia="Calibri"/>
        </w:rPr>
        <w:t>Duma</w:t>
      </w:r>
      <w:r w:rsidR="000C0114" w:rsidRPr="008B0EF4">
        <w:rPr>
          <w:rFonts w:eastAsia="Calibri"/>
        </w:rPr>
        <w:t xml:space="preserve">, a group of students travelling on 20 October to university to take examinations </w:t>
      </w:r>
      <w:proofErr w:type="gramStart"/>
      <w:r w:rsidR="000C0114" w:rsidRPr="008B0EF4">
        <w:rPr>
          <w:rFonts w:eastAsia="Calibri"/>
        </w:rPr>
        <w:t>was stopped</w:t>
      </w:r>
      <w:proofErr w:type="gramEnd"/>
      <w:r w:rsidR="000C0114" w:rsidRPr="008B0EF4">
        <w:rPr>
          <w:rFonts w:eastAsia="Calibri"/>
        </w:rPr>
        <w:t xml:space="preserve"> at a checkpoint staffed by officials from </w:t>
      </w:r>
      <w:r w:rsidR="000C0114" w:rsidRPr="005108B5">
        <w:rPr>
          <w:rFonts w:eastAsia="Calibri"/>
        </w:rPr>
        <w:t xml:space="preserve">the General </w:t>
      </w:r>
      <w:r w:rsidR="005108B5" w:rsidRPr="00D6133C">
        <w:rPr>
          <w:rFonts w:eastAsia="Calibri"/>
        </w:rPr>
        <w:t>Security</w:t>
      </w:r>
      <w:r w:rsidR="005108B5" w:rsidRPr="005108B5">
        <w:rPr>
          <w:rFonts w:eastAsia="Calibri"/>
        </w:rPr>
        <w:t xml:space="preserve"> </w:t>
      </w:r>
      <w:r w:rsidR="000C0114" w:rsidRPr="005108B5">
        <w:rPr>
          <w:rFonts w:eastAsia="Calibri"/>
        </w:rPr>
        <w:t>Directorate.</w:t>
      </w:r>
      <w:r w:rsidR="000C0114" w:rsidRPr="008B0EF4">
        <w:rPr>
          <w:rFonts w:eastAsia="Calibri"/>
        </w:rPr>
        <w:t xml:space="preserve"> Notwithstanding their status as students, the officers took </w:t>
      </w:r>
      <w:r w:rsidR="00401E4A">
        <w:rPr>
          <w:rFonts w:eastAsia="Calibri"/>
        </w:rPr>
        <w:t>15</w:t>
      </w:r>
      <w:r w:rsidR="00401E4A" w:rsidRPr="008B0EF4">
        <w:rPr>
          <w:rFonts w:eastAsia="Calibri"/>
        </w:rPr>
        <w:t xml:space="preserve"> </w:t>
      </w:r>
      <w:r w:rsidR="000C0114" w:rsidRPr="008B0EF4">
        <w:rPr>
          <w:rFonts w:eastAsia="Calibri"/>
        </w:rPr>
        <w:t xml:space="preserve">young men away, as their exemption from mandatory military service </w:t>
      </w:r>
      <w:proofErr w:type="gramStart"/>
      <w:r w:rsidR="000C0114" w:rsidRPr="008B0EF4">
        <w:rPr>
          <w:rFonts w:eastAsia="Calibri"/>
        </w:rPr>
        <w:t>was deemed</w:t>
      </w:r>
      <w:proofErr w:type="gramEnd"/>
      <w:r w:rsidR="000C0114" w:rsidRPr="008B0EF4">
        <w:rPr>
          <w:rFonts w:eastAsia="Calibri"/>
        </w:rPr>
        <w:t xml:space="preserve"> invalid.</w:t>
      </w:r>
      <w:r w:rsidR="000C0114" w:rsidRPr="008B0EF4">
        <w:rPr>
          <w:rStyle w:val="FootnoteReference"/>
          <w:rFonts w:eastAsia="Calibri"/>
        </w:rPr>
        <w:footnoteReference w:id="37"/>
      </w:r>
      <w:r w:rsidR="000C0114" w:rsidRPr="008B0EF4">
        <w:rPr>
          <w:rFonts w:eastAsia="Calibri"/>
        </w:rPr>
        <w:t xml:space="preserve"> </w:t>
      </w:r>
    </w:p>
    <w:p w14:paraId="035D3DBF" w14:textId="0173AD54" w:rsidR="000C0114" w:rsidRPr="008B0EF4" w:rsidRDefault="001B3EED" w:rsidP="000C0114">
      <w:pPr>
        <w:suppressAutoHyphens/>
        <w:kinsoku w:val="0"/>
        <w:overflowPunct w:val="0"/>
        <w:autoSpaceDE w:val="0"/>
        <w:autoSpaceDN w:val="0"/>
        <w:adjustRightInd w:val="0"/>
        <w:snapToGrid w:val="0"/>
        <w:spacing w:after="120" w:line="240" w:lineRule="atLeast"/>
        <w:ind w:left="1134" w:right="1134"/>
        <w:jc w:val="both"/>
        <w:rPr>
          <w:rFonts w:eastAsia="Calibri"/>
          <w:bCs/>
        </w:rPr>
      </w:pPr>
      <w:r w:rsidRPr="008B0EF4">
        <w:rPr>
          <w:rFonts w:eastAsia="Calibri"/>
        </w:rPr>
        <w:t>69</w:t>
      </w:r>
      <w:r w:rsidR="006A33EC" w:rsidRPr="008B0EF4">
        <w:rPr>
          <w:rFonts w:eastAsia="Calibri"/>
        </w:rPr>
        <w:t>.</w:t>
      </w:r>
      <w:r w:rsidR="00BE75A6" w:rsidRPr="008B0EF4">
        <w:rPr>
          <w:rFonts w:eastAsia="Calibri"/>
        </w:rPr>
        <w:tab/>
      </w:r>
      <w:r w:rsidR="000C0114" w:rsidRPr="008B0EF4">
        <w:rPr>
          <w:rFonts w:eastAsia="Calibri"/>
        </w:rPr>
        <w:t xml:space="preserve">The Government has also used the arrest and detention of family members to exert pressure during negotiations or to supress political participation. Relatives of members </w:t>
      </w:r>
      <w:r w:rsidR="00B51749" w:rsidRPr="008B0EF4">
        <w:rPr>
          <w:rFonts w:eastAsia="Calibri"/>
        </w:rPr>
        <w:t xml:space="preserve">of </w:t>
      </w:r>
      <w:r w:rsidR="000C0114" w:rsidRPr="008B0EF4">
        <w:rPr>
          <w:rFonts w:eastAsia="Calibri"/>
        </w:rPr>
        <w:t xml:space="preserve">the </w:t>
      </w:r>
      <w:r w:rsidR="000C0114" w:rsidRPr="005108B5">
        <w:rPr>
          <w:rFonts w:eastAsia="Calibri"/>
        </w:rPr>
        <w:t>Constitution Committee</w:t>
      </w:r>
      <w:r w:rsidR="000C0114" w:rsidRPr="008B0EF4">
        <w:rPr>
          <w:rFonts w:eastAsia="Calibri"/>
        </w:rPr>
        <w:t xml:space="preserve"> </w:t>
      </w:r>
      <w:proofErr w:type="gramStart"/>
      <w:r w:rsidR="000C0114" w:rsidRPr="008B0EF4">
        <w:rPr>
          <w:rFonts w:eastAsia="Calibri"/>
        </w:rPr>
        <w:t>were detained and interrogated</w:t>
      </w:r>
      <w:proofErr w:type="gramEnd"/>
      <w:r w:rsidR="000C0114" w:rsidRPr="008B0EF4">
        <w:rPr>
          <w:rFonts w:eastAsia="Calibri"/>
        </w:rPr>
        <w:t>.</w:t>
      </w:r>
      <w:r w:rsidR="000C0114" w:rsidRPr="008B0EF4">
        <w:rPr>
          <w:rStyle w:val="FootnoteReference"/>
          <w:rFonts w:eastAsia="Calibri"/>
        </w:rPr>
        <w:footnoteReference w:id="38"/>
      </w:r>
      <w:r w:rsidR="000C0114" w:rsidRPr="008B0EF4">
        <w:rPr>
          <w:rFonts w:eastAsia="Calibri"/>
        </w:rPr>
        <w:t xml:space="preserve"> In the lead up to the convening of the forum at the end of October, security services implied that the treatment of relatives in </w:t>
      </w:r>
      <w:r w:rsidR="009E0020">
        <w:rPr>
          <w:rFonts w:eastAsia="Calibri"/>
        </w:rPr>
        <w:t xml:space="preserve">the </w:t>
      </w:r>
      <w:r w:rsidR="000C0114" w:rsidRPr="008B0EF4">
        <w:rPr>
          <w:rFonts w:eastAsia="Calibri"/>
        </w:rPr>
        <w:t>Syria</w:t>
      </w:r>
      <w:r w:rsidR="009E0020">
        <w:rPr>
          <w:rFonts w:eastAsia="Calibri"/>
        </w:rPr>
        <w:t>n Arab Republic</w:t>
      </w:r>
      <w:r w:rsidR="000C0114" w:rsidRPr="008B0EF4">
        <w:rPr>
          <w:rFonts w:eastAsia="Calibri"/>
        </w:rPr>
        <w:t xml:space="preserve"> was contingent upon conduct during discussions. Women </w:t>
      </w:r>
      <w:proofErr w:type="gramStart"/>
      <w:r w:rsidR="000C0114" w:rsidRPr="008B0EF4">
        <w:rPr>
          <w:rFonts w:eastAsia="Calibri"/>
        </w:rPr>
        <w:t>have also been threatened</w:t>
      </w:r>
      <w:proofErr w:type="gramEnd"/>
      <w:r w:rsidR="000C0114" w:rsidRPr="008B0EF4">
        <w:rPr>
          <w:rFonts w:eastAsia="Calibri"/>
        </w:rPr>
        <w:t xml:space="preserve"> </w:t>
      </w:r>
      <w:r w:rsidR="000C0114" w:rsidRPr="008B0EF4">
        <w:rPr>
          <w:rFonts w:eastAsia="Calibri"/>
          <w:bCs/>
        </w:rPr>
        <w:t xml:space="preserve">by the State </w:t>
      </w:r>
      <w:r w:rsidR="009E0020">
        <w:rPr>
          <w:rFonts w:eastAsia="Calibri"/>
          <w:bCs/>
        </w:rPr>
        <w:t>s</w:t>
      </w:r>
      <w:r w:rsidR="009E0020" w:rsidRPr="008B0EF4">
        <w:rPr>
          <w:rFonts w:eastAsia="Calibri"/>
          <w:bCs/>
        </w:rPr>
        <w:t xml:space="preserve">ecurity </w:t>
      </w:r>
      <w:r w:rsidR="000C0114" w:rsidRPr="008B0EF4">
        <w:rPr>
          <w:rFonts w:eastAsia="Calibri"/>
          <w:bCs/>
        </w:rPr>
        <w:t xml:space="preserve">apparatus to prevent them from taking part in other civil society initiatives. </w:t>
      </w:r>
    </w:p>
    <w:p w14:paraId="2B168468" w14:textId="3195FC9A" w:rsidR="000C0114" w:rsidRPr="008B0EF4" w:rsidRDefault="001B3EED" w:rsidP="000C0114">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bCs/>
        </w:rPr>
        <w:t>70</w:t>
      </w:r>
      <w:r w:rsidR="006A33EC" w:rsidRPr="008B0EF4">
        <w:rPr>
          <w:rFonts w:eastAsia="Calibri"/>
          <w:bCs/>
        </w:rPr>
        <w:t>.</w:t>
      </w:r>
      <w:r w:rsidR="00BE75A6" w:rsidRPr="008B0EF4">
        <w:rPr>
          <w:rFonts w:eastAsia="Calibri"/>
          <w:bCs/>
        </w:rPr>
        <w:tab/>
      </w:r>
      <w:r w:rsidR="000C0114" w:rsidRPr="008B0EF4">
        <w:rPr>
          <w:rFonts w:eastAsia="Calibri"/>
          <w:bCs/>
        </w:rPr>
        <w:t>The use of “security reports” allegedly submitted by civilians as the basis of detention by the security apparatus</w:t>
      </w:r>
      <w:r w:rsidR="00B51749" w:rsidRPr="008B0EF4">
        <w:rPr>
          <w:rFonts w:eastAsia="Calibri"/>
          <w:bCs/>
        </w:rPr>
        <w:t xml:space="preserve"> was a concerning trend</w:t>
      </w:r>
      <w:r w:rsidR="000C0114" w:rsidRPr="008B0EF4">
        <w:rPr>
          <w:rFonts w:eastAsia="Calibri"/>
          <w:bCs/>
        </w:rPr>
        <w:t xml:space="preserve">. People in eastern </w:t>
      </w:r>
      <w:proofErr w:type="spellStart"/>
      <w:r w:rsidR="0038189E">
        <w:rPr>
          <w:rFonts w:eastAsia="Calibri"/>
          <w:bCs/>
        </w:rPr>
        <w:t>Ghutah</w:t>
      </w:r>
      <w:proofErr w:type="spellEnd"/>
      <w:r w:rsidR="000C0114" w:rsidRPr="008B0EF4">
        <w:rPr>
          <w:rFonts w:eastAsia="Calibri"/>
          <w:bCs/>
        </w:rPr>
        <w:t>, as well as other areas under Government control, reported living</w:t>
      </w:r>
      <w:r w:rsidR="000C0114" w:rsidRPr="008B0EF4">
        <w:rPr>
          <w:rFonts w:eastAsia="Calibri"/>
        </w:rPr>
        <w:t xml:space="preserve"> in constant fear of arrest due to denouncements through reports by other members of the community. Interviewees reported that denouncements </w:t>
      </w:r>
      <w:proofErr w:type="gramStart"/>
      <w:r w:rsidR="009E0020">
        <w:rPr>
          <w:rFonts w:eastAsia="Calibri"/>
        </w:rPr>
        <w:t>we</w:t>
      </w:r>
      <w:r w:rsidR="000C0114" w:rsidRPr="008B0EF4">
        <w:rPr>
          <w:rFonts w:eastAsia="Calibri"/>
        </w:rPr>
        <w:t>re often used</w:t>
      </w:r>
      <w:proofErr w:type="gramEnd"/>
      <w:r w:rsidR="000C0114" w:rsidRPr="008B0EF4">
        <w:rPr>
          <w:rFonts w:eastAsia="Calibri"/>
        </w:rPr>
        <w:t xml:space="preserve"> to settle unsubstantiated and unrelated interpersonal grievances. In July, a man fled abroad from a town in </w:t>
      </w:r>
      <w:proofErr w:type="spellStart"/>
      <w:r w:rsidR="00EF59AE">
        <w:rPr>
          <w:rFonts w:eastAsia="Calibri"/>
        </w:rPr>
        <w:t>Dar‘a</w:t>
      </w:r>
      <w:proofErr w:type="spellEnd"/>
      <w:r w:rsidR="000C0114" w:rsidRPr="008B0EF4">
        <w:rPr>
          <w:rFonts w:eastAsia="Calibri"/>
        </w:rPr>
        <w:t xml:space="preserve"> Governorate following a request to go to the Military Intelligence Directorate, after he received information that a “security report” </w:t>
      </w:r>
      <w:r w:rsidR="009E0020">
        <w:rPr>
          <w:rFonts w:eastAsia="Calibri"/>
        </w:rPr>
        <w:t>had been</w:t>
      </w:r>
      <w:r w:rsidR="009E0020" w:rsidRPr="008B0EF4">
        <w:rPr>
          <w:rFonts w:eastAsia="Calibri"/>
        </w:rPr>
        <w:t xml:space="preserve"> </w:t>
      </w:r>
      <w:r w:rsidR="000C0114" w:rsidRPr="008B0EF4">
        <w:rPr>
          <w:rFonts w:eastAsia="Calibri"/>
        </w:rPr>
        <w:t xml:space="preserve">made that accused him of storing medicine for armed groups. </w:t>
      </w:r>
    </w:p>
    <w:p w14:paraId="19E25037" w14:textId="762174A2" w:rsidR="000C0114" w:rsidRPr="008B0EF4" w:rsidRDefault="001B3EED" w:rsidP="000C0114">
      <w:pPr>
        <w:suppressAutoHyphens/>
        <w:kinsoku w:val="0"/>
        <w:overflowPunct w:val="0"/>
        <w:autoSpaceDE w:val="0"/>
        <w:autoSpaceDN w:val="0"/>
        <w:adjustRightInd w:val="0"/>
        <w:snapToGrid w:val="0"/>
        <w:spacing w:after="120" w:line="240" w:lineRule="atLeast"/>
        <w:ind w:left="1134" w:right="1134"/>
        <w:jc w:val="both"/>
        <w:rPr>
          <w:rFonts w:eastAsia="Calibri"/>
        </w:rPr>
      </w:pPr>
      <w:proofErr w:type="gramStart"/>
      <w:r w:rsidRPr="008B0EF4">
        <w:rPr>
          <w:rFonts w:eastAsia="Calibri"/>
        </w:rPr>
        <w:t>71</w:t>
      </w:r>
      <w:r w:rsidR="006A33EC" w:rsidRPr="008B0EF4">
        <w:rPr>
          <w:rFonts w:eastAsia="Calibri"/>
        </w:rPr>
        <w:t>.</w:t>
      </w:r>
      <w:r w:rsidR="00BE75A6" w:rsidRPr="008B0EF4">
        <w:rPr>
          <w:rFonts w:eastAsia="Calibri"/>
        </w:rPr>
        <w:tab/>
      </w:r>
      <w:r w:rsidR="000C0114" w:rsidRPr="008B0EF4">
        <w:rPr>
          <w:rFonts w:eastAsia="Calibri"/>
        </w:rPr>
        <w:t xml:space="preserve">Notwithstanding the ongoing arrests and detentions by </w:t>
      </w:r>
      <w:r w:rsidR="009E0020">
        <w:rPr>
          <w:rFonts w:eastAsia="Calibri"/>
        </w:rPr>
        <w:t>g</w:t>
      </w:r>
      <w:r w:rsidR="000C0114" w:rsidRPr="008B0EF4">
        <w:rPr>
          <w:rFonts w:eastAsia="Calibri"/>
        </w:rPr>
        <w:t>overnment forces, in addition to the scores of individuals already deprived of their liberty, a number of “amnesties” were issued in the reporting period by the Government</w:t>
      </w:r>
      <w:proofErr w:type="gramEnd"/>
      <w:r w:rsidR="000C0114" w:rsidRPr="008B0EF4">
        <w:rPr>
          <w:rFonts w:eastAsia="Calibri"/>
        </w:rPr>
        <w:t>.</w:t>
      </w:r>
      <w:r w:rsidR="000C0114" w:rsidRPr="008B0EF4">
        <w:rPr>
          <w:rStyle w:val="FootnoteReference"/>
          <w:rFonts w:eastAsia="Calibri"/>
        </w:rPr>
        <w:footnoteReference w:id="39"/>
      </w:r>
      <w:r w:rsidR="000C0114" w:rsidRPr="008B0EF4">
        <w:rPr>
          <w:rFonts w:eastAsia="Calibri"/>
        </w:rPr>
        <w:t xml:space="preserve"> However, releases mostly took place in </w:t>
      </w:r>
      <w:proofErr w:type="spellStart"/>
      <w:r w:rsidR="00EF59AE">
        <w:rPr>
          <w:rFonts w:eastAsia="Calibri"/>
        </w:rPr>
        <w:t>Dar‘a</w:t>
      </w:r>
      <w:proofErr w:type="spellEnd"/>
      <w:r w:rsidR="000C0114" w:rsidRPr="008B0EF4">
        <w:rPr>
          <w:rFonts w:eastAsia="Calibri"/>
        </w:rPr>
        <w:t xml:space="preserve"> Governorate and amounted to few hundred people who had been held for relatively minor offences. </w:t>
      </w:r>
    </w:p>
    <w:p w14:paraId="1A2C1DEE" w14:textId="6FD1C0ED" w:rsidR="000C0114" w:rsidRPr="008B0EF4" w:rsidRDefault="001B3EED" w:rsidP="000C0114">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72</w:t>
      </w:r>
      <w:r w:rsidR="006A33EC" w:rsidRPr="008B0EF4">
        <w:rPr>
          <w:rFonts w:eastAsia="Calibri"/>
        </w:rPr>
        <w:t>.</w:t>
      </w:r>
      <w:r w:rsidR="00BE75A6" w:rsidRPr="008B0EF4">
        <w:rPr>
          <w:rFonts w:eastAsia="Calibri"/>
        </w:rPr>
        <w:tab/>
      </w:r>
      <w:r w:rsidR="000C0114" w:rsidRPr="008B0EF4">
        <w:rPr>
          <w:rFonts w:eastAsia="Calibri"/>
        </w:rPr>
        <w:t>The plethora of actors involved</w:t>
      </w:r>
      <w:r w:rsidR="009E0020">
        <w:rPr>
          <w:rFonts w:eastAsia="Calibri"/>
        </w:rPr>
        <w:t>,</w:t>
      </w:r>
      <w:r w:rsidR="000C0114" w:rsidRPr="008B0EF4">
        <w:rPr>
          <w:rFonts w:eastAsia="Calibri"/>
        </w:rPr>
        <w:t xml:space="preserve"> combined with competing approaches to “reconciliation” in certain areas</w:t>
      </w:r>
      <w:r w:rsidR="009E0020">
        <w:rPr>
          <w:rFonts w:eastAsia="Calibri"/>
        </w:rPr>
        <w:t>,</w:t>
      </w:r>
      <w:r w:rsidR="000C0114" w:rsidRPr="008B0EF4">
        <w:rPr>
          <w:rFonts w:eastAsia="Calibri"/>
        </w:rPr>
        <w:t xml:space="preserve"> such as eastern </w:t>
      </w:r>
      <w:proofErr w:type="spellStart"/>
      <w:r w:rsidR="0038189E">
        <w:rPr>
          <w:rFonts w:eastAsia="Calibri"/>
        </w:rPr>
        <w:t>Ghutah</w:t>
      </w:r>
      <w:proofErr w:type="spellEnd"/>
      <w:r w:rsidR="000C0114" w:rsidRPr="008B0EF4">
        <w:rPr>
          <w:rFonts w:eastAsia="Calibri"/>
        </w:rPr>
        <w:t xml:space="preserve">, </w:t>
      </w:r>
      <w:proofErr w:type="spellStart"/>
      <w:r w:rsidR="005108B5" w:rsidRPr="00D6133C">
        <w:rPr>
          <w:rFonts w:eastAsia="Calibri"/>
        </w:rPr>
        <w:t>Qunaytirah</w:t>
      </w:r>
      <w:proofErr w:type="spellEnd"/>
      <w:r w:rsidR="000C0114" w:rsidRPr="008B0EF4">
        <w:rPr>
          <w:rFonts w:eastAsia="Calibri"/>
        </w:rPr>
        <w:t xml:space="preserve"> </w:t>
      </w:r>
      <w:r w:rsidR="000C0114" w:rsidRPr="005108B5">
        <w:rPr>
          <w:rFonts w:eastAsia="Calibri"/>
        </w:rPr>
        <w:t xml:space="preserve">or </w:t>
      </w:r>
      <w:proofErr w:type="spellStart"/>
      <w:r w:rsidR="00EF59AE" w:rsidRPr="005108B5">
        <w:rPr>
          <w:rFonts w:eastAsia="Calibri"/>
        </w:rPr>
        <w:t>Dar‘a</w:t>
      </w:r>
      <w:proofErr w:type="spellEnd"/>
      <w:r w:rsidR="009E0020" w:rsidRPr="005108B5">
        <w:rPr>
          <w:rFonts w:eastAsia="Calibri"/>
        </w:rPr>
        <w:t>,</w:t>
      </w:r>
      <w:r w:rsidR="000C0114" w:rsidRPr="008B0EF4">
        <w:rPr>
          <w:rFonts w:eastAsia="Calibri"/>
        </w:rPr>
        <w:t xml:space="preserve"> contributed to a fragile security situation. The commitments made when </w:t>
      </w:r>
      <w:r w:rsidR="009E0020">
        <w:rPr>
          <w:rFonts w:eastAsia="Calibri"/>
        </w:rPr>
        <w:t>g</w:t>
      </w:r>
      <w:r w:rsidR="009E0020" w:rsidRPr="008B0EF4">
        <w:rPr>
          <w:rFonts w:eastAsia="Calibri"/>
        </w:rPr>
        <w:t xml:space="preserve">overnment </w:t>
      </w:r>
      <w:r w:rsidR="000C0114" w:rsidRPr="008B0EF4">
        <w:rPr>
          <w:rFonts w:eastAsia="Calibri"/>
        </w:rPr>
        <w:t xml:space="preserve">forces imposed a “reconciliation” process on previously besieged areas, including fulfilling promises of releasing those that </w:t>
      </w:r>
      <w:proofErr w:type="gramStart"/>
      <w:r w:rsidR="009E0020">
        <w:rPr>
          <w:rFonts w:eastAsia="Calibri"/>
        </w:rPr>
        <w:t>had been</w:t>
      </w:r>
      <w:r w:rsidR="009E0020" w:rsidRPr="008B0EF4">
        <w:rPr>
          <w:rFonts w:eastAsia="Calibri"/>
        </w:rPr>
        <w:t xml:space="preserve"> </w:t>
      </w:r>
      <w:r w:rsidR="000C0114" w:rsidRPr="008B0EF4">
        <w:rPr>
          <w:rFonts w:eastAsia="Calibri"/>
        </w:rPr>
        <w:t>arrested and detained,</w:t>
      </w:r>
      <w:proofErr w:type="gramEnd"/>
      <w:r w:rsidR="000C0114" w:rsidRPr="008B0EF4">
        <w:rPr>
          <w:rFonts w:eastAsia="Calibri"/>
        </w:rPr>
        <w:t xml:space="preserve"> recognizing educational certificates and reinstating teachers, </w:t>
      </w:r>
      <w:r w:rsidR="009E0020" w:rsidRPr="008B0EF4">
        <w:rPr>
          <w:rFonts w:eastAsia="Calibri"/>
        </w:rPr>
        <w:t xml:space="preserve">remained </w:t>
      </w:r>
      <w:r w:rsidR="000C0114" w:rsidRPr="008B0EF4">
        <w:rPr>
          <w:rFonts w:eastAsia="Calibri"/>
        </w:rPr>
        <w:t>largely unfulfilled. Civilians in retaken areas indicate</w:t>
      </w:r>
      <w:r w:rsidR="00540080">
        <w:rPr>
          <w:rFonts w:eastAsia="Calibri"/>
        </w:rPr>
        <w:t>d</w:t>
      </w:r>
      <w:r w:rsidR="000C0114" w:rsidRPr="008B0EF4">
        <w:rPr>
          <w:rFonts w:eastAsia="Calibri"/>
        </w:rPr>
        <w:t xml:space="preserve"> that the lack of respect for the “reconciliation” processes and agreements </w:t>
      </w:r>
      <w:r w:rsidR="00540080">
        <w:rPr>
          <w:rFonts w:eastAsia="Calibri"/>
        </w:rPr>
        <w:t>wa</w:t>
      </w:r>
      <w:r w:rsidR="000C0114" w:rsidRPr="008B0EF4">
        <w:rPr>
          <w:rFonts w:eastAsia="Calibri"/>
        </w:rPr>
        <w:t xml:space="preserve">s a significant factor of current fear and tension among the population. </w:t>
      </w:r>
    </w:p>
    <w:p w14:paraId="29850609" w14:textId="7B45725D" w:rsidR="000C0114" w:rsidRPr="008B0EF4" w:rsidRDefault="001B3EED" w:rsidP="000C0114">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73</w:t>
      </w:r>
      <w:r w:rsidR="006A33EC" w:rsidRPr="008B0EF4">
        <w:rPr>
          <w:rFonts w:eastAsia="Calibri"/>
        </w:rPr>
        <w:t>.</w:t>
      </w:r>
      <w:r w:rsidR="00BE75A6" w:rsidRPr="008B0EF4">
        <w:rPr>
          <w:rFonts w:eastAsia="Calibri"/>
        </w:rPr>
        <w:tab/>
      </w:r>
      <w:r w:rsidR="000C0114" w:rsidRPr="008B0EF4">
        <w:rPr>
          <w:rFonts w:eastAsia="Calibri"/>
        </w:rPr>
        <w:t xml:space="preserve">A network of checkpoints remained across “reconciled areas”, including in </w:t>
      </w:r>
      <w:proofErr w:type="spellStart"/>
      <w:r w:rsidR="00EF59AE">
        <w:rPr>
          <w:rFonts w:eastAsia="Calibri"/>
        </w:rPr>
        <w:t>Dar‘</w:t>
      </w:r>
      <w:proofErr w:type="gramStart"/>
      <w:r w:rsidR="00EF59AE">
        <w:rPr>
          <w:rFonts w:eastAsia="Calibri"/>
        </w:rPr>
        <w:t>a</w:t>
      </w:r>
      <w:proofErr w:type="spellEnd"/>
      <w:r w:rsidR="00BE75A6" w:rsidRPr="008B0EF4">
        <w:rPr>
          <w:rStyle w:val="FootnoteReference"/>
          <w:rFonts w:eastAsia="Calibri"/>
        </w:rPr>
        <w:footnoteReference w:id="40"/>
      </w:r>
      <w:r w:rsidR="000C0114" w:rsidRPr="008B0EF4">
        <w:rPr>
          <w:rFonts w:eastAsia="Calibri"/>
        </w:rPr>
        <w:t xml:space="preserve"> and</w:t>
      </w:r>
      <w:proofErr w:type="gramEnd"/>
      <w:r w:rsidR="000C0114" w:rsidRPr="008B0EF4">
        <w:rPr>
          <w:rFonts w:eastAsia="Calibri"/>
        </w:rPr>
        <w:t xml:space="preserve"> eastern </w:t>
      </w:r>
      <w:proofErr w:type="spellStart"/>
      <w:r w:rsidR="0038189E">
        <w:rPr>
          <w:rFonts w:eastAsia="Calibri"/>
        </w:rPr>
        <w:t>Ghutah</w:t>
      </w:r>
      <w:proofErr w:type="spellEnd"/>
      <w:r w:rsidR="000C0114" w:rsidRPr="008B0EF4">
        <w:rPr>
          <w:rFonts w:eastAsia="Calibri"/>
        </w:rPr>
        <w:t>,</w:t>
      </w:r>
      <w:r w:rsidR="00BE75A6" w:rsidRPr="008B0EF4">
        <w:rPr>
          <w:rStyle w:val="FootnoteReference"/>
          <w:rFonts w:eastAsia="Calibri"/>
        </w:rPr>
        <w:footnoteReference w:id="41"/>
      </w:r>
      <w:r w:rsidR="000C0114" w:rsidRPr="008B0EF4">
        <w:rPr>
          <w:rFonts w:eastAsia="Calibri"/>
        </w:rPr>
        <w:t xml:space="preserve"> in contravention of the assurances made during “reconciliation processes”. This has severely restricted the freedom of movement of the civilian population, primarily affecting adult men who feared apprehension and forced conscription. Recently, the use of rapidly deployed ad hoc checkpoints in </w:t>
      </w:r>
      <w:proofErr w:type="gramStart"/>
      <w:r w:rsidR="0038189E">
        <w:rPr>
          <w:rFonts w:eastAsia="Calibri"/>
        </w:rPr>
        <w:t>Duma</w:t>
      </w:r>
      <w:r w:rsidR="000C0114" w:rsidRPr="008B0EF4">
        <w:rPr>
          <w:rFonts w:eastAsia="Calibri"/>
        </w:rPr>
        <w:t>,</w:t>
      </w:r>
      <w:proofErr w:type="gramEnd"/>
      <w:r w:rsidR="000C0114" w:rsidRPr="008B0EF4">
        <w:rPr>
          <w:rFonts w:eastAsia="Calibri"/>
        </w:rPr>
        <w:t xml:space="preserve"> has instilled additional fear among the population.</w:t>
      </w:r>
    </w:p>
    <w:p w14:paraId="6F454130" w14:textId="1120257C" w:rsidR="000C0114" w:rsidRPr="008B0EF4" w:rsidRDefault="001B3EED" w:rsidP="000C0114">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74</w:t>
      </w:r>
      <w:r w:rsidR="006A33EC" w:rsidRPr="008B0EF4">
        <w:rPr>
          <w:rFonts w:eastAsia="Calibri"/>
        </w:rPr>
        <w:t>.</w:t>
      </w:r>
      <w:r w:rsidR="00BE75A6" w:rsidRPr="008B0EF4">
        <w:rPr>
          <w:rFonts w:eastAsia="Calibri"/>
        </w:rPr>
        <w:tab/>
      </w:r>
      <w:r w:rsidR="000C0114" w:rsidRPr="008B0EF4">
        <w:rPr>
          <w:rFonts w:eastAsia="Calibri"/>
        </w:rPr>
        <w:t xml:space="preserve">The ubiquitous checkpoints have further enabled members of the security services to extort residents. One interviewee told the </w:t>
      </w:r>
      <w:proofErr w:type="gramStart"/>
      <w:r w:rsidR="000C0114" w:rsidRPr="008B0EF4">
        <w:rPr>
          <w:rFonts w:eastAsia="Calibri"/>
        </w:rPr>
        <w:t>Commission that</w:t>
      </w:r>
      <w:proofErr w:type="gramEnd"/>
      <w:r w:rsidR="000C0114" w:rsidRPr="008B0EF4">
        <w:rPr>
          <w:rFonts w:eastAsia="Calibri"/>
        </w:rPr>
        <w:t xml:space="preserve"> “even if you are not wanted, you are at risk of being taken at checkpoints. If you need to move, you always need to consider taking some money with you to bribe officials.”  These restrictions impeded civilians’ access to basic services, including health</w:t>
      </w:r>
      <w:r w:rsidR="0020604C">
        <w:rPr>
          <w:rFonts w:eastAsia="Calibri"/>
        </w:rPr>
        <w:t xml:space="preserve"> </w:t>
      </w:r>
      <w:r w:rsidR="000C0114" w:rsidRPr="008B0EF4">
        <w:rPr>
          <w:rFonts w:eastAsia="Calibri"/>
        </w:rPr>
        <w:t xml:space="preserve">care and education, and </w:t>
      </w:r>
      <w:proofErr w:type="gramStart"/>
      <w:r w:rsidR="000C0114" w:rsidRPr="008B0EF4">
        <w:rPr>
          <w:rFonts w:eastAsia="Calibri"/>
        </w:rPr>
        <w:t>confined</w:t>
      </w:r>
      <w:proofErr w:type="gramEnd"/>
      <w:r w:rsidR="000C0114" w:rsidRPr="008B0EF4">
        <w:rPr>
          <w:rFonts w:eastAsia="Calibri"/>
        </w:rPr>
        <w:t xml:space="preserve"> those lacking financial resources to their homes. In </w:t>
      </w:r>
      <w:r w:rsidR="0038189E">
        <w:rPr>
          <w:rFonts w:eastAsia="Calibri"/>
        </w:rPr>
        <w:t>Duma</w:t>
      </w:r>
      <w:r w:rsidR="000C0114" w:rsidRPr="008B0EF4">
        <w:rPr>
          <w:rFonts w:eastAsia="Calibri"/>
        </w:rPr>
        <w:t xml:space="preserve"> </w:t>
      </w:r>
      <w:r w:rsidR="0020604C">
        <w:rPr>
          <w:rFonts w:eastAsia="Calibri"/>
        </w:rPr>
        <w:t>C</w:t>
      </w:r>
      <w:r w:rsidR="000C0114" w:rsidRPr="008B0EF4">
        <w:rPr>
          <w:rFonts w:eastAsia="Calibri"/>
        </w:rPr>
        <w:t xml:space="preserve">ity, authorizations are required in order to enter and exit. Without such authorizations, residents reported having to pay large bribes at checkpoints to </w:t>
      </w:r>
      <w:r w:rsidR="0020604C">
        <w:rPr>
          <w:rFonts w:eastAsia="Calibri"/>
        </w:rPr>
        <w:t xml:space="preserve">gain </w:t>
      </w:r>
      <w:r w:rsidR="000C0114" w:rsidRPr="008B0EF4">
        <w:rPr>
          <w:rFonts w:eastAsia="Calibri"/>
        </w:rPr>
        <w:t xml:space="preserve">access </w:t>
      </w:r>
      <w:r w:rsidR="0020604C">
        <w:rPr>
          <w:rFonts w:eastAsia="Calibri"/>
        </w:rPr>
        <w:t xml:space="preserve">to </w:t>
      </w:r>
      <w:r w:rsidR="000C0114" w:rsidRPr="008B0EF4">
        <w:rPr>
          <w:rFonts w:eastAsia="Calibri"/>
        </w:rPr>
        <w:t xml:space="preserve">hospitals to treat their medical conditions. </w:t>
      </w:r>
    </w:p>
    <w:p w14:paraId="4EE2B7F0" w14:textId="194AB9C0" w:rsidR="000C0114" w:rsidRPr="008B0EF4" w:rsidRDefault="001B3EED" w:rsidP="000C0114">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75</w:t>
      </w:r>
      <w:r w:rsidR="006A33EC" w:rsidRPr="008B0EF4">
        <w:rPr>
          <w:rFonts w:eastAsia="Calibri"/>
        </w:rPr>
        <w:t>.</w:t>
      </w:r>
      <w:r w:rsidR="00BE75A6" w:rsidRPr="008B0EF4">
        <w:rPr>
          <w:rFonts w:eastAsia="Calibri"/>
        </w:rPr>
        <w:tab/>
      </w:r>
      <w:r w:rsidR="000C0114" w:rsidRPr="008B0EF4">
        <w:rPr>
          <w:rFonts w:eastAsia="Calibri"/>
        </w:rPr>
        <w:t xml:space="preserve">The right to adequate housing and shelter continued to be widely violated in the Syrian Arab Republic. A lack of clear procedures regarding reclaiming property, and a complex system of overlapping system of laws, created significant barriers to return. Housing land and property frameworks </w:t>
      </w:r>
      <w:proofErr w:type="gramStart"/>
      <w:r w:rsidR="000C0114" w:rsidRPr="008B0EF4">
        <w:rPr>
          <w:rFonts w:eastAsia="Calibri"/>
        </w:rPr>
        <w:t>were used</w:t>
      </w:r>
      <w:proofErr w:type="gramEnd"/>
      <w:r w:rsidR="000C0114" w:rsidRPr="008B0EF4">
        <w:rPr>
          <w:rFonts w:eastAsia="Calibri"/>
        </w:rPr>
        <w:t xml:space="preserve"> to punish individuals broadly perceived to be associated with opposition groups, including activists, who documented violations by </w:t>
      </w:r>
      <w:r w:rsidR="004E1A3B">
        <w:rPr>
          <w:rFonts w:eastAsia="Calibri"/>
        </w:rPr>
        <w:t>g</w:t>
      </w:r>
      <w:r w:rsidR="000C0114" w:rsidRPr="008B0EF4">
        <w:rPr>
          <w:rFonts w:eastAsia="Calibri"/>
        </w:rPr>
        <w:t>overnment forces.</w:t>
      </w:r>
      <w:r w:rsidR="00BE75A6" w:rsidRPr="008B0EF4">
        <w:rPr>
          <w:rStyle w:val="FootnoteReference"/>
          <w:rFonts w:eastAsia="Calibri"/>
        </w:rPr>
        <w:footnoteReference w:id="42"/>
      </w:r>
    </w:p>
    <w:p w14:paraId="6AB7426F" w14:textId="304562C2" w:rsidR="000C0114" w:rsidRPr="008B0EF4" w:rsidRDefault="001B3EED" w:rsidP="000C0114">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76</w:t>
      </w:r>
      <w:r w:rsidR="006A33EC" w:rsidRPr="008B0EF4">
        <w:rPr>
          <w:rFonts w:eastAsia="Calibri"/>
        </w:rPr>
        <w:t>.</w:t>
      </w:r>
      <w:r w:rsidR="00BE75A6" w:rsidRPr="008B0EF4">
        <w:rPr>
          <w:rFonts w:eastAsia="Calibri"/>
        </w:rPr>
        <w:tab/>
      </w:r>
      <w:r w:rsidR="000C0114" w:rsidRPr="008B0EF4">
        <w:rPr>
          <w:rFonts w:eastAsia="Calibri"/>
        </w:rPr>
        <w:t xml:space="preserve">Interviewees outlined the cumbersome administrative </w:t>
      </w:r>
      <w:r w:rsidRPr="008B0EF4">
        <w:rPr>
          <w:rFonts w:eastAsia="Calibri"/>
        </w:rPr>
        <w:t>burden upon those wishing to re</w:t>
      </w:r>
      <w:r w:rsidR="00B51749" w:rsidRPr="008B0EF4">
        <w:rPr>
          <w:rFonts w:eastAsia="Calibri"/>
        </w:rPr>
        <w:t>t</w:t>
      </w:r>
      <w:r w:rsidR="000C0114" w:rsidRPr="008B0EF4">
        <w:rPr>
          <w:rFonts w:eastAsia="Calibri"/>
        </w:rPr>
        <w:t xml:space="preserve">urn to their places of origin. Individuals wishing to claim their </w:t>
      </w:r>
      <w:r w:rsidR="000C0114" w:rsidRPr="00B857CD">
        <w:rPr>
          <w:rFonts w:eastAsia="Calibri"/>
        </w:rPr>
        <w:t xml:space="preserve">property in </w:t>
      </w:r>
      <w:proofErr w:type="spellStart"/>
      <w:r w:rsidR="000C0114" w:rsidRPr="00B857CD">
        <w:rPr>
          <w:rFonts w:eastAsia="Calibri"/>
        </w:rPr>
        <w:t>Bayada</w:t>
      </w:r>
      <w:r w:rsidR="00B857CD" w:rsidRPr="00B857CD">
        <w:rPr>
          <w:rFonts w:eastAsia="Calibri"/>
        </w:rPr>
        <w:t>h</w:t>
      </w:r>
      <w:proofErr w:type="spellEnd"/>
      <w:r w:rsidR="000C0114" w:rsidRPr="00B857CD">
        <w:rPr>
          <w:rFonts w:eastAsia="Calibri"/>
        </w:rPr>
        <w:t xml:space="preserve">, Homs Governorate, </w:t>
      </w:r>
      <w:r w:rsidR="004E1A3B" w:rsidRPr="00B857CD">
        <w:rPr>
          <w:rFonts w:eastAsia="Calibri"/>
        </w:rPr>
        <w:t>we</w:t>
      </w:r>
      <w:r w:rsidR="000C0114" w:rsidRPr="00B857CD">
        <w:rPr>
          <w:rFonts w:eastAsia="Calibri"/>
        </w:rPr>
        <w:t>re required to present proof of ownership to the Office of the Governorate</w:t>
      </w:r>
      <w:r w:rsidR="000C0114" w:rsidRPr="008B0EF4">
        <w:rPr>
          <w:rFonts w:eastAsia="Calibri"/>
        </w:rPr>
        <w:t xml:space="preserve"> and then approach the </w:t>
      </w:r>
      <w:r w:rsidR="000C0114" w:rsidRPr="00B857CD">
        <w:rPr>
          <w:rFonts w:eastAsia="Calibri"/>
        </w:rPr>
        <w:t>Criminal Security Branch</w:t>
      </w:r>
      <w:r w:rsidR="000C0114" w:rsidRPr="008B0EF4">
        <w:rPr>
          <w:rFonts w:eastAsia="Calibri"/>
        </w:rPr>
        <w:t xml:space="preserve"> to clear their records. Once cleared, they were required go to the local police. Many people who applied to return </w:t>
      </w:r>
      <w:proofErr w:type="gramStart"/>
      <w:r w:rsidR="000C0114" w:rsidRPr="008B0EF4">
        <w:rPr>
          <w:rFonts w:eastAsia="Calibri"/>
        </w:rPr>
        <w:t>were not cleared</w:t>
      </w:r>
      <w:proofErr w:type="gramEnd"/>
      <w:r w:rsidR="000C0114" w:rsidRPr="008B0EF4">
        <w:rPr>
          <w:rFonts w:eastAsia="Calibri"/>
        </w:rPr>
        <w:t xml:space="preserve"> and the reasons for denial were not specified nor provided in writing, preventing them from challenging the decision. </w:t>
      </w:r>
    </w:p>
    <w:p w14:paraId="137C8AC6" w14:textId="058AB0A7" w:rsidR="000C0114" w:rsidRPr="008B0EF4" w:rsidRDefault="001B3EED" w:rsidP="000C0114">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77</w:t>
      </w:r>
      <w:r w:rsidR="006A33EC" w:rsidRPr="008B0EF4">
        <w:rPr>
          <w:rFonts w:eastAsia="Calibri"/>
        </w:rPr>
        <w:t>.</w:t>
      </w:r>
      <w:r w:rsidR="00BE75A6" w:rsidRPr="008B0EF4">
        <w:rPr>
          <w:rFonts w:eastAsia="Calibri"/>
        </w:rPr>
        <w:tab/>
      </w:r>
      <w:r w:rsidR="000C0114" w:rsidRPr="008B0EF4">
        <w:rPr>
          <w:rFonts w:eastAsia="Calibri"/>
        </w:rPr>
        <w:t xml:space="preserve">The payment of utility charges further complicated return. In eastern </w:t>
      </w:r>
      <w:proofErr w:type="spellStart"/>
      <w:r w:rsidR="0038189E" w:rsidRPr="00B857CD">
        <w:rPr>
          <w:rFonts w:eastAsia="Calibri"/>
        </w:rPr>
        <w:t>Ghutah</w:t>
      </w:r>
      <w:proofErr w:type="spellEnd"/>
      <w:r w:rsidR="000C0114" w:rsidRPr="00B857CD">
        <w:rPr>
          <w:rFonts w:eastAsia="Calibri"/>
        </w:rPr>
        <w:t xml:space="preserve">, </w:t>
      </w:r>
      <w:proofErr w:type="spellStart"/>
      <w:r w:rsidR="00B857CD" w:rsidRPr="00D6133C">
        <w:rPr>
          <w:rFonts w:eastAsia="Calibri"/>
        </w:rPr>
        <w:t>Hulah</w:t>
      </w:r>
      <w:proofErr w:type="spellEnd"/>
      <w:r w:rsidR="000C0114" w:rsidRPr="00B857CD">
        <w:rPr>
          <w:rFonts w:eastAsia="Calibri"/>
        </w:rPr>
        <w:t>, Rif Homs</w:t>
      </w:r>
      <w:r w:rsidR="000C0114" w:rsidRPr="008B0EF4">
        <w:rPr>
          <w:rFonts w:eastAsia="Calibri"/>
        </w:rPr>
        <w:t xml:space="preserve"> and Homs </w:t>
      </w:r>
      <w:r w:rsidR="004E1A3B">
        <w:rPr>
          <w:rFonts w:eastAsia="Calibri"/>
        </w:rPr>
        <w:t>C</w:t>
      </w:r>
      <w:r w:rsidR="000C0114" w:rsidRPr="008B0EF4">
        <w:rPr>
          <w:rFonts w:eastAsia="Calibri"/>
        </w:rPr>
        <w:t xml:space="preserve">ity, those wishing to return to their houses </w:t>
      </w:r>
      <w:r w:rsidR="004E1A3B">
        <w:rPr>
          <w:rFonts w:eastAsia="Calibri"/>
        </w:rPr>
        <w:t>we</w:t>
      </w:r>
      <w:r w:rsidR="000C0114" w:rsidRPr="008B0EF4">
        <w:rPr>
          <w:rFonts w:eastAsia="Calibri"/>
        </w:rPr>
        <w:t xml:space="preserve">re required to pay utility charges for the entire period of the conflict, including times </w:t>
      </w:r>
      <w:r w:rsidR="004E1A3B">
        <w:rPr>
          <w:rFonts w:eastAsia="Calibri"/>
        </w:rPr>
        <w:t>during which</w:t>
      </w:r>
      <w:r w:rsidR="004E1A3B" w:rsidRPr="008B0EF4">
        <w:rPr>
          <w:rFonts w:eastAsia="Calibri"/>
        </w:rPr>
        <w:t xml:space="preserve"> </w:t>
      </w:r>
      <w:r w:rsidR="000C0114" w:rsidRPr="008B0EF4">
        <w:rPr>
          <w:rFonts w:eastAsia="Calibri"/>
        </w:rPr>
        <w:t xml:space="preserve">the services were not in place or the individual </w:t>
      </w:r>
      <w:r w:rsidR="004E1A3B">
        <w:rPr>
          <w:rFonts w:eastAsia="Calibri"/>
        </w:rPr>
        <w:t>did</w:t>
      </w:r>
      <w:r w:rsidR="004E1A3B" w:rsidRPr="008B0EF4">
        <w:rPr>
          <w:rFonts w:eastAsia="Calibri"/>
        </w:rPr>
        <w:t xml:space="preserve"> </w:t>
      </w:r>
      <w:r w:rsidR="000C0114" w:rsidRPr="008B0EF4">
        <w:rPr>
          <w:rFonts w:eastAsia="Calibri"/>
        </w:rPr>
        <w:t xml:space="preserve">not benefit from </w:t>
      </w:r>
      <w:r w:rsidR="004E1A3B">
        <w:rPr>
          <w:rFonts w:eastAsia="Calibri"/>
        </w:rPr>
        <w:t xml:space="preserve">such </w:t>
      </w:r>
      <w:r w:rsidR="000C0114" w:rsidRPr="008B0EF4">
        <w:rPr>
          <w:rFonts w:eastAsia="Calibri"/>
        </w:rPr>
        <w:t xml:space="preserve">utilities. This placed a prohibitively expensive burden upon civilians. </w:t>
      </w:r>
    </w:p>
    <w:p w14:paraId="2BE4775E" w14:textId="10BDF99B" w:rsidR="000C0114" w:rsidRPr="00E34B79" w:rsidRDefault="001B3EED" w:rsidP="000C0114">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78</w:t>
      </w:r>
      <w:r w:rsidR="006A33EC" w:rsidRPr="008B0EF4">
        <w:rPr>
          <w:rFonts w:eastAsia="Calibri"/>
        </w:rPr>
        <w:t>.</w:t>
      </w:r>
      <w:r w:rsidR="00BE75A6" w:rsidRPr="008B0EF4">
        <w:rPr>
          <w:rFonts w:eastAsia="Calibri"/>
        </w:rPr>
        <w:tab/>
      </w:r>
      <w:r w:rsidR="000C0114" w:rsidRPr="008B0EF4">
        <w:rPr>
          <w:rFonts w:eastAsia="Calibri"/>
        </w:rPr>
        <w:t xml:space="preserve">In </w:t>
      </w:r>
      <w:r w:rsidR="000C0114" w:rsidRPr="00B857CD">
        <w:rPr>
          <w:rFonts w:eastAsia="Calibri"/>
        </w:rPr>
        <w:t xml:space="preserve">areas such as </w:t>
      </w:r>
      <w:proofErr w:type="spellStart"/>
      <w:r w:rsidR="000C0114" w:rsidRPr="00B857CD">
        <w:rPr>
          <w:rFonts w:eastAsia="Calibri"/>
        </w:rPr>
        <w:t>Qusa</w:t>
      </w:r>
      <w:r w:rsidR="00B857CD" w:rsidRPr="00D6133C">
        <w:rPr>
          <w:rFonts w:eastAsia="Calibri"/>
        </w:rPr>
        <w:t>y</w:t>
      </w:r>
      <w:r w:rsidR="000C0114" w:rsidRPr="00B857CD">
        <w:rPr>
          <w:rFonts w:eastAsia="Calibri"/>
        </w:rPr>
        <w:t>r</w:t>
      </w:r>
      <w:proofErr w:type="spellEnd"/>
      <w:r w:rsidR="000C0114" w:rsidRPr="00B857CD">
        <w:rPr>
          <w:rFonts w:eastAsia="Calibri"/>
        </w:rPr>
        <w:t xml:space="preserve">, </w:t>
      </w:r>
      <w:proofErr w:type="spellStart"/>
      <w:r w:rsidR="00EF59AE" w:rsidRPr="00B857CD">
        <w:rPr>
          <w:rFonts w:eastAsia="Calibri"/>
        </w:rPr>
        <w:t>Dar‘</w:t>
      </w:r>
      <w:proofErr w:type="gramStart"/>
      <w:r w:rsidR="00EF59AE" w:rsidRPr="00B857CD">
        <w:rPr>
          <w:rFonts w:eastAsia="Calibri"/>
        </w:rPr>
        <w:t>a</w:t>
      </w:r>
      <w:proofErr w:type="spellEnd"/>
      <w:r w:rsidR="000C0114" w:rsidRPr="00B857CD">
        <w:rPr>
          <w:rFonts w:eastAsia="Calibri"/>
        </w:rPr>
        <w:t xml:space="preserve"> and</w:t>
      </w:r>
      <w:proofErr w:type="gramEnd"/>
      <w:r w:rsidR="000C0114" w:rsidRPr="00B857CD">
        <w:rPr>
          <w:rFonts w:eastAsia="Calibri"/>
        </w:rPr>
        <w:t xml:space="preserve"> </w:t>
      </w:r>
      <w:proofErr w:type="spellStart"/>
      <w:r w:rsidR="000C0114" w:rsidRPr="00B857CD">
        <w:rPr>
          <w:rFonts w:eastAsia="Calibri"/>
        </w:rPr>
        <w:t>Daray</w:t>
      </w:r>
      <w:r w:rsidR="00B857CD" w:rsidRPr="00D6133C">
        <w:rPr>
          <w:rFonts w:eastAsia="Calibri"/>
        </w:rPr>
        <w:t>y</w:t>
      </w:r>
      <w:r w:rsidR="000C0114" w:rsidRPr="00B857CD">
        <w:rPr>
          <w:rFonts w:eastAsia="Calibri"/>
        </w:rPr>
        <w:t>a</w:t>
      </w:r>
      <w:proofErr w:type="spellEnd"/>
      <w:r w:rsidR="000C0114" w:rsidRPr="00B857CD">
        <w:rPr>
          <w:rFonts w:eastAsia="Calibri"/>
        </w:rPr>
        <w:t>, certain</w:t>
      </w:r>
      <w:r w:rsidR="000C0114" w:rsidRPr="008B0EF4">
        <w:rPr>
          <w:rFonts w:eastAsia="Calibri"/>
        </w:rPr>
        <w:t xml:space="preserve"> segments of the civilian population were compelled by pro-</w:t>
      </w:r>
      <w:r w:rsidR="004E1A3B">
        <w:rPr>
          <w:rFonts w:eastAsia="Calibri"/>
        </w:rPr>
        <w:t>g</w:t>
      </w:r>
      <w:r w:rsidR="000C0114" w:rsidRPr="008B0EF4">
        <w:rPr>
          <w:rFonts w:eastAsia="Calibri"/>
        </w:rPr>
        <w:t xml:space="preserve">overnment forces to sell their property at greatly reduced prices. Moreover, interviewees described that notices </w:t>
      </w:r>
      <w:proofErr w:type="gramStart"/>
      <w:r w:rsidR="000C0114" w:rsidRPr="008B0EF4">
        <w:rPr>
          <w:rFonts w:eastAsia="Calibri"/>
        </w:rPr>
        <w:t>were put</w:t>
      </w:r>
      <w:proofErr w:type="gramEnd"/>
      <w:r w:rsidR="000C0114" w:rsidRPr="008B0EF4">
        <w:rPr>
          <w:rFonts w:eastAsia="Calibri"/>
        </w:rPr>
        <w:t xml:space="preserve"> on houses stating that within a month of the notice the claimant must appear before the cadastral office to file a claim. However, the owners of the properties were often barred from entering the city within the </w:t>
      </w:r>
      <w:proofErr w:type="gramStart"/>
      <w:r w:rsidR="000C0114" w:rsidRPr="008B0EF4">
        <w:rPr>
          <w:rFonts w:eastAsia="Calibri"/>
        </w:rPr>
        <w:t>time period</w:t>
      </w:r>
      <w:proofErr w:type="gramEnd"/>
      <w:r w:rsidR="000C0114" w:rsidRPr="008B0EF4">
        <w:rPr>
          <w:rFonts w:eastAsia="Calibri"/>
        </w:rPr>
        <w:t xml:space="preserve">. In areas such </w:t>
      </w:r>
      <w:r w:rsidR="000C0114" w:rsidRPr="00B857CD">
        <w:rPr>
          <w:rFonts w:eastAsia="Calibri"/>
        </w:rPr>
        <w:t xml:space="preserve">as </w:t>
      </w:r>
      <w:proofErr w:type="spellStart"/>
      <w:r w:rsidR="000C0114" w:rsidRPr="00B857CD">
        <w:rPr>
          <w:rFonts w:eastAsia="Calibri"/>
        </w:rPr>
        <w:t>Qus</w:t>
      </w:r>
      <w:r w:rsidR="00B857CD" w:rsidRPr="00D6133C">
        <w:rPr>
          <w:rFonts w:eastAsia="Calibri"/>
        </w:rPr>
        <w:t>ay</w:t>
      </w:r>
      <w:r w:rsidR="000C0114" w:rsidRPr="00B857CD">
        <w:rPr>
          <w:rFonts w:eastAsia="Calibri"/>
        </w:rPr>
        <w:t>r</w:t>
      </w:r>
      <w:proofErr w:type="spellEnd"/>
      <w:r w:rsidR="000C0114" w:rsidRPr="00B857CD">
        <w:rPr>
          <w:rFonts w:eastAsia="Calibri"/>
        </w:rPr>
        <w:t>, displaced</w:t>
      </w:r>
      <w:r w:rsidR="000C0114" w:rsidRPr="008B0EF4">
        <w:rPr>
          <w:rFonts w:eastAsia="Calibri"/>
        </w:rPr>
        <w:t xml:space="preserve"> persons returned to their homes and found their houses </w:t>
      </w:r>
      <w:proofErr w:type="gramStart"/>
      <w:r w:rsidR="000C0114" w:rsidRPr="008B0EF4">
        <w:rPr>
          <w:rFonts w:eastAsia="Calibri"/>
        </w:rPr>
        <w:t xml:space="preserve">being </w:t>
      </w:r>
      <w:r w:rsidR="000C0114" w:rsidRPr="00E34B79">
        <w:rPr>
          <w:rFonts w:eastAsia="Calibri"/>
        </w:rPr>
        <w:t>occupied</w:t>
      </w:r>
      <w:proofErr w:type="gramEnd"/>
      <w:r w:rsidR="000C0114" w:rsidRPr="00E34B79">
        <w:rPr>
          <w:rFonts w:eastAsia="Calibri"/>
        </w:rPr>
        <w:t xml:space="preserve"> by relatives of members of the security forces or armed groups. </w:t>
      </w:r>
    </w:p>
    <w:p w14:paraId="76C415C8" w14:textId="3D19C207" w:rsidR="000C0114" w:rsidRPr="008B0EF4" w:rsidRDefault="001B3EED" w:rsidP="000C0114">
      <w:pPr>
        <w:suppressAutoHyphens/>
        <w:kinsoku w:val="0"/>
        <w:overflowPunct w:val="0"/>
        <w:autoSpaceDE w:val="0"/>
        <w:autoSpaceDN w:val="0"/>
        <w:adjustRightInd w:val="0"/>
        <w:snapToGrid w:val="0"/>
        <w:spacing w:after="120" w:line="240" w:lineRule="atLeast"/>
        <w:ind w:left="1134" w:right="1134"/>
        <w:jc w:val="both"/>
        <w:rPr>
          <w:rFonts w:eastAsia="Calibri"/>
        </w:rPr>
      </w:pPr>
      <w:proofErr w:type="gramStart"/>
      <w:r w:rsidRPr="00E34B79">
        <w:rPr>
          <w:rFonts w:eastAsia="Calibri"/>
        </w:rPr>
        <w:t>79</w:t>
      </w:r>
      <w:r w:rsidR="004C6F68" w:rsidRPr="00E34B79">
        <w:rPr>
          <w:rFonts w:eastAsia="Calibri"/>
        </w:rPr>
        <w:t>.</w:t>
      </w:r>
      <w:r w:rsidR="00BE75A6" w:rsidRPr="00E34B79">
        <w:rPr>
          <w:rFonts w:eastAsia="Calibri"/>
        </w:rPr>
        <w:tab/>
      </w:r>
      <w:r w:rsidR="000C0114" w:rsidRPr="00E34B79">
        <w:rPr>
          <w:rFonts w:eastAsia="Calibri"/>
        </w:rPr>
        <w:t xml:space="preserve">In areas such as </w:t>
      </w:r>
      <w:proofErr w:type="spellStart"/>
      <w:r w:rsidR="000C0114" w:rsidRPr="00E34B79">
        <w:rPr>
          <w:rFonts w:eastAsia="Calibri"/>
        </w:rPr>
        <w:t>Qadam</w:t>
      </w:r>
      <w:proofErr w:type="spellEnd"/>
      <w:r w:rsidR="004E1A3B" w:rsidRPr="00E34B79">
        <w:rPr>
          <w:rFonts w:eastAsia="Calibri"/>
        </w:rPr>
        <w:t>,</w:t>
      </w:r>
      <w:r w:rsidR="000C0114" w:rsidRPr="00E34B79">
        <w:rPr>
          <w:rFonts w:eastAsia="Calibri"/>
        </w:rPr>
        <w:t xml:space="preserve"> as well as in parts of </w:t>
      </w:r>
      <w:proofErr w:type="spellStart"/>
      <w:r w:rsidR="000C0114" w:rsidRPr="00E34B79">
        <w:rPr>
          <w:rFonts w:eastAsia="Calibri"/>
        </w:rPr>
        <w:t>Qabun</w:t>
      </w:r>
      <w:proofErr w:type="spellEnd"/>
      <w:r w:rsidR="000C0114" w:rsidRPr="00E34B79">
        <w:rPr>
          <w:rFonts w:eastAsia="Calibri"/>
        </w:rPr>
        <w:t>, Damascus, displaced</w:t>
      </w:r>
      <w:r w:rsidR="000C0114" w:rsidRPr="008B0EF4">
        <w:rPr>
          <w:rFonts w:eastAsia="Calibri"/>
        </w:rPr>
        <w:t xml:space="preserve"> residents were prevented by </w:t>
      </w:r>
      <w:r w:rsidR="004E1A3B">
        <w:rPr>
          <w:rFonts w:eastAsia="Calibri"/>
        </w:rPr>
        <w:t>g</w:t>
      </w:r>
      <w:r w:rsidR="000C0114" w:rsidRPr="008B0EF4">
        <w:rPr>
          <w:rFonts w:eastAsia="Calibri"/>
        </w:rPr>
        <w:t>overnment officials from returning to their properties and visiting their houses to inspect damages</w:t>
      </w:r>
      <w:proofErr w:type="gramEnd"/>
      <w:r w:rsidR="00736142">
        <w:rPr>
          <w:rFonts w:eastAsia="Calibri"/>
        </w:rPr>
        <w:t>. I</w:t>
      </w:r>
      <w:r w:rsidR="000C0114" w:rsidRPr="008B0EF4">
        <w:rPr>
          <w:rFonts w:eastAsia="Calibri"/>
        </w:rPr>
        <w:t>f</w:t>
      </w:r>
      <w:r w:rsidR="00736142">
        <w:rPr>
          <w:rFonts w:eastAsia="Calibri"/>
        </w:rPr>
        <w:t xml:space="preserve"> they </w:t>
      </w:r>
      <w:proofErr w:type="gramStart"/>
      <w:r w:rsidR="00736142">
        <w:rPr>
          <w:rFonts w:eastAsia="Calibri"/>
        </w:rPr>
        <w:t>were</w:t>
      </w:r>
      <w:r w:rsidR="000C0114" w:rsidRPr="008B0EF4">
        <w:rPr>
          <w:rFonts w:eastAsia="Calibri"/>
        </w:rPr>
        <w:t xml:space="preserve"> allowed</w:t>
      </w:r>
      <w:proofErr w:type="gramEnd"/>
      <w:r w:rsidR="000C0114" w:rsidRPr="008B0EF4">
        <w:rPr>
          <w:rFonts w:eastAsia="Calibri"/>
        </w:rPr>
        <w:t xml:space="preserve">, </w:t>
      </w:r>
      <w:r w:rsidR="00736142">
        <w:rPr>
          <w:rFonts w:eastAsia="Calibri"/>
        </w:rPr>
        <w:t xml:space="preserve">it was </w:t>
      </w:r>
      <w:r w:rsidR="000C0114" w:rsidRPr="008B0EF4">
        <w:rPr>
          <w:rFonts w:eastAsia="Calibri"/>
        </w:rPr>
        <w:t xml:space="preserve">only for a few hours. </w:t>
      </w:r>
      <w:proofErr w:type="gramStart"/>
      <w:r w:rsidR="000C0114" w:rsidRPr="008B0EF4">
        <w:rPr>
          <w:rFonts w:eastAsia="Calibri"/>
        </w:rPr>
        <w:t xml:space="preserve">Other residents were informed by </w:t>
      </w:r>
      <w:r w:rsidR="00736142">
        <w:rPr>
          <w:rFonts w:eastAsia="Calibri"/>
        </w:rPr>
        <w:t>g</w:t>
      </w:r>
      <w:r w:rsidR="00736142" w:rsidRPr="008B0EF4">
        <w:rPr>
          <w:rFonts w:eastAsia="Calibri"/>
        </w:rPr>
        <w:t xml:space="preserve">overnment </w:t>
      </w:r>
      <w:r w:rsidR="000C0114" w:rsidRPr="008B0EF4">
        <w:rPr>
          <w:rFonts w:eastAsia="Calibri"/>
        </w:rPr>
        <w:t>officials</w:t>
      </w:r>
      <w:proofErr w:type="gramEnd"/>
      <w:r w:rsidR="000C0114" w:rsidRPr="008B0EF4">
        <w:rPr>
          <w:rFonts w:eastAsia="Calibri"/>
        </w:rPr>
        <w:t xml:space="preserve"> that any permanent return to their homes, or reconstruction of privately owned houses, was prohibited. </w:t>
      </w:r>
    </w:p>
    <w:p w14:paraId="5B84822E" w14:textId="7C80FFCC" w:rsidR="000C0114" w:rsidRPr="008B0EF4" w:rsidRDefault="001B3EED" w:rsidP="00BE75A6">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80</w:t>
      </w:r>
      <w:r w:rsidR="004C6F68" w:rsidRPr="008B0EF4">
        <w:rPr>
          <w:rFonts w:eastAsia="Calibri"/>
        </w:rPr>
        <w:t>.</w:t>
      </w:r>
      <w:r w:rsidR="00BE75A6" w:rsidRPr="008B0EF4">
        <w:rPr>
          <w:rFonts w:eastAsia="Calibri"/>
        </w:rPr>
        <w:tab/>
      </w:r>
      <w:r w:rsidR="000C0114" w:rsidRPr="008B0EF4">
        <w:rPr>
          <w:rFonts w:eastAsia="Calibri"/>
        </w:rPr>
        <w:t xml:space="preserve">Under the principles on housing and property restitution for refugees and displaced persons, refugees and </w:t>
      </w:r>
      <w:r w:rsidR="000C0114" w:rsidRPr="00E642B3">
        <w:rPr>
          <w:rFonts w:eastAsia="Calibri"/>
        </w:rPr>
        <w:t xml:space="preserve">internally displaced </w:t>
      </w:r>
      <w:r w:rsidR="00D6133C" w:rsidRPr="00E642B3">
        <w:rPr>
          <w:rFonts w:eastAsia="Calibri"/>
        </w:rPr>
        <w:t xml:space="preserve">persons </w:t>
      </w:r>
      <w:proofErr w:type="gramStart"/>
      <w:r w:rsidR="000C0114" w:rsidRPr="00E642B3">
        <w:rPr>
          <w:rFonts w:eastAsia="Calibri"/>
        </w:rPr>
        <w:t>should be protected</w:t>
      </w:r>
      <w:proofErr w:type="gramEnd"/>
      <w:r w:rsidR="000C0114" w:rsidRPr="00E642B3">
        <w:rPr>
          <w:rFonts w:eastAsia="Calibri"/>
        </w:rPr>
        <w:t xml:space="preserve"> from discriminatory housing, land and restitution laws.</w:t>
      </w:r>
      <w:r w:rsidR="00BE75A6" w:rsidRPr="00E642B3">
        <w:rPr>
          <w:rStyle w:val="FootnoteReference"/>
          <w:rFonts w:eastAsia="Calibri"/>
        </w:rPr>
        <w:footnoteReference w:id="43"/>
      </w:r>
      <w:r w:rsidR="000C0114" w:rsidRPr="00E642B3">
        <w:rPr>
          <w:rFonts w:eastAsia="Calibri"/>
        </w:rPr>
        <w:t xml:space="preserve"> By imposing arbitrary </w:t>
      </w:r>
      <w:r w:rsidR="00736142" w:rsidRPr="00E642B3">
        <w:rPr>
          <w:rFonts w:eastAsia="Calibri"/>
        </w:rPr>
        <w:t xml:space="preserve">restrictions on </w:t>
      </w:r>
      <w:r w:rsidR="000C0114" w:rsidRPr="00E642B3">
        <w:rPr>
          <w:rFonts w:eastAsia="Calibri"/>
        </w:rPr>
        <w:t>movement</w:t>
      </w:r>
      <w:r w:rsidR="00736142" w:rsidRPr="00E642B3">
        <w:rPr>
          <w:rFonts w:eastAsia="Calibri"/>
        </w:rPr>
        <w:t>s</w:t>
      </w:r>
      <w:r w:rsidR="000C0114" w:rsidRPr="00E642B3">
        <w:rPr>
          <w:rFonts w:eastAsia="Calibri"/>
        </w:rPr>
        <w:t xml:space="preserve"> and denying freedom of movemen</w:t>
      </w:r>
      <w:r w:rsidR="00B51749" w:rsidRPr="00E642B3">
        <w:rPr>
          <w:rFonts w:eastAsia="Calibri"/>
        </w:rPr>
        <w:t>t</w:t>
      </w:r>
      <w:r w:rsidR="00D6133C" w:rsidRPr="00E642B3">
        <w:rPr>
          <w:rFonts w:eastAsia="Calibri"/>
        </w:rPr>
        <w:t>,</w:t>
      </w:r>
      <w:r w:rsidR="000C0114" w:rsidRPr="00E642B3">
        <w:rPr>
          <w:rFonts w:eastAsia="Calibri"/>
        </w:rPr>
        <w:t xml:space="preserve"> </w:t>
      </w:r>
      <w:r w:rsidR="00D6133C" w:rsidRPr="00E642B3">
        <w:rPr>
          <w:rFonts w:eastAsia="Calibri"/>
        </w:rPr>
        <w:t>i</w:t>
      </w:r>
      <w:r w:rsidR="000C0114" w:rsidRPr="00E642B3">
        <w:rPr>
          <w:rFonts w:eastAsia="Calibri"/>
        </w:rPr>
        <w:t xml:space="preserve">n addition to unlawfully depriving individuals </w:t>
      </w:r>
      <w:r w:rsidR="00D6133C" w:rsidRPr="00E642B3">
        <w:rPr>
          <w:rFonts w:eastAsia="Calibri"/>
        </w:rPr>
        <w:t xml:space="preserve">of </w:t>
      </w:r>
      <w:r w:rsidR="000C0114" w:rsidRPr="00E642B3">
        <w:rPr>
          <w:rFonts w:eastAsia="Calibri"/>
        </w:rPr>
        <w:t>their</w:t>
      </w:r>
      <w:r w:rsidR="000C0114" w:rsidRPr="008B0EF4">
        <w:rPr>
          <w:rFonts w:eastAsia="Calibri"/>
        </w:rPr>
        <w:t xml:space="preserve"> property in previously besieged areas</w:t>
      </w:r>
      <w:r w:rsidR="00736142">
        <w:rPr>
          <w:rFonts w:eastAsia="Calibri"/>
        </w:rPr>
        <w:t>,</w:t>
      </w:r>
      <w:r w:rsidR="000C0114" w:rsidRPr="008B0EF4">
        <w:rPr>
          <w:rFonts w:eastAsia="Calibri"/>
        </w:rPr>
        <w:t xml:space="preserve"> including eastern </w:t>
      </w:r>
      <w:proofErr w:type="spellStart"/>
      <w:r w:rsidR="0038189E">
        <w:rPr>
          <w:rFonts w:eastAsia="Calibri"/>
        </w:rPr>
        <w:t>Ghutah</w:t>
      </w:r>
      <w:proofErr w:type="spellEnd"/>
      <w:r w:rsidR="000C0114" w:rsidRPr="008B0EF4">
        <w:rPr>
          <w:rFonts w:eastAsia="Calibri"/>
        </w:rPr>
        <w:t xml:space="preserve">, </w:t>
      </w:r>
      <w:r w:rsidR="00736142">
        <w:rPr>
          <w:rFonts w:eastAsia="Calibri"/>
        </w:rPr>
        <w:t>g</w:t>
      </w:r>
      <w:r w:rsidR="000C0114" w:rsidRPr="008B0EF4">
        <w:rPr>
          <w:rFonts w:eastAsia="Calibri"/>
        </w:rPr>
        <w:t>overnment forces may have committed the war crime of collective punishment.</w:t>
      </w:r>
      <w:r w:rsidR="00BE75A6" w:rsidRPr="008B0EF4">
        <w:rPr>
          <w:rStyle w:val="FootnoteReference"/>
          <w:rFonts w:eastAsia="Calibri"/>
        </w:rPr>
        <w:footnoteReference w:id="44"/>
      </w:r>
    </w:p>
    <w:p w14:paraId="0583078A" w14:textId="77777777" w:rsidR="007300E3" w:rsidRPr="008B0EF4" w:rsidRDefault="007300E3" w:rsidP="00BE75A6">
      <w:pPr>
        <w:pStyle w:val="HChG"/>
      </w:pPr>
      <w:r w:rsidRPr="008B0EF4">
        <w:tab/>
      </w:r>
      <w:bookmarkStart w:id="17" w:name="_Toc16754917"/>
      <w:r w:rsidRPr="008B0EF4">
        <w:t>V.</w:t>
      </w:r>
      <w:r w:rsidRPr="008B0EF4">
        <w:tab/>
        <w:t>Impact of the ongoing conflict</w:t>
      </w:r>
      <w:bookmarkEnd w:id="17"/>
    </w:p>
    <w:p w14:paraId="0EC4F108" w14:textId="5567B89C" w:rsidR="00BE75A6" w:rsidRPr="00B119CF" w:rsidRDefault="00BE75A6" w:rsidP="00BE75A6">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8</w:t>
      </w:r>
      <w:r w:rsidR="001B3EED" w:rsidRPr="008B0EF4">
        <w:rPr>
          <w:rFonts w:eastAsia="Calibri"/>
        </w:rPr>
        <w:t>1</w:t>
      </w:r>
      <w:r w:rsidR="004C6F68" w:rsidRPr="008B0EF4">
        <w:rPr>
          <w:rFonts w:eastAsia="Calibri"/>
        </w:rPr>
        <w:t>.</w:t>
      </w:r>
      <w:r w:rsidRPr="008B0EF4">
        <w:rPr>
          <w:rFonts w:eastAsia="Calibri"/>
        </w:rPr>
        <w:t xml:space="preserve">  </w:t>
      </w:r>
      <w:r w:rsidRPr="008B0EF4">
        <w:rPr>
          <w:rFonts w:eastAsia="Calibri"/>
        </w:rPr>
        <w:tab/>
        <w:t xml:space="preserve">As violence has engulfed life in </w:t>
      </w:r>
      <w:r w:rsidR="00C444D1">
        <w:rPr>
          <w:rFonts w:eastAsia="Calibri"/>
        </w:rPr>
        <w:t xml:space="preserve">the </w:t>
      </w:r>
      <w:r w:rsidRPr="008B0EF4">
        <w:rPr>
          <w:rFonts w:eastAsia="Calibri"/>
        </w:rPr>
        <w:t>Syrian</w:t>
      </w:r>
      <w:r w:rsidR="00C444D1">
        <w:rPr>
          <w:rFonts w:eastAsia="Calibri"/>
        </w:rPr>
        <w:t xml:space="preserve"> Arab Republic</w:t>
      </w:r>
      <w:r w:rsidRPr="008B0EF4">
        <w:rPr>
          <w:rFonts w:eastAsia="Calibri"/>
        </w:rPr>
        <w:t xml:space="preserve">, civilians have fled their homes in desperation searching for safe heavens. Often, individuals suffer </w:t>
      </w:r>
      <w:proofErr w:type="gramStart"/>
      <w:r w:rsidRPr="008B0EF4">
        <w:rPr>
          <w:rFonts w:eastAsia="Calibri"/>
        </w:rPr>
        <w:t>on the basis of</w:t>
      </w:r>
      <w:proofErr w:type="gramEnd"/>
      <w:r w:rsidRPr="008B0EF4">
        <w:rPr>
          <w:rFonts w:eastAsia="Calibri"/>
        </w:rPr>
        <w:t xml:space="preserve"> multiple aspects of their identity, including their gender, age or ethnicity. </w:t>
      </w:r>
      <w:r w:rsidR="00B51749" w:rsidRPr="008B0EF4">
        <w:rPr>
          <w:rFonts w:eastAsia="Calibri"/>
        </w:rPr>
        <w:t>Displacement fragments</w:t>
      </w:r>
      <w:r w:rsidRPr="008B0EF4">
        <w:rPr>
          <w:rFonts w:eastAsia="Calibri"/>
        </w:rPr>
        <w:t xml:space="preserve"> communities and causes family separation, thus magnifying the impact of </w:t>
      </w:r>
      <w:r w:rsidRPr="00B119CF">
        <w:rPr>
          <w:rFonts w:eastAsia="Calibri"/>
        </w:rPr>
        <w:t>civilians’ suffering and shaping ne</w:t>
      </w:r>
      <w:r w:rsidR="00EE7BC7" w:rsidRPr="00B119CF">
        <w:rPr>
          <w:rFonts w:eastAsia="Calibri"/>
        </w:rPr>
        <w:t>gative experiences differently.</w:t>
      </w:r>
    </w:p>
    <w:p w14:paraId="345F86B7" w14:textId="45938AA6" w:rsidR="00BE75A6" w:rsidRPr="008B0EF4" w:rsidRDefault="001B3EED" w:rsidP="00BE75A6">
      <w:pPr>
        <w:suppressAutoHyphens/>
        <w:kinsoku w:val="0"/>
        <w:overflowPunct w:val="0"/>
        <w:autoSpaceDE w:val="0"/>
        <w:autoSpaceDN w:val="0"/>
        <w:adjustRightInd w:val="0"/>
        <w:snapToGrid w:val="0"/>
        <w:spacing w:after="120" w:line="240" w:lineRule="atLeast"/>
        <w:ind w:left="1134" w:right="1134"/>
        <w:jc w:val="both"/>
        <w:rPr>
          <w:rFonts w:eastAsia="Calibri"/>
        </w:rPr>
      </w:pPr>
      <w:r w:rsidRPr="00B119CF">
        <w:rPr>
          <w:rFonts w:eastAsia="Calibri"/>
        </w:rPr>
        <w:t>82</w:t>
      </w:r>
      <w:r w:rsidR="004C6F68" w:rsidRPr="00B119CF">
        <w:rPr>
          <w:rFonts w:eastAsia="Calibri"/>
        </w:rPr>
        <w:t>.</w:t>
      </w:r>
      <w:r w:rsidR="00BE75A6" w:rsidRPr="00B119CF">
        <w:rPr>
          <w:rFonts w:eastAsia="Calibri"/>
        </w:rPr>
        <w:tab/>
        <w:t>Violence directed at the civilian population may particularly affect civilian women,</w:t>
      </w:r>
      <w:r w:rsidR="00BE75A6" w:rsidRPr="008B0EF4">
        <w:rPr>
          <w:rFonts w:eastAsia="Calibri"/>
        </w:rPr>
        <w:t xml:space="preserve"> including </w:t>
      </w:r>
      <w:r w:rsidR="00C444D1">
        <w:rPr>
          <w:rFonts w:eastAsia="Calibri"/>
        </w:rPr>
        <w:t xml:space="preserve">those </w:t>
      </w:r>
      <w:r w:rsidR="00BE75A6" w:rsidRPr="008B0EF4">
        <w:rPr>
          <w:rFonts w:eastAsia="Calibri"/>
        </w:rPr>
        <w:t xml:space="preserve">of particular ethnicities. It can also have devastating consequences for older people, especially when access to basic services remains severely curtailed. Women and children with physical and intellectual disabilities </w:t>
      </w:r>
      <w:proofErr w:type="gramStart"/>
      <w:r w:rsidR="00BE75A6" w:rsidRPr="008B0EF4">
        <w:rPr>
          <w:rFonts w:eastAsia="Calibri"/>
        </w:rPr>
        <w:t>are adversely affected</w:t>
      </w:r>
      <w:proofErr w:type="gramEnd"/>
      <w:r w:rsidR="00BE75A6" w:rsidRPr="008B0EF4">
        <w:rPr>
          <w:rFonts w:eastAsia="Calibri"/>
        </w:rPr>
        <w:t xml:space="preserve"> by the conflict, in particular when compelled to relocate to displacement camps where health</w:t>
      </w:r>
      <w:r w:rsidR="00B119CF">
        <w:rPr>
          <w:rFonts w:eastAsia="Calibri"/>
        </w:rPr>
        <w:t xml:space="preserve"> </w:t>
      </w:r>
      <w:r w:rsidR="00BE75A6" w:rsidRPr="008B0EF4">
        <w:rPr>
          <w:rFonts w:eastAsia="Calibri"/>
        </w:rPr>
        <w:t xml:space="preserve">care is largely absent. </w:t>
      </w:r>
    </w:p>
    <w:p w14:paraId="4FBFE6E8" w14:textId="77777777" w:rsidR="00BE75A6" w:rsidRPr="008B0EF4" w:rsidRDefault="00BE75A6" w:rsidP="00BE75A6">
      <w:pPr>
        <w:pStyle w:val="H1G"/>
      </w:pPr>
      <w:bookmarkStart w:id="18" w:name="_Toc16754918"/>
      <w:r w:rsidRPr="008B0EF4">
        <w:tab/>
        <w:t>A.</w:t>
      </w:r>
      <w:r w:rsidRPr="008B0EF4">
        <w:tab/>
      </w:r>
      <w:r w:rsidRPr="008B0EF4">
        <w:rPr>
          <w:rFonts w:eastAsia="Calibri"/>
        </w:rPr>
        <w:t>Internally displaced person</w:t>
      </w:r>
      <w:bookmarkEnd w:id="18"/>
      <w:r w:rsidRPr="008B0EF4">
        <w:t>s</w:t>
      </w:r>
    </w:p>
    <w:p w14:paraId="100A369D" w14:textId="483AE0A4" w:rsidR="00BE75A6" w:rsidRPr="008B0EF4" w:rsidRDefault="001B3EED" w:rsidP="00BE75A6">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83</w:t>
      </w:r>
      <w:r w:rsidR="004C6F68" w:rsidRPr="008B0EF4">
        <w:rPr>
          <w:rFonts w:eastAsia="Calibri"/>
        </w:rPr>
        <w:t>.</w:t>
      </w:r>
      <w:r w:rsidR="00BE75A6" w:rsidRPr="008B0EF4">
        <w:rPr>
          <w:rFonts w:eastAsia="Calibri"/>
        </w:rPr>
        <w:tab/>
        <w:t>At the time of writing, displaced women, men and children remain scattered, including hundreds of thousands living in overcrowded makeshift camps that dot the Syrian border, with limited access to food, water, health</w:t>
      </w:r>
      <w:r w:rsidR="00B119CF">
        <w:rPr>
          <w:rFonts w:eastAsia="Calibri"/>
        </w:rPr>
        <w:t xml:space="preserve"> </w:t>
      </w:r>
      <w:r w:rsidR="00BE75A6" w:rsidRPr="008B0EF4">
        <w:rPr>
          <w:rFonts w:eastAsia="Calibri"/>
        </w:rPr>
        <w:t xml:space="preserve">care and medicine. Elsewhere, displaced civilians remain reliant on already overstretched humanitarian </w:t>
      </w:r>
      <w:proofErr w:type="gramStart"/>
      <w:r w:rsidR="00BE75A6" w:rsidRPr="008B0EF4">
        <w:rPr>
          <w:rFonts w:eastAsia="Calibri"/>
        </w:rPr>
        <w:t>assistance which</w:t>
      </w:r>
      <w:proofErr w:type="gramEnd"/>
      <w:r w:rsidR="00BE75A6" w:rsidRPr="008B0EF4">
        <w:rPr>
          <w:rFonts w:eastAsia="Calibri"/>
        </w:rPr>
        <w:t xml:space="preserve">, if interrupted, will put their lives at risk.  Approximately 6.1 million civilians </w:t>
      </w:r>
      <w:proofErr w:type="gramStart"/>
      <w:r w:rsidR="00BE75A6" w:rsidRPr="008B0EF4">
        <w:rPr>
          <w:rFonts w:eastAsia="Calibri"/>
        </w:rPr>
        <w:t>are displaced</w:t>
      </w:r>
      <w:proofErr w:type="gramEnd"/>
      <w:r w:rsidR="00BE75A6" w:rsidRPr="008B0EF4">
        <w:rPr>
          <w:rFonts w:eastAsia="Calibri"/>
        </w:rPr>
        <w:t xml:space="preserve"> in the Syrian Arab Republic, while 5.6 million are registered as refugees outside the country.</w:t>
      </w:r>
    </w:p>
    <w:p w14:paraId="72DDE0D3" w14:textId="77777777" w:rsidR="00BE75A6" w:rsidRPr="008B0EF4" w:rsidRDefault="00BE75A6" w:rsidP="00BE75A6">
      <w:pPr>
        <w:suppressAutoHyphens/>
        <w:kinsoku w:val="0"/>
        <w:overflowPunct w:val="0"/>
        <w:autoSpaceDE w:val="0"/>
        <w:autoSpaceDN w:val="0"/>
        <w:adjustRightInd w:val="0"/>
        <w:snapToGrid w:val="0"/>
        <w:spacing w:before="240" w:after="120" w:line="240" w:lineRule="atLeast"/>
        <w:ind w:left="1134" w:right="1134"/>
        <w:jc w:val="both"/>
        <w:rPr>
          <w:rFonts w:eastAsia="Calibri"/>
          <w:i/>
        </w:rPr>
      </w:pPr>
      <w:r w:rsidRPr="008B0EF4">
        <w:rPr>
          <w:rFonts w:eastAsia="Calibri"/>
          <w:i/>
        </w:rPr>
        <w:t xml:space="preserve">Northern </w:t>
      </w:r>
      <w:proofErr w:type="spellStart"/>
      <w:r w:rsidRPr="008B0EF4">
        <w:rPr>
          <w:rFonts w:eastAsia="Calibri"/>
          <w:i/>
        </w:rPr>
        <w:t>Idlib</w:t>
      </w:r>
      <w:proofErr w:type="spellEnd"/>
      <w:r w:rsidRPr="008B0EF4">
        <w:rPr>
          <w:rFonts w:eastAsia="Calibri"/>
          <w:i/>
        </w:rPr>
        <w:t xml:space="preserve"> </w:t>
      </w:r>
    </w:p>
    <w:p w14:paraId="4506FCE8" w14:textId="1A585E6F" w:rsidR="00BE75A6" w:rsidRPr="008B0EF4" w:rsidRDefault="001B3EED" w:rsidP="00BE75A6">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84</w:t>
      </w:r>
      <w:r w:rsidR="004C6F68" w:rsidRPr="008B0EF4">
        <w:rPr>
          <w:rFonts w:eastAsia="Calibri"/>
        </w:rPr>
        <w:t>.</w:t>
      </w:r>
      <w:r w:rsidR="00BE75A6" w:rsidRPr="008B0EF4">
        <w:rPr>
          <w:rFonts w:eastAsia="Calibri"/>
        </w:rPr>
        <w:tab/>
        <w:t>Battles waged by pro-</w:t>
      </w:r>
      <w:r w:rsidR="00B119CF">
        <w:rPr>
          <w:rFonts w:eastAsia="Calibri"/>
        </w:rPr>
        <w:t>g</w:t>
      </w:r>
      <w:r w:rsidR="00BE75A6" w:rsidRPr="008B0EF4">
        <w:rPr>
          <w:rFonts w:eastAsia="Calibri"/>
        </w:rPr>
        <w:t xml:space="preserve">overnment forces caused civilians to flee their homes in fear and desperation. Thousands of Syrian women, men and children </w:t>
      </w:r>
      <w:proofErr w:type="gramStart"/>
      <w:r w:rsidR="00BE75A6" w:rsidRPr="008B0EF4">
        <w:rPr>
          <w:rFonts w:eastAsia="Calibri"/>
        </w:rPr>
        <w:t>were forced</w:t>
      </w:r>
      <w:proofErr w:type="gramEnd"/>
      <w:r w:rsidR="00BE75A6" w:rsidRPr="008B0EF4">
        <w:rPr>
          <w:rFonts w:eastAsia="Calibri"/>
        </w:rPr>
        <w:t xml:space="preserve"> to relocate to overcrowded makeshift camps further north, straining already overstretched humanitarian resources. Due to overcrowding, many were compelled to subsist under olive trees, with marginal access to humanitarian assistance and limited access to basic services. Others sought refuge in schools or mosques in </w:t>
      </w:r>
      <w:proofErr w:type="spellStart"/>
      <w:r w:rsidR="00BE75A6" w:rsidRPr="00E34B79">
        <w:rPr>
          <w:rFonts w:eastAsia="Calibri"/>
        </w:rPr>
        <w:t>Ar</w:t>
      </w:r>
      <w:r w:rsidR="009E1362">
        <w:rPr>
          <w:rFonts w:eastAsia="Calibri"/>
        </w:rPr>
        <w:t>i</w:t>
      </w:r>
      <w:r w:rsidR="00BE75A6" w:rsidRPr="00E34B79">
        <w:rPr>
          <w:rFonts w:eastAsia="Calibri"/>
        </w:rPr>
        <w:t>ha</w:t>
      </w:r>
      <w:proofErr w:type="spellEnd"/>
      <w:r w:rsidR="00BE75A6" w:rsidRPr="00E34B79">
        <w:rPr>
          <w:rFonts w:eastAsia="Calibri"/>
        </w:rPr>
        <w:t xml:space="preserve"> </w:t>
      </w:r>
      <w:r w:rsidR="00BE75A6" w:rsidRPr="00F104BE">
        <w:rPr>
          <w:rFonts w:eastAsia="Calibri"/>
        </w:rPr>
        <w:t xml:space="preserve">or </w:t>
      </w:r>
      <w:proofErr w:type="spellStart"/>
      <w:r w:rsidR="00BE75A6" w:rsidRPr="00F104BE">
        <w:rPr>
          <w:rFonts w:eastAsia="Calibri"/>
        </w:rPr>
        <w:t>Saraq</w:t>
      </w:r>
      <w:r w:rsidR="00F104BE" w:rsidRPr="00D6133C">
        <w:rPr>
          <w:rFonts w:eastAsia="Calibri"/>
        </w:rPr>
        <w:t>i</w:t>
      </w:r>
      <w:r w:rsidR="00BE75A6" w:rsidRPr="00F104BE">
        <w:rPr>
          <w:rFonts w:eastAsia="Calibri"/>
        </w:rPr>
        <w:t>b</w:t>
      </w:r>
      <w:proofErr w:type="spellEnd"/>
      <w:r w:rsidR="00BE75A6" w:rsidRPr="00F104BE">
        <w:rPr>
          <w:rFonts w:eastAsia="Calibri"/>
        </w:rPr>
        <w:t>, where</w:t>
      </w:r>
      <w:r w:rsidR="00BE75A6" w:rsidRPr="008B0EF4">
        <w:rPr>
          <w:rFonts w:eastAsia="Calibri"/>
        </w:rPr>
        <w:t xml:space="preserve"> access to food, water and health</w:t>
      </w:r>
      <w:r w:rsidR="00B119CF">
        <w:rPr>
          <w:rFonts w:eastAsia="Calibri"/>
        </w:rPr>
        <w:t xml:space="preserve"> </w:t>
      </w:r>
      <w:r w:rsidR="00BE75A6" w:rsidRPr="008B0EF4">
        <w:rPr>
          <w:rFonts w:eastAsia="Calibri"/>
        </w:rPr>
        <w:t xml:space="preserve">care remained severely curtailed. </w:t>
      </w:r>
    </w:p>
    <w:p w14:paraId="38212CAB" w14:textId="77777777" w:rsidR="00BE75A6" w:rsidRPr="00E34B79" w:rsidRDefault="00BE75A6" w:rsidP="00BE75A6">
      <w:pPr>
        <w:suppressAutoHyphens/>
        <w:kinsoku w:val="0"/>
        <w:overflowPunct w:val="0"/>
        <w:autoSpaceDE w:val="0"/>
        <w:autoSpaceDN w:val="0"/>
        <w:adjustRightInd w:val="0"/>
        <w:snapToGrid w:val="0"/>
        <w:spacing w:before="240" w:after="120" w:line="240" w:lineRule="atLeast"/>
        <w:ind w:left="1134" w:right="1134"/>
        <w:jc w:val="both"/>
        <w:rPr>
          <w:rFonts w:eastAsia="Calibri"/>
          <w:i/>
        </w:rPr>
      </w:pPr>
      <w:proofErr w:type="spellStart"/>
      <w:r w:rsidRPr="00E34B79">
        <w:rPr>
          <w:rFonts w:eastAsia="Calibri"/>
          <w:i/>
        </w:rPr>
        <w:t>Rukban</w:t>
      </w:r>
      <w:proofErr w:type="spellEnd"/>
      <w:r w:rsidRPr="00E34B79">
        <w:rPr>
          <w:rFonts w:eastAsia="Calibri"/>
          <w:i/>
        </w:rPr>
        <w:t xml:space="preserve"> camp </w:t>
      </w:r>
    </w:p>
    <w:p w14:paraId="6BBB7489" w14:textId="5FC0278E" w:rsidR="00BE75A6" w:rsidRPr="008B0EF4" w:rsidRDefault="001B3EED" w:rsidP="00BE75A6">
      <w:pPr>
        <w:suppressAutoHyphens/>
        <w:kinsoku w:val="0"/>
        <w:overflowPunct w:val="0"/>
        <w:autoSpaceDE w:val="0"/>
        <w:autoSpaceDN w:val="0"/>
        <w:adjustRightInd w:val="0"/>
        <w:snapToGrid w:val="0"/>
        <w:spacing w:after="120" w:line="240" w:lineRule="atLeast"/>
        <w:ind w:left="1134" w:right="1134"/>
        <w:jc w:val="both"/>
        <w:rPr>
          <w:rFonts w:eastAsia="Calibri"/>
          <w:i/>
        </w:rPr>
      </w:pPr>
      <w:r w:rsidRPr="00E34B79">
        <w:rPr>
          <w:rFonts w:eastAsia="Calibri"/>
        </w:rPr>
        <w:t>85</w:t>
      </w:r>
      <w:r w:rsidR="004C6F68" w:rsidRPr="00E34B79">
        <w:rPr>
          <w:rFonts w:eastAsia="Calibri"/>
        </w:rPr>
        <w:t>.</w:t>
      </w:r>
      <w:r w:rsidR="00BE75A6" w:rsidRPr="00E34B79">
        <w:rPr>
          <w:rFonts w:eastAsia="Calibri"/>
        </w:rPr>
        <w:tab/>
        <w:t xml:space="preserve">Conditions in </w:t>
      </w:r>
      <w:proofErr w:type="spellStart"/>
      <w:r w:rsidR="00BE75A6" w:rsidRPr="00E34B79">
        <w:rPr>
          <w:rFonts w:eastAsia="Calibri"/>
        </w:rPr>
        <w:t>Rukban</w:t>
      </w:r>
      <w:proofErr w:type="spellEnd"/>
      <w:r w:rsidR="00BE75A6" w:rsidRPr="00E34B79">
        <w:rPr>
          <w:rFonts w:eastAsia="Calibri"/>
        </w:rPr>
        <w:t xml:space="preserve"> camp continued to</w:t>
      </w:r>
      <w:r w:rsidR="00BE75A6" w:rsidRPr="008B0EF4">
        <w:rPr>
          <w:rFonts w:eastAsia="Calibri"/>
        </w:rPr>
        <w:t xml:space="preserve"> deteriorate and children died of preventable causes. Humanitarian actors had limited access or means to provide basic supplies and services, which had a significant impact on the population. </w:t>
      </w:r>
      <w:r w:rsidR="00B119CF">
        <w:rPr>
          <w:rFonts w:eastAsia="Calibri"/>
        </w:rPr>
        <w:t>N</w:t>
      </w:r>
      <w:r w:rsidR="00BE75A6" w:rsidRPr="008B0EF4">
        <w:rPr>
          <w:rFonts w:eastAsia="Calibri"/>
        </w:rPr>
        <w:t>otwithstanding</w:t>
      </w:r>
      <w:r w:rsidR="00B119CF">
        <w:rPr>
          <w:rFonts w:eastAsia="Calibri"/>
        </w:rPr>
        <w:t xml:space="preserve"> these circumstances</w:t>
      </w:r>
      <w:r w:rsidR="00BE75A6" w:rsidRPr="008B0EF4">
        <w:rPr>
          <w:rFonts w:eastAsia="Calibri"/>
        </w:rPr>
        <w:t xml:space="preserve">, in early September, the United Nations and the </w:t>
      </w:r>
      <w:r w:rsidR="00BE75A6" w:rsidRPr="00E34B79">
        <w:rPr>
          <w:rFonts w:eastAsia="Calibri"/>
        </w:rPr>
        <w:t>Syrian Arab Red Crescent</w:t>
      </w:r>
      <w:r w:rsidR="00BE75A6" w:rsidRPr="008B0EF4">
        <w:rPr>
          <w:rFonts w:eastAsia="Calibri"/>
        </w:rPr>
        <w:t xml:space="preserve"> </w:t>
      </w:r>
      <w:r w:rsidR="00B119CF" w:rsidRPr="008B0EF4">
        <w:rPr>
          <w:rFonts w:eastAsia="Calibri"/>
        </w:rPr>
        <w:t>w</w:t>
      </w:r>
      <w:r w:rsidR="00B119CF">
        <w:rPr>
          <w:rFonts w:eastAsia="Calibri"/>
        </w:rPr>
        <w:t>ere</w:t>
      </w:r>
      <w:r w:rsidR="00B119CF" w:rsidRPr="008B0EF4">
        <w:rPr>
          <w:rFonts w:eastAsia="Calibri"/>
        </w:rPr>
        <w:t xml:space="preserve"> </w:t>
      </w:r>
      <w:r w:rsidR="00BE75A6" w:rsidRPr="008B0EF4">
        <w:rPr>
          <w:rFonts w:eastAsia="Calibri"/>
        </w:rPr>
        <w:t xml:space="preserve">able to deliver assistance to approximately 15,000 encamped residents.  By January, the number of people left in the camp </w:t>
      </w:r>
      <w:proofErr w:type="gramStart"/>
      <w:r w:rsidR="00BE75A6" w:rsidRPr="008B0EF4">
        <w:rPr>
          <w:rFonts w:eastAsia="Calibri"/>
        </w:rPr>
        <w:t>was estimated</w:t>
      </w:r>
      <w:proofErr w:type="gramEnd"/>
      <w:r w:rsidR="00BE75A6" w:rsidRPr="008B0EF4">
        <w:rPr>
          <w:rFonts w:eastAsia="Calibri"/>
        </w:rPr>
        <w:t xml:space="preserve"> at just over 12,000</w:t>
      </w:r>
      <w:r w:rsidR="009E1362">
        <w:rPr>
          <w:rFonts w:eastAsia="Calibri"/>
        </w:rPr>
        <w:t>.</w:t>
      </w:r>
    </w:p>
    <w:p w14:paraId="11729280" w14:textId="0B8975C5" w:rsidR="00BE75A6" w:rsidRPr="008B0EF4" w:rsidRDefault="001B3EED" w:rsidP="00BE75A6">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86</w:t>
      </w:r>
      <w:r w:rsidR="004C6F68" w:rsidRPr="008B0EF4">
        <w:rPr>
          <w:rFonts w:eastAsia="Calibri"/>
        </w:rPr>
        <w:t>.</w:t>
      </w:r>
      <w:r w:rsidR="00BE75A6" w:rsidRPr="008B0EF4">
        <w:rPr>
          <w:rFonts w:eastAsia="Calibri"/>
        </w:rPr>
        <w:tab/>
        <w:t xml:space="preserve">In late September, a joint United Nations and Syrian Arab Red Crescent team supported a departure convoy of 329 people who were willing to </w:t>
      </w:r>
      <w:proofErr w:type="gramStart"/>
      <w:r w:rsidR="00BE75A6" w:rsidRPr="008B0EF4">
        <w:rPr>
          <w:rFonts w:eastAsia="Calibri"/>
        </w:rPr>
        <w:t>be relocated</w:t>
      </w:r>
      <w:proofErr w:type="gramEnd"/>
      <w:r w:rsidR="00BE75A6" w:rsidRPr="008B0EF4">
        <w:rPr>
          <w:rFonts w:eastAsia="Calibri"/>
        </w:rPr>
        <w:t xml:space="preserve">. Those departing the camp </w:t>
      </w:r>
      <w:r w:rsidR="00B119CF">
        <w:rPr>
          <w:rFonts w:eastAsia="Calibri"/>
        </w:rPr>
        <w:t>we</w:t>
      </w:r>
      <w:r w:rsidR="00BE75A6" w:rsidRPr="008B0EF4">
        <w:rPr>
          <w:rFonts w:eastAsia="Calibri"/>
        </w:rPr>
        <w:t>re transferred to “reception cent</w:t>
      </w:r>
      <w:r w:rsidR="00B119CF">
        <w:rPr>
          <w:rFonts w:eastAsia="Calibri"/>
        </w:rPr>
        <w:t>re</w:t>
      </w:r>
      <w:r w:rsidR="00BE75A6" w:rsidRPr="008B0EF4">
        <w:rPr>
          <w:rFonts w:eastAsia="Calibri"/>
        </w:rPr>
        <w:t xml:space="preserve">s”, </w:t>
      </w:r>
      <w:r w:rsidR="00BE75A6" w:rsidRPr="00E34B79">
        <w:rPr>
          <w:rFonts w:eastAsia="Calibri"/>
        </w:rPr>
        <w:t xml:space="preserve">including in </w:t>
      </w:r>
      <w:proofErr w:type="spellStart"/>
      <w:r w:rsidR="009E1362" w:rsidRPr="00E34B79">
        <w:rPr>
          <w:rFonts w:eastAsia="Calibri"/>
        </w:rPr>
        <w:t>Ard</w:t>
      </w:r>
      <w:proofErr w:type="spellEnd"/>
      <w:r w:rsidR="009E1362" w:rsidRPr="00E34B79">
        <w:rPr>
          <w:rFonts w:eastAsia="Calibri"/>
        </w:rPr>
        <w:t xml:space="preserve"> </w:t>
      </w:r>
      <w:proofErr w:type="spellStart"/>
      <w:r w:rsidR="009E1362" w:rsidRPr="00E34B79">
        <w:rPr>
          <w:rFonts w:eastAsia="Calibri"/>
        </w:rPr>
        <w:t>Dayr</w:t>
      </w:r>
      <w:proofErr w:type="spellEnd"/>
      <w:r w:rsidR="009E1362" w:rsidRPr="00E34B79">
        <w:rPr>
          <w:rFonts w:eastAsia="Calibri"/>
        </w:rPr>
        <w:t xml:space="preserve"> </w:t>
      </w:r>
      <w:proofErr w:type="spellStart"/>
      <w:r w:rsidR="009E1362" w:rsidRPr="00E34B79">
        <w:rPr>
          <w:rFonts w:eastAsia="Calibri"/>
        </w:rPr>
        <w:t>Ba‘albah</w:t>
      </w:r>
      <w:proofErr w:type="spellEnd"/>
      <w:r w:rsidR="009E1362">
        <w:rPr>
          <w:rFonts w:eastAsia="Calibri"/>
        </w:rPr>
        <w:t xml:space="preserve"> </w:t>
      </w:r>
      <w:r w:rsidR="00BE75A6" w:rsidRPr="00E34B79">
        <w:rPr>
          <w:rFonts w:eastAsia="Calibri"/>
        </w:rPr>
        <w:t>School,</w:t>
      </w:r>
      <w:r w:rsidR="00BE75A6" w:rsidRPr="008B0EF4">
        <w:rPr>
          <w:rFonts w:eastAsia="Calibri"/>
        </w:rPr>
        <w:t xml:space="preserve"> in Homs Governorate. The Commission received reports that </w:t>
      </w:r>
      <w:proofErr w:type="gramStart"/>
      <w:r w:rsidR="00BE75A6" w:rsidRPr="008B0EF4">
        <w:rPr>
          <w:rFonts w:eastAsia="Calibri"/>
        </w:rPr>
        <w:t xml:space="preserve">at least 100 individuals who were evacuated </w:t>
      </w:r>
      <w:r w:rsidR="00E96FD6">
        <w:rPr>
          <w:rFonts w:eastAsia="Calibri"/>
        </w:rPr>
        <w:t>from</w:t>
      </w:r>
      <w:r w:rsidR="00BE75A6" w:rsidRPr="008B0EF4">
        <w:rPr>
          <w:rFonts w:eastAsia="Calibri"/>
        </w:rPr>
        <w:t xml:space="preserve"> </w:t>
      </w:r>
      <w:proofErr w:type="spellStart"/>
      <w:r w:rsidR="00BE75A6" w:rsidRPr="008B0EF4">
        <w:rPr>
          <w:rFonts w:eastAsia="Calibri"/>
        </w:rPr>
        <w:t>Rukban</w:t>
      </w:r>
      <w:proofErr w:type="spellEnd"/>
      <w:r w:rsidR="00BE75A6" w:rsidRPr="008B0EF4">
        <w:rPr>
          <w:rFonts w:eastAsia="Calibri"/>
        </w:rPr>
        <w:t xml:space="preserve"> </w:t>
      </w:r>
      <w:r w:rsidR="00E96FD6">
        <w:rPr>
          <w:rFonts w:eastAsia="Calibri"/>
        </w:rPr>
        <w:t>had been</w:t>
      </w:r>
      <w:r w:rsidR="00E96FD6" w:rsidRPr="008B0EF4">
        <w:rPr>
          <w:rFonts w:eastAsia="Calibri"/>
        </w:rPr>
        <w:t xml:space="preserve"> </w:t>
      </w:r>
      <w:r w:rsidR="00BE75A6" w:rsidRPr="008B0EF4">
        <w:rPr>
          <w:rFonts w:eastAsia="Calibri"/>
        </w:rPr>
        <w:t xml:space="preserve">detained by </w:t>
      </w:r>
      <w:r w:rsidR="00E96FD6">
        <w:rPr>
          <w:rFonts w:eastAsia="Calibri"/>
        </w:rPr>
        <w:t>g</w:t>
      </w:r>
      <w:r w:rsidR="00BE75A6" w:rsidRPr="008B0EF4">
        <w:rPr>
          <w:rFonts w:eastAsia="Calibri"/>
        </w:rPr>
        <w:t>overnment forces</w:t>
      </w:r>
      <w:proofErr w:type="gramEnd"/>
      <w:r w:rsidR="00BE75A6" w:rsidRPr="008B0EF4">
        <w:rPr>
          <w:rFonts w:eastAsia="Calibri"/>
        </w:rPr>
        <w:t xml:space="preserve"> after arrival in Homs. </w:t>
      </w:r>
    </w:p>
    <w:p w14:paraId="736AED2C" w14:textId="77765220" w:rsidR="00BE75A6" w:rsidRPr="008B0EF4" w:rsidRDefault="001B3EED" w:rsidP="00BE75A6">
      <w:pPr>
        <w:suppressAutoHyphens/>
        <w:kinsoku w:val="0"/>
        <w:overflowPunct w:val="0"/>
        <w:autoSpaceDE w:val="0"/>
        <w:autoSpaceDN w:val="0"/>
        <w:adjustRightInd w:val="0"/>
        <w:snapToGrid w:val="0"/>
        <w:spacing w:after="120" w:line="240" w:lineRule="atLeast"/>
        <w:ind w:left="1134" w:right="1134"/>
        <w:jc w:val="both"/>
      </w:pPr>
      <w:r w:rsidRPr="008B0EF4">
        <w:rPr>
          <w:rFonts w:eastAsia="Calibri"/>
        </w:rPr>
        <w:t>87</w:t>
      </w:r>
      <w:r w:rsidR="004C6F68" w:rsidRPr="008B0EF4">
        <w:rPr>
          <w:rFonts w:eastAsia="Calibri"/>
        </w:rPr>
        <w:t>.</w:t>
      </w:r>
      <w:r w:rsidR="00BE75A6" w:rsidRPr="008B0EF4">
        <w:rPr>
          <w:rFonts w:eastAsia="Calibri"/>
        </w:rPr>
        <w:tab/>
        <w:t xml:space="preserve">The decision to leave appears to be </w:t>
      </w:r>
      <w:proofErr w:type="gramStart"/>
      <w:r w:rsidR="00BE75A6" w:rsidRPr="008B0EF4">
        <w:rPr>
          <w:rFonts w:eastAsia="Calibri"/>
        </w:rPr>
        <w:t>motivated</w:t>
      </w:r>
      <w:proofErr w:type="gramEnd"/>
      <w:r w:rsidR="00BE75A6" w:rsidRPr="008B0EF4">
        <w:rPr>
          <w:rFonts w:eastAsia="Calibri"/>
        </w:rPr>
        <w:t xml:space="preserve"> by the deteriorating camp conditions, further amplified by </w:t>
      </w:r>
      <w:r w:rsidR="007C4749">
        <w:rPr>
          <w:rFonts w:eastAsia="Calibri"/>
        </w:rPr>
        <w:t xml:space="preserve">a </w:t>
      </w:r>
      <w:r w:rsidR="00BE75A6" w:rsidRPr="008B0EF4">
        <w:rPr>
          <w:rFonts w:eastAsia="Calibri"/>
        </w:rPr>
        <w:t>harsh winter and scarcity of resources. Others who remain</w:t>
      </w:r>
      <w:r w:rsidR="007C4749">
        <w:rPr>
          <w:rFonts w:eastAsia="Calibri"/>
        </w:rPr>
        <w:t xml:space="preserve"> </w:t>
      </w:r>
      <w:r w:rsidR="00BE75A6" w:rsidRPr="008B0EF4">
        <w:rPr>
          <w:rFonts w:eastAsia="Calibri"/>
        </w:rPr>
        <w:t xml:space="preserve">in </w:t>
      </w:r>
      <w:proofErr w:type="spellStart"/>
      <w:r w:rsidR="00BE75A6" w:rsidRPr="008B0EF4">
        <w:rPr>
          <w:rFonts w:eastAsia="Calibri"/>
        </w:rPr>
        <w:t>Rukban</w:t>
      </w:r>
      <w:proofErr w:type="spellEnd"/>
      <w:r w:rsidR="00BE75A6" w:rsidRPr="008B0EF4">
        <w:rPr>
          <w:rFonts w:eastAsia="Calibri"/>
        </w:rPr>
        <w:t xml:space="preserve"> cited fears of forced conscription or arbitrary arrest. </w:t>
      </w:r>
      <w:r w:rsidR="00BE75A6" w:rsidRPr="008B0EF4">
        <w:t xml:space="preserve">Ongoing violations throughout </w:t>
      </w:r>
      <w:r w:rsidR="007C4749">
        <w:t>g</w:t>
      </w:r>
      <w:r w:rsidR="007C4749" w:rsidRPr="008B0EF4">
        <w:t>overnment</w:t>
      </w:r>
      <w:r w:rsidR="00BE75A6" w:rsidRPr="008B0EF4">
        <w:t>-held areas</w:t>
      </w:r>
      <w:r w:rsidR="009E1362">
        <w:t>, including arbitrary detention and forced conscription,</w:t>
      </w:r>
      <w:r w:rsidR="00BE75A6" w:rsidRPr="008B0EF4">
        <w:t xml:space="preserve"> impede the right of civilians to voluntary return, in safety and dignity, to their original or another destination of their choice.</w:t>
      </w:r>
      <w:r w:rsidR="00BE75A6" w:rsidRPr="008B0EF4">
        <w:rPr>
          <w:rStyle w:val="FootnoteReference"/>
        </w:rPr>
        <w:footnoteReference w:id="45"/>
      </w:r>
    </w:p>
    <w:p w14:paraId="6819A56C" w14:textId="77777777" w:rsidR="007300E3" w:rsidRPr="008B0EF4" w:rsidRDefault="007300E3" w:rsidP="00EF76A2">
      <w:pPr>
        <w:pStyle w:val="H1G"/>
      </w:pPr>
      <w:r w:rsidRPr="008B0EF4">
        <w:tab/>
      </w:r>
      <w:bookmarkStart w:id="19" w:name="_Toc16754919"/>
      <w:r w:rsidR="00BE75A6" w:rsidRPr="008B0EF4">
        <w:t>B.</w:t>
      </w:r>
      <w:r w:rsidR="00BE75A6" w:rsidRPr="008B0EF4">
        <w:tab/>
        <w:t>Women</w:t>
      </w:r>
      <w:bookmarkEnd w:id="19"/>
    </w:p>
    <w:p w14:paraId="3AEC0490" w14:textId="4722E802" w:rsidR="00BE75A6" w:rsidRPr="008B0EF4" w:rsidRDefault="001B3EED" w:rsidP="00BE75A6">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t>88</w:t>
      </w:r>
      <w:r w:rsidR="007300E3" w:rsidRPr="008B0EF4">
        <w:t>.</w:t>
      </w:r>
      <w:r w:rsidR="007300E3" w:rsidRPr="008B0EF4">
        <w:tab/>
      </w:r>
      <w:r w:rsidR="00BE75A6" w:rsidRPr="008B0EF4">
        <w:rPr>
          <w:rFonts w:eastAsia="Calibri"/>
        </w:rPr>
        <w:t>Women, in particular those belonging to certain religious and ethnic communities, have been adversely affected by the conflict. Within the Kurdish administration</w:t>
      </w:r>
      <w:r w:rsidR="00D90150">
        <w:rPr>
          <w:rFonts w:eastAsia="Calibri"/>
        </w:rPr>
        <w:t>,</w:t>
      </w:r>
      <w:r w:rsidR="00BE75A6" w:rsidRPr="008B0EF4">
        <w:rPr>
          <w:rFonts w:eastAsia="Calibri"/>
        </w:rPr>
        <w:t xml:space="preserve"> efforts </w:t>
      </w:r>
      <w:proofErr w:type="gramStart"/>
      <w:r w:rsidR="00BE75A6" w:rsidRPr="008B0EF4">
        <w:rPr>
          <w:rFonts w:eastAsia="Calibri"/>
        </w:rPr>
        <w:t>have been made</w:t>
      </w:r>
      <w:proofErr w:type="gramEnd"/>
      <w:r w:rsidR="00BE75A6" w:rsidRPr="008B0EF4">
        <w:rPr>
          <w:rFonts w:eastAsia="Calibri"/>
        </w:rPr>
        <w:t xml:space="preserve"> to advance women’s rights and </w:t>
      </w:r>
      <w:r w:rsidR="00D90150">
        <w:rPr>
          <w:rFonts w:eastAsia="Calibri"/>
        </w:rPr>
        <w:t>their</w:t>
      </w:r>
      <w:r w:rsidR="00D90150" w:rsidRPr="008B0EF4">
        <w:rPr>
          <w:rFonts w:eastAsia="Calibri"/>
        </w:rPr>
        <w:t xml:space="preserve"> </w:t>
      </w:r>
      <w:r w:rsidR="00BE75A6" w:rsidRPr="008B0EF4">
        <w:rPr>
          <w:rFonts w:eastAsia="Calibri"/>
        </w:rPr>
        <w:t>roles in decision</w:t>
      </w:r>
      <w:r w:rsidR="00D90150">
        <w:rPr>
          <w:rFonts w:eastAsia="Calibri"/>
        </w:rPr>
        <w:t>-</w:t>
      </w:r>
      <w:r w:rsidR="00BE75A6" w:rsidRPr="008B0EF4">
        <w:rPr>
          <w:rFonts w:eastAsia="Calibri"/>
        </w:rPr>
        <w:t xml:space="preserve">making processes. Each administrative institution is co-led by a woman and, in addition to all-female </w:t>
      </w:r>
      <w:proofErr w:type="gramStart"/>
      <w:r w:rsidR="00BE75A6" w:rsidRPr="008B0EF4">
        <w:rPr>
          <w:rFonts w:eastAsia="Calibri"/>
        </w:rPr>
        <w:t>councils,</w:t>
      </w:r>
      <w:proofErr w:type="gramEnd"/>
      <w:r w:rsidR="00BE75A6" w:rsidRPr="008B0EF4">
        <w:rPr>
          <w:rFonts w:eastAsia="Calibri"/>
        </w:rPr>
        <w:t xml:space="preserve"> a 40 per</w:t>
      </w:r>
      <w:r w:rsidR="00B51749" w:rsidRPr="008B0EF4">
        <w:rPr>
          <w:rFonts w:eastAsia="Calibri"/>
        </w:rPr>
        <w:t xml:space="preserve"> </w:t>
      </w:r>
      <w:r w:rsidR="00BE75A6" w:rsidRPr="008B0EF4">
        <w:rPr>
          <w:rFonts w:eastAsia="Calibri"/>
        </w:rPr>
        <w:t xml:space="preserve">cent quota reinforces female representation and participation in economic initiatives and civil society organizations. </w:t>
      </w:r>
    </w:p>
    <w:p w14:paraId="0B77EA79" w14:textId="42F0FFA5" w:rsidR="00BE75A6" w:rsidRPr="008B0EF4" w:rsidRDefault="001B3EED" w:rsidP="00BE75A6">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8</w:t>
      </w:r>
      <w:r w:rsidR="004C6F68" w:rsidRPr="008B0EF4">
        <w:rPr>
          <w:rFonts w:eastAsia="Calibri"/>
        </w:rPr>
        <w:t>9.</w:t>
      </w:r>
      <w:r w:rsidR="00BE75A6" w:rsidRPr="008B0EF4">
        <w:rPr>
          <w:rFonts w:eastAsia="Calibri"/>
        </w:rPr>
        <w:tab/>
        <w:t xml:space="preserve">Recent gender-based violations committed against Kurdish women by armed groups with extremist ideologies </w:t>
      </w:r>
      <w:proofErr w:type="gramStart"/>
      <w:r w:rsidR="00BE75A6" w:rsidRPr="008B0EF4">
        <w:rPr>
          <w:rFonts w:eastAsia="Calibri"/>
        </w:rPr>
        <w:t>have, however, demonstrated</w:t>
      </w:r>
      <w:proofErr w:type="gramEnd"/>
      <w:r w:rsidR="00BE75A6" w:rsidRPr="008B0EF4">
        <w:rPr>
          <w:rFonts w:eastAsia="Calibri"/>
        </w:rPr>
        <w:t xml:space="preserve"> a</w:t>
      </w:r>
      <w:r w:rsidR="00B51749" w:rsidRPr="008B0EF4">
        <w:rPr>
          <w:rFonts w:eastAsia="Calibri"/>
        </w:rPr>
        <w:t>n attempt</w:t>
      </w:r>
      <w:r w:rsidR="00BE75A6" w:rsidRPr="008B0EF4">
        <w:rPr>
          <w:rFonts w:eastAsia="Calibri"/>
        </w:rPr>
        <w:t xml:space="preserve"> to dismantle these efforts. By targeting almost every aspect of Kurdish women’s lives in </w:t>
      </w:r>
      <w:r w:rsidR="00B51749" w:rsidRPr="008B0EF4">
        <w:rPr>
          <w:rFonts w:eastAsia="Calibri"/>
        </w:rPr>
        <w:t xml:space="preserve">the </w:t>
      </w:r>
      <w:r w:rsidR="00BE75A6" w:rsidRPr="008B0EF4">
        <w:rPr>
          <w:rFonts w:eastAsia="Calibri"/>
        </w:rPr>
        <w:t xml:space="preserve">Afrin </w:t>
      </w:r>
      <w:r w:rsidR="00615E3C">
        <w:rPr>
          <w:rFonts w:eastAsia="Calibri"/>
        </w:rPr>
        <w:t>District</w:t>
      </w:r>
      <w:r w:rsidR="00BE75A6" w:rsidRPr="008B0EF4">
        <w:rPr>
          <w:rFonts w:eastAsia="Calibri"/>
        </w:rPr>
        <w:t>, and – progressively – in areas affected by Operation Peace Spring</w:t>
      </w:r>
      <w:r w:rsidR="00B51749" w:rsidRPr="008B0EF4">
        <w:rPr>
          <w:rFonts w:eastAsia="Calibri"/>
        </w:rPr>
        <w:t xml:space="preserve"> </w:t>
      </w:r>
      <w:r w:rsidR="00BE75A6" w:rsidRPr="008B0EF4">
        <w:rPr>
          <w:rFonts w:eastAsia="Calibri"/>
        </w:rPr>
        <w:t xml:space="preserve">– armed groups generated a palpable fear of violence and duress among the female Kurdish population. This resulted in </w:t>
      </w:r>
      <w:r w:rsidR="00B51749" w:rsidRPr="008B0EF4">
        <w:rPr>
          <w:rFonts w:eastAsia="Calibri"/>
        </w:rPr>
        <w:t xml:space="preserve">an </w:t>
      </w:r>
      <w:r w:rsidR="00BE75A6" w:rsidRPr="008B0EF4">
        <w:rPr>
          <w:rFonts w:eastAsia="Calibri"/>
        </w:rPr>
        <w:t xml:space="preserve">undermining </w:t>
      </w:r>
      <w:r w:rsidR="00B51749" w:rsidRPr="008B0EF4">
        <w:rPr>
          <w:rFonts w:eastAsia="Calibri"/>
        </w:rPr>
        <w:t xml:space="preserve">of </w:t>
      </w:r>
      <w:r w:rsidR="00BE75A6" w:rsidRPr="008B0EF4">
        <w:rPr>
          <w:rFonts w:eastAsia="Calibri"/>
        </w:rPr>
        <w:t xml:space="preserve">women’s ability to meaningfully participate and contribute to their community. Indeed, to avoid being harassed, women described opting to remain at home, relinquish their jobs, or wear a headscarf if venturing outside without a male relative. One interviewee described being sexually harassed and </w:t>
      </w:r>
      <w:r w:rsidR="00BE75A6" w:rsidRPr="003E229B">
        <w:rPr>
          <w:rFonts w:eastAsia="Calibri"/>
        </w:rPr>
        <w:t xml:space="preserve">referred to as </w:t>
      </w:r>
      <w:proofErr w:type="spellStart"/>
      <w:r w:rsidR="00BE75A6" w:rsidRPr="003E229B">
        <w:rPr>
          <w:rFonts w:eastAsia="Calibri"/>
          <w:i/>
        </w:rPr>
        <w:t>k</w:t>
      </w:r>
      <w:r w:rsidR="003E229B" w:rsidRPr="00D6133C">
        <w:rPr>
          <w:rFonts w:eastAsia="Calibri"/>
          <w:i/>
        </w:rPr>
        <w:t>a</w:t>
      </w:r>
      <w:r w:rsidR="00BE75A6" w:rsidRPr="003E229B">
        <w:rPr>
          <w:rFonts w:eastAsia="Calibri"/>
          <w:i/>
        </w:rPr>
        <w:t>f</w:t>
      </w:r>
      <w:r w:rsidR="003E229B" w:rsidRPr="00D6133C">
        <w:rPr>
          <w:rFonts w:eastAsia="Calibri"/>
          <w:i/>
        </w:rPr>
        <w:t>i</w:t>
      </w:r>
      <w:r w:rsidR="00BE75A6" w:rsidRPr="003E229B">
        <w:rPr>
          <w:rFonts w:eastAsia="Calibri"/>
          <w:i/>
        </w:rPr>
        <w:t>r</w:t>
      </w:r>
      <w:proofErr w:type="spellEnd"/>
      <w:r w:rsidR="00BE75A6" w:rsidRPr="003E229B">
        <w:rPr>
          <w:rFonts w:eastAsia="Calibri"/>
        </w:rPr>
        <w:t xml:space="preserve"> for not wearing</w:t>
      </w:r>
      <w:r w:rsidR="00BE75A6" w:rsidRPr="008B0EF4">
        <w:rPr>
          <w:rFonts w:eastAsia="Calibri"/>
        </w:rPr>
        <w:t xml:space="preserve"> a headscarf by members of armed groups at a checkpoint in the Afrin </w:t>
      </w:r>
      <w:r w:rsidR="00615E3C">
        <w:rPr>
          <w:rFonts w:eastAsia="Calibri"/>
        </w:rPr>
        <w:t>District</w:t>
      </w:r>
      <w:r w:rsidR="00BE75A6" w:rsidRPr="008B0EF4">
        <w:rPr>
          <w:rFonts w:eastAsia="Calibri"/>
        </w:rPr>
        <w:t xml:space="preserve">. Yazidi women in </w:t>
      </w:r>
      <w:r w:rsidR="00867306">
        <w:rPr>
          <w:rFonts w:eastAsia="Calibri"/>
        </w:rPr>
        <w:t xml:space="preserve">the </w:t>
      </w:r>
      <w:r w:rsidR="00BE75A6" w:rsidRPr="008B0EF4">
        <w:rPr>
          <w:rFonts w:eastAsia="Calibri"/>
        </w:rPr>
        <w:t xml:space="preserve">Afrin </w:t>
      </w:r>
      <w:r w:rsidR="00867306">
        <w:rPr>
          <w:rFonts w:eastAsia="Calibri"/>
        </w:rPr>
        <w:t>District</w:t>
      </w:r>
      <w:r w:rsidR="00867306" w:rsidRPr="008B0EF4">
        <w:rPr>
          <w:rFonts w:eastAsia="Calibri"/>
        </w:rPr>
        <w:t xml:space="preserve"> </w:t>
      </w:r>
      <w:r w:rsidR="00BE75A6" w:rsidRPr="008B0EF4">
        <w:rPr>
          <w:rFonts w:eastAsia="Calibri"/>
        </w:rPr>
        <w:t xml:space="preserve">described similar fears. </w:t>
      </w:r>
    </w:p>
    <w:p w14:paraId="126AD57D" w14:textId="48B101BB" w:rsidR="00BE75A6" w:rsidRPr="008B0EF4" w:rsidRDefault="00BE75A6" w:rsidP="00BE75A6">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9</w:t>
      </w:r>
      <w:r w:rsidR="001B3EED" w:rsidRPr="008B0EF4">
        <w:rPr>
          <w:rFonts w:eastAsia="Calibri"/>
        </w:rPr>
        <w:t>0</w:t>
      </w:r>
      <w:r w:rsidR="004C6F68" w:rsidRPr="008B0EF4">
        <w:rPr>
          <w:rFonts w:eastAsia="Calibri"/>
        </w:rPr>
        <w:t>.</w:t>
      </w:r>
      <w:r w:rsidRPr="008B0EF4">
        <w:rPr>
          <w:rFonts w:eastAsia="Calibri"/>
        </w:rPr>
        <w:tab/>
      </w:r>
      <w:r w:rsidRPr="003E229B">
        <w:rPr>
          <w:rFonts w:eastAsia="Calibri"/>
        </w:rPr>
        <w:t xml:space="preserve">Following the murder of </w:t>
      </w:r>
      <w:proofErr w:type="spellStart"/>
      <w:r w:rsidRPr="003E229B">
        <w:rPr>
          <w:rFonts w:eastAsia="Calibri"/>
        </w:rPr>
        <w:t>Hev</w:t>
      </w:r>
      <w:r w:rsidR="003E229B" w:rsidRPr="00D6133C">
        <w:rPr>
          <w:rFonts w:eastAsia="Calibri"/>
        </w:rPr>
        <w:t>r</w:t>
      </w:r>
      <w:r w:rsidRPr="003E229B">
        <w:rPr>
          <w:rFonts w:eastAsia="Calibri"/>
        </w:rPr>
        <w:t>in</w:t>
      </w:r>
      <w:proofErr w:type="spellEnd"/>
      <w:r w:rsidRPr="003E229B">
        <w:rPr>
          <w:rFonts w:eastAsia="Calibri"/>
        </w:rPr>
        <w:t xml:space="preserve"> </w:t>
      </w:r>
      <w:proofErr w:type="spellStart"/>
      <w:r w:rsidRPr="003E229B">
        <w:rPr>
          <w:rFonts w:eastAsia="Calibri"/>
        </w:rPr>
        <w:t>Khalaf</w:t>
      </w:r>
      <w:proofErr w:type="spellEnd"/>
      <w:r w:rsidRPr="003E229B">
        <w:rPr>
          <w:rFonts w:eastAsia="Calibri"/>
        </w:rPr>
        <w:t xml:space="preserve"> </w:t>
      </w:r>
      <w:r w:rsidR="00754BD3" w:rsidRPr="003E229B">
        <w:rPr>
          <w:rFonts w:eastAsia="Calibri"/>
        </w:rPr>
        <w:t>on 12 October (para. 58</w:t>
      </w:r>
      <w:r w:rsidRPr="003E229B">
        <w:rPr>
          <w:rFonts w:eastAsia="Calibri"/>
        </w:rPr>
        <w:t>), Kurdish</w:t>
      </w:r>
      <w:r w:rsidRPr="008B0EF4">
        <w:rPr>
          <w:rFonts w:eastAsia="Calibri"/>
        </w:rPr>
        <w:t xml:space="preserve"> women recalled feeling increasingly insecure. Armed groups threatened and harassed women in positions in the political, military, medical and educational sector or otherwise taking active part in civil society.  </w:t>
      </w:r>
    </w:p>
    <w:p w14:paraId="278CD25C" w14:textId="55319F45" w:rsidR="00BE75A6" w:rsidRPr="008B0EF4" w:rsidRDefault="00BE75A6" w:rsidP="00BE75A6">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9</w:t>
      </w:r>
      <w:r w:rsidR="001B3EED" w:rsidRPr="008B0EF4">
        <w:rPr>
          <w:rFonts w:eastAsia="Calibri"/>
        </w:rPr>
        <w:t>1</w:t>
      </w:r>
      <w:r w:rsidR="004C6F68" w:rsidRPr="008B0EF4">
        <w:rPr>
          <w:rFonts w:eastAsia="Calibri"/>
        </w:rPr>
        <w:t>.</w:t>
      </w:r>
      <w:r w:rsidRPr="008B0EF4">
        <w:rPr>
          <w:rFonts w:eastAsia="Calibri"/>
        </w:rPr>
        <w:tab/>
        <w:t xml:space="preserve">Elsewhere, women’s human rights continued </w:t>
      </w:r>
      <w:r w:rsidRPr="003E229B">
        <w:rPr>
          <w:rFonts w:eastAsia="Calibri"/>
        </w:rPr>
        <w:t xml:space="preserve">to be undermined, magnifying pre-existing inequalities. In an attempt to ascertain control over </w:t>
      </w:r>
      <w:proofErr w:type="spellStart"/>
      <w:r w:rsidRPr="003E229B">
        <w:rPr>
          <w:rFonts w:eastAsia="Calibri"/>
        </w:rPr>
        <w:t>Kafr</w:t>
      </w:r>
      <w:proofErr w:type="spellEnd"/>
      <w:r w:rsidRPr="003E229B">
        <w:rPr>
          <w:rFonts w:eastAsia="Calibri"/>
        </w:rPr>
        <w:t xml:space="preserve"> </w:t>
      </w:r>
      <w:proofErr w:type="spellStart"/>
      <w:r w:rsidRPr="003E229B">
        <w:rPr>
          <w:rFonts w:eastAsia="Calibri"/>
        </w:rPr>
        <w:t>Tak</w:t>
      </w:r>
      <w:r w:rsidR="003E229B" w:rsidRPr="00D6133C">
        <w:rPr>
          <w:rFonts w:eastAsia="Calibri"/>
        </w:rPr>
        <w:t>ha</w:t>
      </w:r>
      <w:r w:rsidRPr="003E229B">
        <w:rPr>
          <w:rFonts w:eastAsia="Calibri"/>
        </w:rPr>
        <w:t>rim</w:t>
      </w:r>
      <w:proofErr w:type="spellEnd"/>
      <w:r w:rsidRPr="003E229B">
        <w:rPr>
          <w:rFonts w:eastAsia="Calibri"/>
        </w:rPr>
        <w:t xml:space="preserve"> </w:t>
      </w:r>
      <w:r w:rsidR="00754BD3" w:rsidRPr="003E229B">
        <w:rPr>
          <w:rFonts w:eastAsia="Calibri"/>
        </w:rPr>
        <w:t>(paras. 33</w:t>
      </w:r>
      <w:r w:rsidR="00867306" w:rsidRPr="003E229B">
        <w:rPr>
          <w:rFonts w:eastAsia="Calibri"/>
        </w:rPr>
        <w:t>–</w:t>
      </w:r>
      <w:r w:rsidR="00754BD3" w:rsidRPr="003E229B">
        <w:rPr>
          <w:rFonts w:eastAsia="Calibri"/>
        </w:rPr>
        <w:t>35</w:t>
      </w:r>
      <w:r w:rsidRPr="003E229B">
        <w:rPr>
          <w:rFonts w:eastAsia="Calibri"/>
        </w:rPr>
        <w:t>),</w:t>
      </w:r>
      <w:r w:rsidRPr="008B0EF4">
        <w:rPr>
          <w:rFonts w:eastAsia="Calibri"/>
        </w:rPr>
        <w:t xml:space="preserve"> </w:t>
      </w:r>
      <w:r w:rsidR="00867306" w:rsidRPr="008B0EF4">
        <w:rPr>
          <w:rFonts w:eastAsia="Calibri"/>
        </w:rPr>
        <w:t xml:space="preserve">members </w:t>
      </w:r>
      <w:r w:rsidR="00867306">
        <w:rPr>
          <w:rFonts w:eastAsia="Calibri"/>
        </w:rPr>
        <w:t xml:space="preserve">of </w:t>
      </w:r>
      <w:proofErr w:type="spellStart"/>
      <w:r w:rsidR="00052F8A">
        <w:rPr>
          <w:rFonts w:eastAsia="Calibri"/>
        </w:rPr>
        <w:t>Hay’at</w:t>
      </w:r>
      <w:proofErr w:type="spellEnd"/>
      <w:r w:rsidR="00052F8A">
        <w:rPr>
          <w:rFonts w:eastAsia="Calibri"/>
        </w:rPr>
        <w:t xml:space="preserve"> </w:t>
      </w:r>
      <w:proofErr w:type="spellStart"/>
      <w:r w:rsidR="00052F8A">
        <w:rPr>
          <w:rFonts w:eastAsia="Calibri"/>
        </w:rPr>
        <w:t>Tahrir</w:t>
      </w:r>
      <w:proofErr w:type="spellEnd"/>
      <w:r w:rsidR="00052F8A">
        <w:rPr>
          <w:rFonts w:eastAsia="Calibri"/>
        </w:rPr>
        <w:t xml:space="preserve"> al-Sham</w:t>
      </w:r>
      <w:r w:rsidRPr="008B0EF4">
        <w:rPr>
          <w:rFonts w:eastAsia="Calibri"/>
        </w:rPr>
        <w:t xml:space="preserve"> imposed dress codes on teachers and pupils, which systematically discriminated against women </w:t>
      </w:r>
      <w:r w:rsidRPr="003E229B">
        <w:rPr>
          <w:rFonts w:eastAsia="Calibri"/>
        </w:rPr>
        <w:t>and girls.</w:t>
      </w:r>
      <w:r w:rsidRPr="003E229B">
        <w:rPr>
          <w:rStyle w:val="FootnoteReference"/>
          <w:rFonts w:eastAsia="Calibri"/>
        </w:rPr>
        <w:footnoteReference w:id="46"/>
      </w:r>
      <w:r w:rsidRPr="003E229B">
        <w:rPr>
          <w:rFonts w:eastAsia="Calibri"/>
        </w:rPr>
        <w:t xml:space="preserve"> In </w:t>
      </w:r>
      <w:proofErr w:type="spellStart"/>
      <w:r w:rsidRPr="003E229B">
        <w:rPr>
          <w:rFonts w:eastAsia="Calibri"/>
        </w:rPr>
        <w:t>Salqin</w:t>
      </w:r>
      <w:proofErr w:type="spellEnd"/>
      <w:r w:rsidRPr="003E229B">
        <w:rPr>
          <w:rFonts w:eastAsia="Calibri"/>
        </w:rPr>
        <w:t xml:space="preserve">, </w:t>
      </w:r>
      <w:proofErr w:type="spellStart"/>
      <w:r w:rsidRPr="003E229B">
        <w:rPr>
          <w:rFonts w:eastAsia="Calibri"/>
        </w:rPr>
        <w:t>Idlib</w:t>
      </w:r>
      <w:proofErr w:type="spellEnd"/>
      <w:r w:rsidRPr="003E229B">
        <w:rPr>
          <w:rFonts w:eastAsia="Calibri"/>
        </w:rPr>
        <w:t xml:space="preserve"> Governorate, one woman was stopped by </w:t>
      </w:r>
      <w:proofErr w:type="spellStart"/>
      <w:r w:rsidR="00052F8A" w:rsidRPr="003E229B">
        <w:rPr>
          <w:rFonts w:eastAsia="Calibri"/>
        </w:rPr>
        <w:t>Hay’at</w:t>
      </w:r>
      <w:proofErr w:type="spellEnd"/>
      <w:r w:rsidR="00052F8A" w:rsidRPr="003E229B">
        <w:rPr>
          <w:rFonts w:eastAsia="Calibri"/>
        </w:rPr>
        <w:t xml:space="preserve"> </w:t>
      </w:r>
      <w:proofErr w:type="spellStart"/>
      <w:r w:rsidR="00052F8A" w:rsidRPr="003E229B">
        <w:rPr>
          <w:rFonts w:eastAsia="Calibri"/>
        </w:rPr>
        <w:t>Tahrir</w:t>
      </w:r>
      <w:proofErr w:type="spellEnd"/>
      <w:r w:rsidR="00052F8A" w:rsidRPr="003E229B">
        <w:rPr>
          <w:rFonts w:eastAsia="Calibri"/>
        </w:rPr>
        <w:t xml:space="preserve"> al-Sham</w:t>
      </w:r>
      <w:r w:rsidRPr="003E229B">
        <w:rPr>
          <w:rFonts w:eastAsia="Calibri"/>
        </w:rPr>
        <w:t xml:space="preserve"> when travel</w:t>
      </w:r>
      <w:r w:rsidR="00BE7A62" w:rsidRPr="003E229B">
        <w:rPr>
          <w:rFonts w:eastAsia="Calibri"/>
        </w:rPr>
        <w:t>l</w:t>
      </w:r>
      <w:r w:rsidRPr="003E229B">
        <w:rPr>
          <w:rFonts w:eastAsia="Calibri"/>
        </w:rPr>
        <w:t xml:space="preserve">ing without a male relative and subsequently detained with at least 10 other women in a prison-like facility in </w:t>
      </w:r>
      <w:proofErr w:type="spellStart"/>
      <w:r w:rsidRPr="003E229B">
        <w:rPr>
          <w:rFonts w:eastAsia="Calibri"/>
        </w:rPr>
        <w:t>Salqin</w:t>
      </w:r>
      <w:proofErr w:type="spellEnd"/>
      <w:r w:rsidRPr="003E229B">
        <w:rPr>
          <w:rFonts w:eastAsia="Calibri"/>
        </w:rPr>
        <w:t>,</w:t>
      </w:r>
      <w:r w:rsidRPr="008B0EF4">
        <w:rPr>
          <w:rFonts w:eastAsia="Calibri"/>
        </w:rPr>
        <w:t xml:space="preserve"> including one woman who </w:t>
      </w:r>
      <w:proofErr w:type="gramStart"/>
      <w:r w:rsidR="00BE7A62">
        <w:rPr>
          <w:rFonts w:eastAsia="Calibri"/>
        </w:rPr>
        <w:t>had been</w:t>
      </w:r>
      <w:r w:rsidR="00BE7A62" w:rsidRPr="008B0EF4">
        <w:rPr>
          <w:rFonts w:eastAsia="Calibri"/>
        </w:rPr>
        <w:t xml:space="preserve"> </w:t>
      </w:r>
      <w:r w:rsidRPr="008B0EF4">
        <w:rPr>
          <w:rFonts w:eastAsia="Calibri"/>
        </w:rPr>
        <w:t>arrested</w:t>
      </w:r>
      <w:proofErr w:type="gramEnd"/>
      <w:r w:rsidRPr="008B0EF4">
        <w:rPr>
          <w:rFonts w:eastAsia="Calibri"/>
        </w:rPr>
        <w:t xml:space="preserve"> for attempting to cross the Syrian border without her husband.</w:t>
      </w:r>
    </w:p>
    <w:p w14:paraId="606EE4DE" w14:textId="0AF53FF9" w:rsidR="007300E3" w:rsidRPr="008B0EF4" w:rsidRDefault="00BE75A6" w:rsidP="00BE75A6">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9</w:t>
      </w:r>
      <w:r w:rsidR="001B3EED" w:rsidRPr="008B0EF4">
        <w:rPr>
          <w:rFonts w:eastAsia="Calibri"/>
        </w:rPr>
        <w:t>2</w:t>
      </w:r>
      <w:r w:rsidRPr="008B0EF4">
        <w:rPr>
          <w:rFonts w:eastAsia="Calibri"/>
        </w:rPr>
        <w:t>.</w:t>
      </w:r>
      <w:r w:rsidRPr="008B0EF4">
        <w:rPr>
          <w:rFonts w:eastAsia="Calibri"/>
        </w:rPr>
        <w:tab/>
        <w:t xml:space="preserve">In areas controlled by the Government, the ongoing campaigns of conscripting men has confined adult males to their homes and further inhibited their movement across retaken areas such as eastern </w:t>
      </w:r>
      <w:proofErr w:type="spellStart"/>
      <w:r w:rsidR="0038189E">
        <w:rPr>
          <w:rFonts w:eastAsia="Calibri"/>
        </w:rPr>
        <w:t>Ghutah</w:t>
      </w:r>
      <w:proofErr w:type="spellEnd"/>
      <w:r w:rsidRPr="008B0EF4">
        <w:rPr>
          <w:rFonts w:eastAsia="Calibri"/>
        </w:rPr>
        <w:t xml:space="preserve">. Female interviewees displaced outside </w:t>
      </w:r>
      <w:r w:rsidR="00BE7A62">
        <w:rPr>
          <w:rFonts w:eastAsia="Calibri"/>
        </w:rPr>
        <w:t xml:space="preserve">the </w:t>
      </w:r>
      <w:r w:rsidRPr="008B0EF4">
        <w:rPr>
          <w:rFonts w:eastAsia="Calibri"/>
        </w:rPr>
        <w:t>Syria</w:t>
      </w:r>
      <w:r w:rsidR="00BE7A62">
        <w:rPr>
          <w:rFonts w:eastAsia="Calibri"/>
        </w:rPr>
        <w:t>n Arab Republic</w:t>
      </w:r>
      <w:r w:rsidRPr="008B0EF4">
        <w:rPr>
          <w:rFonts w:eastAsia="Calibri"/>
        </w:rPr>
        <w:t xml:space="preserve">, consistently reported how their spouses, fearing conscription or detention, forced them to return home to assess the status </w:t>
      </w:r>
      <w:r w:rsidR="00BE7A62">
        <w:rPr>
          <w:rFonts w:eastAsia="Calibri"/>
        </w:rPr>
        <w:t xml:space="preserve">of </w:t>
      </w:r>
      <w:r w:rsidRPr="008B0EF4">
        <w:rPr>
          <w:rFonts w:eastAsia="Calibri"/>
        </w:rPr>
        <w:t xml:space="preserve">properties, often occupied or looted by warring parties. As many female returnees </w:t>
      </w:r>
      <w:proofErr w:type="gramStart"/>
      <w:r w:rsidRPr="008B0EF4">
        <w:rPr>
          <w:rFonts w:eastAsia="Calibri"/>
        </w:rPr>
        <w:t>have either</w:t>
      </w:r>
      <w:proofErr w:type="gramEnd"/>
      <w:r w:rsidRPr="008B0EF4">
        <w:rPr>
          <w:rFonts w:eastAsia="Calibri"/>
        </w:rPr>
        <w:t xml:space="preserve"> lost or lack property deeds in their names, they faced obstacles in proving ownership and claiming property rights upon their return.</w:t>
      </w:r>
      <w:r w:rsidR="003816E2" w:rsidRPr="008B0EF4">
        <w:rPr>
          <w:rStyle w:val="FootnoteReference"/>
          <w:rFonts w:eastAsia="Calibri"/>
        </w:rPr>
        <w:footnoteReference w:id="47"/>
      </w:r>
    </w:p>
    <w:p w14:paraId="194F0380" w14:textId="77777777" w:rsidR="007300E3" w:rsidRPr="008B0EF4" w:rsidRDefault="007300E3" w:rsidP="00F708CA">
      <w:pPr>
        <w:pStyle w:val="H1G"/>
      </w:pPr>
      <w:r w:rsidRPr="008B0EF4">
        <w:tab/>
      </w:r>
      <w:bookmarkStart w:id="20" w:name="_Toc16754920"/>
      <w:r w:rsidRPr="008B0EF4">
        <w:t>C.</w:t>
      </w:r>
      <w:r w:rsidRPr="008B0EF4">
        <w:tab/>
      </w:r>
      <w:bookmarkEnd w:id="20"/>
      <w:r w:rsidR="003816E2" w:rsidRPr="008B0EF4">
        <w:t>Children</w:t>
      </w:r>
    </w:p>
    <w:p w14:paraId="0745F9BB" w14:textId="7EAAF4A9" w:rsidR="003816E2" w:rsidRPr="008B0EF4" w:rsidRDefault="003816E2" w:rsidP="003816E2">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9</w:t>
      </w:r>
      <w:r w:rsidR="001B3EED" w:rsidRPr="008B0EF4">
        <w:rPr>
          <w:rFonts w:eastAsia="Calibri"/>
        </w:rPr>
        <w:t>3</w:t>
      </w:r>
      <w:r w:rsidRPr="008B0EF4">
        <w:rPr>
          <w:rFonts w:eastAsia="Calibri"/>
        </w:rPr>
        <w:t>.</w:t>
      </w:r>
      <w:r w:rsidRPr="008B0EF4">
        <w:rPr>
          <w:rFonts w:eastAsia="Calibri"/>
        </w:rPr>
        <w:tab/>
        <w:t xml:space="preserve">Children’s lives </w:t>
      </w:r>
      <w:proofErr w:type="gramStart"/>
      <w:r w:rsidRPr="008B0EF4">
        <w:rPr>
          <w:rFonts w:eastAsia="Calibri"/>
        </w:rPr>
        <w:t>have been scarred</w:t>
      </w:r>
      <w:proofErr w:type="gramEnd"/>
      <w:r w:rsidRPr="008B0EF4">
        <w:rPr>
          <w:rFonts w:eastAsia="Calibri"/>
        </w:rPr>
        <w:t xml:space="preserve"> by the brutality of the war in the Syria</w:t>
      </w:r>
      <w:r w:rsidR="00BE7A62">
        <w:rPr>
          <w:rFonts w:eastAsia="Calibri"/>
        </w:rPr>
        <w:t>n Arab Republic</w:t>
      </w:r>
      <w:r w:rsidRPr="008B0EF4">
        <w:rPr>
          <w:rFonts w:eastAsia="Calibri"/>
        </w:rPr>
        <w:t xml:space="preserve">. Contrary to the principle of </w:t>
      </w:r>
      <w:r w:rsidR="00BE7A62">
        <w:rPr>
          <w:rFonts w:eastAsia="Calibri"/>
        </w:rPr>
        <w:t xml:space="preserve">the </w:t>
      </w:r>
      <w:r w:rsidRPr="008B0EF4">
        <w:rPr>
          <w:rFonts w:eastAsia="Calibri"/>
        </w:rPr>
        <w:t>best interest</w:t>
      </w:r>
      <w:r w:rsidR="00BE7A62">
        <w:rPr>
          <w:rFonts w:eastAsia="Calibri"/>
        </w:rPr>
        <w:t>s</w:t>
      </w:r>
      <w:r w:rsidRPr="008B0EF4">
        <w:rPr>
          <w:rFonts w:eastAsia="Calibri"/>
        </w:rPr>
        <w:t xml:space="preserve"> of the child, countrywide</w:t>
      </w:r>
      <w:r w:rsidR="005C1D05">
        <w:rPr>
          <w:rFonts w:eastAsia="Calibri"/>
        </w:rPr>
        <w:t>,</w:t>
      </w:r>
      <w:r w:rsidRPr="008B0EF4">
        <w:rPr>
          <w:rFonts w:eastAsia="Calibri"/>
        </w:rPr>
        <w:t xml:space="preserve"> girls and boys have been </w:t>
      </w:r>
      <w:proofErr w:type="gramStart"/>
      <w:r w:rsidRPr="008B0EF4">
        <w:rPr>
          <w:rFonts w:eastAsia="Calibri"/>
        </w:rPr>
        <w:t>victimized</w:t>
      </w:r>
      <w:proofErr w:type="gramEnd"/>
      <w:r w:rsidRPr="008B0EF4">
        <w:rPr>
          <w:rFonts w:eastAsia="Calibri"/>
        </w:rPr>
        <w:t xml:space="preserve"> in numerous ways, continuously denied the special respect and protection they are entitled to under international humanitarian and international human rights law.</w:t>
      </w:r>
      <w:r w:rsidRPr="008B0EF4">
        <w:rPr>
          <w:rStyle w:val="FootnoteReference"/>
          <w:rFonts w:eastAsia="Calibri"/>
        </w:rPr>
        <w:footnoteReference w:id="48"/>
      </w:r>
      <w:r w:rsidRPr="008B0EF4">
        <w:rPr>
          <w:rFonts w:eastAsia="Calibri"/>
        </w:rPr>
        <w:t xml:space="preserve"> </w:t>
      </w:r>
    </w:p>
    <w:p w14:paraId="228A1F33" w14:textId="54D79D3F" w:rsidR="003816E2" w:rsidRPr="008B0EF4" w:rsidRDefault="003816E2" w:rsidP="003816E2">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9</w:t>
      </w:r>
      <w:r w:rsidR="001B3EED" w:rsidRPr="008B0EF4">
        <w:rPr>
          <w:rFonts w:eastAsia="Calibri"/>
        </w:rPr>
        <w:t>4</w:t>
      </w:r>
      <w:r w:rsidR="004C6F68" w:rsidRPr="008B0EF4">
        <w:rPr>
          <w:rFonts w:eastAsia="Calibri"/>
        </w:rPr>
        <w:t>.</w:t>
      </w:r>
      <w:r w:rsidRPr="008B0EF4">
        <w:rPr>
          <w:rFonts w:eastAsia="Calibri"/>
        </w:rPr>
        <w:tab/>
        <w:t xml:space="preserve">As violence increased in </w:t>
      </w:r>
      <w:r w:rsidR="00BE7A62">
        <w:rPr>
          <w:rFonts w:eastAsia="Calibri"/>
        </w:rPr>
        <w:t xml:space="preserve">the </w:t>
      </w:r>
      <w:r w:rsidRPr="008B0EF4">
        <w:rPr>
          <w:rFonts w:eastAsia="Calibri"/>
        </w:rPr>
        <w:t xml:space="preserve">north-east </w:t>
      </w:r>
      <w:r w:rsidR="00BE7A62">
        <w:rPr>
          <w:rFonts w:eastAsia="Calibri"/>
        </w:rPr>
        <w:t xml:space="preserve">of the </w:t>
      </w:r>
      <w:r w:rsidRPr="008B0EF4">
        <w:rPr>
          <w:rFonts w:eastAsia="Calibri"/>
        </w:rPr>
        <w:t>Syria</w:t>
      </w:r>
      <w:r w:rsidR="00BE7A62">
        <w:rPr>
          <w:rFonts w:eastAsia="Calibri"/>
        </w:rPr>
        <w:t>n Arab Republic</w:t>
      </w:r>
      <w:r w:rsidRPr="008B0EF4">
        <w:rPr>
          <w:rFonts w:eastAsia="Calibri"/>
        </w:rPr>
        <w:t xml:space="preserve"> from October onwards (para</w:t>
      </w:r>
      <w:r w:rsidR="00BE7A62">
        <w:rPr>
          <w:rFonts w:eastAsia="Calibri"/>
        </w:rPr>
        <w:t>s</w:t>
      </w:r>
      <w:r w:rsidRPr="008B0EF4">
        <w:rPr>
          <w:rFonts w:eastAsia="Calibri"/>
        </w:rPr>
        <w:t>. 46</w:t>
      </w:r>
      <w:r w:rsidR="00BE7A62">
        <w:rPr>
          <w:rFonts w:eastAsia="Calibri"/>
        </w:rPr>
        <w:t>–</w:t>
      </w:r>
      <w:r w:rsidRPr="008B0EF4">
        <w:rPr>
          <w:rFonts w:eastAsia="Calibri"/>
        </w:rPr>
        <w:t xml:space="preserve">53), approximately 150 schools closed down in </w:t>
      </w:r>
      <w:r w:rsidRPr="00ED25AD">
        <w:rPr>
          <w:rFonts w:eastAsia="Calibri"/>
        </w:rPr>
        <w:t>Tal</w:t>
      </w:r>
      <w:r w:rsidR="00ED25AD">
        <w:rPr>
          <w:rFonts w:eastAsia="Calibri"/>
        </w:rPr>
        <w:t>l</w:t>
      </w:r>
      <w:r w:rsidRPr="00ED25AD">
        <w:rPr>
          <w:rFonts w:eastAsia="Calibri"/>
        </w:rPr>
        <w:t xml:space="preserve"> </w:t>
      </w:r>
      <w:proofErr w:type="spellStart"/>
      <w:r w:rsidRPr="00ED25AD">
        <w:rPr>
          <w:rFonts w:eastAsia="Calibri"/>
        </w:rPr>
        <w:t>Abyad</w:t>
      </w:r>
      <w:proofErr w:type="spellEnd"/>
      <w:r w:rsidRPr="00ED25AD">
        <w:rPr>
          <w:rFonts w:eastAsia="Calibri"/>
        </w:rPr>
        <w:t xml:space="preserve"> and</w:t>
      </w:r>
      <w:r w:rsidRPr="008B0EF4">
        <w:rPr>
          <w:rFonts w:eastAsia="Calibri"/>
        </w:rPr>
        <w:t xml:space="preserve"> </w:t>
      </w:r>
      <w:r w:rsidR="003864BE">
        <w:rPr>
          <w:rFonts w:eastAsia="Calibri"/>
        </w:rPr>
        <w:t>Ra’s al-Ayn</w:t>
      </w:r>
      <w:r w:rsidRPr="008B0EF4">
        <w:rPr>
          <w:rFonts w:eastAsia="Calibri"/>
        </w:rPr>
        <w:t xml:space="preserve">, depriving scores of children </w:t>
      </w:r>
      <w:r w:rsidRPr="003E229B">
        <w:rPr>
          <w:rFonts w:eastAsia="Calibri"/>
        </w:rPr>
        <w:t xml:space="preserve">of access to schooling. Overwhelmed by the growing number of displaced persons, at least 60 schools in </w:t>
      </w:r>
      <w:proofErr w:type="spellStart"/>
      <w:r w:rsidRPr="003E229B">
        <w:rPr>
          <w:rFonts w:eastAsia="Calibri"/>
        </w:rPr>
        <w:t>Hasakah</w:t>
      </w:r>
      <w:proofErr w:type="spellEnd"/>
      <w:r w:rsidRPr="003E229B">
        <w:rPr>
          <w:rFonts w:eastAsia="Calibri"/>
        </w:rPr>
        <w:t xml:space="preserve"> and </w:t>
      </w:r>
      <w:proofErr w:type="spellStart"/>
      <w:r w:rsidRPr="003E229B">
        <w:rPr>
          <w:rFonts w:eastAsia="Calibri"/>
        </w:rPr>
        <w:t>Qamishli</w:t>
      </w:r>
      <w:proofErr w:type="spellEnd"/>
      <w:r w:rsidRPr="003E229B">
        <w:rPr>
          <w:rFonts w:eastAsia="Calibri"/>
        </w:rPr>
        <w:t xml:space="preserve"> </w:t>
      </w:r>
      <w:r w:rsidR="00BE7A62" w:rsidRPr="003E229B">
        <w:rPr>
          <w:rFonts w:eastAsia="Calibri"/>
        </w:rPr>
        <w:t>C</w:t>
      </w:r>
      <w:r w:rsidRPr="003E229B">
        <w:rPr>
          <w:rFonts w:eastAsia="Calibri"/>
        </w:rPr>
        <w:t>ities</w:t>
      </w:r>
      <w:r w:rsidRPr="008B0EF4">
        <w:rPr>
          <w:rFonts w:eastAsia="Calibri"/>
        </w:rPr>
        <w:t xml:space="preserve"> </w:t>
      </w:r>
      <w:proofErr w:type="gramStart"/>
      <w:r w:rsidRPr="008B0EF4">
        <w:rPr>
          <w:rFonts w:eastAsia="Calibri"/>
        </w:rPr>
        <w:t>were temporarily transformed</w:t>
      </w:r>
      <w:proofErr w:type="gramEnd"/>
      <w:r w:rsidRPr="008B0EF4">
        <w:rPr>
          <w:rFonts w:eastAsia="Calibri"/>
        </w:rPr>
        <w:t xml:space="preserve"> into shelters for displaced persons, which resulted in the suspension of classes for at least 17,000 pupils. Around 20 schools were reported to have been destroyed in </w:t>
      </w:r>
      <w:r w:rsidR="003864BE">
        <w:rPr>
          <w:rFonts w:eastAsia="Calibri"/>
        </w:rPr>
        <w:t>Ra’s al-Ayn</w:t>
      </w:r>
      <w:r w:rsidRPr="008B0EF4">
        <w:rPr>
          <w:rFonts w:eastAsia="Calibri"/>
        </w:rPr>
        <w:t xml:space="preserve">, </w:t>
      </w:r>
      <w:r w:rsidRPr="005F149B">
        <w:rPr>
          <w:rFonts w:eastAsia="Calibri"/>
        </w:rPr>
        <w:t xml:space="preserve">including </w:t>
      </w:r>
      <w:proofErr w:type="spellStart"/>
      <w:r w:rsidRPr="005F149B">
        <w:rPr>
          <w:rFonts w:eastAsia="Calibri"/>
        </w:rPr>
        <w:t>Khed</w:t>
      </w:r>
      <w:proofErr w:type="spellEnd"/>
      <w:r w:rsidRPr="005F149B">
        <w:rPr>
          <w:rFonts w:eastAsia="Calibri"/>
        </w:rPr>
        <w:t xml:space="preserve"> </w:t>
      </w:r>
      <w:proofErr w:type="spellStart"/>
      <w:r w:rsidRPr="005F149B">
        <w:rPr>
          <w:rFonts w:eastAsia="Calibri"/>
        </w:rPr>
        <w:t>Derei</w:t>
      </w:r>
      <w:proofErr w:type="spellEnd"/>
      <w:r w:rsidRPr="005F149B">
        <w:rPr>
          <w:rFonts w:eastAsia="Calibri"/>
        </w:rPr>
        <w:t xml:space="preserve"> </w:t>
      </w:r>
      <w:proofErr w:type="gramStart"/>
      <w:r w:rsidRPr="005F149B">
        <w:rPr>
          <w:rFonts w:eastAsia="Calibri"/>
        </w:rPr>
        <w:t>school</w:t>
      </w:r>
      <w:proofErr w:type="gramEnd"/>
      <w:r w:rsidR="004C7587" w:rsidRPr="005F149B">
        <w:rPr>
          <w:rFonts w:eastAsia="Calibri"/>
        </w:rPr>
        <w:t>,</w:t>
      </w:r>
      <w:r w:rsidRPr="005F149B">
        <w:rPr>
          <w:rFonts w:eastAsia="Calibri"/>
        </w:rPr>
        <w:t xml:space="preserve"> which</w:t>
      </w:r>
      <w:r w:rsidRPr="008B0EF4">
        <w:rPr>
          <w:rFonts w:eastAsia="Calibri"/>
        </w:rPr>
        <w:t xml:space="preserve"> was damaged on 11 October. The school hosted approximately 1,500 students. </w:t>
      </w:r>
    </w:p>
    <w:p w14:paraId="27DBBE12" w14:textId="508E3F02" w:rsidR="003816E2" w:rsidRPr="008B0EF4" w:rsidRDefault="003816E2" w:rsidP="003816E2">
      <w:pPr>
        <w:suppressAutoHyphens/>
        <w:kinsoku w:val="0"/>
        <w:overflowPunct w:val="0"/>
        <w:autoSpaceDE w:val="0"/>
        <w:autoSpaceDN w:val="0"/>
        <w:adjustRightInd w:val="0"/>
        <w:snapToGrid w:val="0"/>
        <w:spacing w:after="120" w:line="240" w:lineRule="atLeast"/>
        <w:ind w:left="1134" w:right="1134"/>
        <w:jc w:val="both"/>
        <w:rPr>
          <w:rFonts w:eastAsia="Calibri"/>
          <w:vertAlign w:val="superscript"/>
        </w:rPr>
      </w:pPr>
      <w:r w:rsidRPr="008B0EF4">
        <w:rPr>
          <w:rFonts w:eastAsia="Calibri"/>
        </w:rPr>
        <w:t>9</w:t>
      </w:r>
      <w:r w:rsidR="001B3EED" w:rsidRPr="008B0EF4">
        <w:rPr>
          <w:rFonts w:eastAsia="Calibri"/>
        </w:rPr>
        <w:t>5</w:t>
      </w:r>
      <w:r w:rsidRPr="008B0EF4">
        <w:rPr>
          <w:rFonts w:eastAsia="Calibri"/>
        </w:rPr>
        <w:t>.</w:t>
      </w:r>
      <w:r w:rsidRPr="008B0EF4">
        <w:rPr>
          <w:rFonts w:eastAsia="Calibri"/>
        </w:rPr>
        <w:tab/>
        <w:t xml:space="preserve">Syrian women with familial links to ISIL fighters continued </w:t>
      </w:r>
      <w:r w:rsidR="004C7587">
        <w:rPr>
          <w:rFonts w:eastAsia="Calibri"/>
        </w:rPr>
        <w:t xml:space="preserve">to </w:t>
      </w:r>
      <w:r w:rsidRPr="008B0EF4">
        <w:rPr>
          <w:rFonts w:eastAsia="Calibri"/>
        </w:rPr>
        <w:t>fac</w:t>
      </w:r>
      <w:r w:rsidR="004C7587">
        <w:rPr>
          <w:rFonts w:eastAsia="Calibri"/>
        </w:rPr>
        <w:t>e</w:t>
      </w:r>
      <w:r w:rsidRPr="008B0EF4">
        <w:rPr>
          <w:rFonts w:eastAsia="Calibri"/>
        </w:rPr>
        <w:t xml:space="preserve"> obstacles in registering their children with </w:t>
      </w:r>
      <w:r w:rsidR="004C7587">
        <w:rPr>
          <w:rFonts w:eastAsia="Calibri"/>
        </w:rPr>
        <w:t xml:space="preserve">the </w:t>
      </w:r>
      <w:r w:rsidRPr="008B0EF4">
        <w:rPr>
          <w:rFonts w:eastAsia="Calibri"/>
        </w:rPr>
        <w:t xml:space="preserve">competent authorities upon </w:t>
      </w:r>
      <w:r w:rsidR="004C7587">
        <w:rPr>
          <w:rFonts w:eastAsia="Calibri"/>
        </w:rPr>
        <w:t xml:space="preserve">their </w:t>
      </w:r>
      <w:r w:rsidRPr="008B0EF4">
        <w:rPr>
          <w:rFonts w:eastAsia="Calibri"/>
        </w:rPr>
        <w:t xml:space="preserve">return to </w:t>
      </w:r>
      <w:r w:rsidR="004C7587">
        <w:rPr>
          <w:rFonts w:eastAsia="Calibri"/>
        </w:rPr>
        <w:t>g</w:t>
      </w:r>
      <w:r w:rsidRPr="008B0EF4">
        <w:rPr>
          <w:rFonts w:eastAsia="Calibri"/>
        </w:rPr>
        <w:t>overnment-controlled areas.</w:t>
      </w:r>
      <w:r w:rsidRPr="008B0EF4">
        <w:rPr>
          <w:rStyle w:val="FootnoteReference"/>
          <w:rFonts w:eastAsia="Calibri"/>
        </w:rPr>
        <w:footnoteReference w:id="49"/>
      </w:r>
      <w:r w:rsidRPr="008B0EF4">
        <w:rPr>
          <w:rFonts w:eastAsia="Calibri"/>
        </w:rPr>
        <w:t xml:space="preserve"> Mothers of children born in areas retaken by the Government, such as eastern </w:t>
      </w:r>
      <w:proofErr w:type="spellStart"/>
      <w:r w:rsidR="0038189E">
        <w:rPr>
          <w:rFonts w:eastAsia="Calibri"/>
        </w:rPr>
        <w:t>Ghutah</w:t>
      </w:r>
      <w:proofErr w:type="spellEnd"/>
      <w:r w:rsidRPr="008B0EF4">
        <w:rPr>
          <w:rFonts w:eastAsia="Calibri"/>
        </w:rPr>
        <w:t>, encounter similar challenges since authorities do not accept civil documentation provided by armed groups. Such decisions substantially compromise children’s right to acquire a nationality,</w:t>
      </w:r>
      <w:r w:rsidRPr="008B0EF4">
        <w:rPr>
          <w:rStyle w:val="FootnoteReference"/>
          <w:rFonts w:eastAsia="Calibri"/>
        </w:rPr>
        <w:footnoteReference w:id="50"/>
      </w:r>
      <w:r w:rsidRPr="008B0EF4">
        <w:rPr>
          <w:rFonts w:eastAsia="Calibri"/>
          <w:vertAlign w:val="superscript"/>
        </w:rPr>
        <w:t xml:space="preserve"> </w:t>
      </w:r>
      <w:r w:rsidRPr="008B0EF4">
        <w:rPr>
          <w:rFonts w:eastAsia="Calibri"/>
        </w:rPr>
        <w:t xml:space="preserve">as well as access to health and education, and further expose them to </w:t>
      </w:r>
      <w:r w:rsidR="004C7587">
        <w:rPr>
          <w:rFonts w:eastAsia="Calibri"/>
        </w:rPr>
        <w:t xml:space="preserve">the </w:t>
      </w:r>
      <w:r w:rsidRPr="008B0EF4">
        <w:rPr>
          <w:rFonts w:eastAsia="Calibri"/>
        </w:rPr>
        <w:t xml:space="preserve">risks of child exploitation and trafficking. </w:t>
      </w:r>
    </w:p>
    <w:p w14:paraId="34178A83" w14:textId="678D111F" w:rsidR="003816E2" w:rsidRPr="008B0EF4" w:rsidRDefault="003816E2" w:rsidP="003816E2">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9</w:t>
      </w:r>
      <w:r w:rsidR="001B3EED" w:rsidRPr="008B0EF4">
        <w:rPr>
          <w:rFonts w:eastAsia="Calibri"/>
        </w:rPr>
        <w:t>6</w:t>
      </w:r>
      <w:r w:rsidR="004C6F68" w:rsidRPr="008B0EF4">
        <w:rPr>
          <w:rFonts w:eastAsia="Calibri"/>
        </w:rPr>
        <w:t>.</w:t>
      </w:r>
      <w:r w:rsidRPr="008B0EF4">
        <w:rPr>
          <w:rFonts w:eastAsia="Calibri"/>
        </w:rPr>
        <w:tab/>
        <w:t xml:space="preserve">Children are particularly vulnerable when forced to relocate to displacement camps. </w:t>
      </w:r>
      <w:r w:rsidRPr="005F149B">
        <w:rPr>
          <w:rFonts w:eastAsia="Calibri"/>
        </w:rPr>
        <w:t>As with</w:t>
      </w:r>
      <w:r w:rsidR="00F013D9" w:rsidRPr="005F149B">
        <w:rPr>
          <w:rFonts w:eastAsia="Calibri"/>
        </w:rPr>
        <w:t xml:space="preserve"> </w:t>
      </w:r>
      <w:proofErr w:type="spellStart"/>
      <w:r w:rsidR="00F013D9" w:rsidRPr="005F149B">
        <w:rPr>
          <w:rFonts w:eastAsia="Calibri"/>
        </w:rPr>
        <w:t>Rukban</w:t>
      </w:r>
      <w:proofErr w:type="spellEnd"/>
      <w:r w:rsidR="00F013D9" w:rsidRPr="005F149B">
        <w:rPr>
          <w:rFonts w:eastAsia="Calibri"/>
        </w:rPr>
        <w:t xml:space="preserve"> camp (para</w:t>
      </w:r>
      <w:r w:rsidR="004C7587" w:rsidRPr="005F149B">
        <w:rPr>
          <w:rFonts w:eastAsia="Calibri"/>
        </w:rPr>
        <w:t>s</w:t>
      </w:r>
      <w:r w:rsidR="00F013D9" w:rsidRPr="005F149B">
        <w:rPr>
          <w:rFonts w:eastAsia="Calibri"/>
        </w:rPr>
        <w:t>. 85</w:t>
      </w:r>
      <w:r w:rsidR="004C7587" w:rsidRPr="005F149B">
        <w:rPr>
          <w:rFonts w:eastAsia="Calibri"/>
        </w:rPr>
        <w:t>–</w:t>
      </w:r>
      <w:r w:rsidR="00F013D9" w:rsidRPr="005F149B">
        <w:rPr>
          <w:rFonts w:eastAsia="Calibri"/>
        </w:rPr>
        <w:t>87</w:t>
      </w:r>
      <w:r w:rsidRPr="005F149B">
        <w:rPr>
          <w:rFonts w:eastAsia="Calibri"/>
        </w:rPr>
        <w:t xml:space="preserve">), tens of thousands of children in </w:t>
      </w:r>
      <w:proofErr w:type="spellStart"/>
      <w:r w:rsidR="00F76D6E">
        <w:rPr>
          <w:rFonts w:eastAsia="Calibri"/>
        </w:rPr>
        <w:t>Hawl</w:t>
      </w:r>
      <w:proofErr w:type="spellEnd"/>
      <w:r w:rsidRPr="005F149B">
        <w:rPr>
          <w:rFonts w:eastAsia="Calibri"/>
        </w:rPr>
        <w:t>, around</w:t>
      </w:r>
      <w:r w:rsidRPr="008B0EF4">
        <w:rPr>
          <w:rFonts w:eastAsia="Calibri"/>
        </w:rPr>
        <w:t xml:space="preserve"> 1,200 of whom are unaccompanied, remain stranded with marginal access to food, clean water, medical care and education. Girls and boys, many of whom </w:t>
      </w:r>
      <w:proofErr w:type="gramStart"/>
      <w:r w:rsidRPr="008B0EF4">
        <w:rPr>
          <w:rFonts w:eastAsia="Calibri"/>
        </w:rPr>
        <w:t>are orphaned</w:t>
      </w:r>
      <w:proofErr w:type="gramEnd"/>
      <w:r w:rsidRPr="008B0EF4">
        <w:rPr>
          <w:rFonts w:eastAsia="Calibri"/>
        </w:rPr>
        <w:t xml:space="preserve">, were adversely affected by the continuously deteriorating conditions in the camp, with children suffering from malnutrition, infectious diseases and measles. </w:t>
      </w:r>
    </w:p>
    <w:p w14:paraId="0629927E" w14:textId="58921847" w:rsidR="003816E2" w:rsidRPr="008B0EF4" w:rsidRDefault="003816E2" w:rsidP="003816E2">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9</w:t>
      </w:r>
      <w:r w:rsidR="001B3EED" w:rsidRPr="008B0EF4">
        <w:rPr>
          <w:rFonts w:eastAsia="Calibri"/>
        </w:rPr>
        <w:t>7</w:t>
      </w:r>
      <w:r w:rsidR="004C6F68" w:rsidRPr="008B0EF4">
        <w:rPr>
          <w:rFonts w:eastAsia="Calibri"/>
        </w:rPr>
        <w:t>.</w:t>
      </w:r>
      <w:r w:rsidRPr="008B0EF4">
        <w:rPr>
          <w:rFonts w:eastAsia="Calibri"/>
        </w:rPr>
        <w:tab/>
        <w:t xml:space="preserve">Inside camps in areas under the control of </w:t>
      </w:r>
      <w:r w:rsidR="007B3029">
        <w:rPr>
          <w:rFonts w:eastAsia="Calibri"/>
        </w:rPr>
        <w:t xml:space="preserve">the </w:t>
      </w:r>
      <w:r w:rsidR="007B3029" w:rsidRPr="006E4468">
        <w:rPr>
          <w:lang w:eastAsia="en-US"/>
        </w:rPr>
        <w:t>Syrian Democratic Forces</w:t>
      </w:r>
      <w:r w:rsidRPr="008B0EF4">
        <w:rPr>
          <w:rFonts w:eastAsia="Calibri"/>
        </w:rPr>
        <w:t xml:space="preserve">, foreign children with familial links to ISIL fighters continued languishing in despair while increasingly vulnerable to abuse, years after they </w:t>
      </w:r>
      <w:proofErr w:type="gramStart"/>
      <w:r w:rsidRPr="008B0EF4">
        <w:rPr>
          <w:rFonts w:eastAsia="Calibri"/>
        </w:rPr>
        <w:t>were brought</w:t>
      </w:r>
      <w:proofErr w:type="gramEnd"/>
      <w:r w:rsidRPr="008B0EF4">
        <w:rPr>
          <w:rFonts w:eastAsia="Calibri"/>
        </w:rPr>
        <w:t xml:space="preserve"> into the country. Given the deplorable decision of many Governments of origin </w:t>
      </w:r>
      <w:r w:rsidR="004C7587">
        <w:rPr>
          <w:rFonts w:eastAsia="Calibri"/>
        </w:rPr>
        <w:t xml:space="preserve">to </w:t>
      </w:r>
      <w:r w:rsidRPr="008B0EF4">
        <w:rPr>
          <w:rFonts w:eastAsia="Calibri"/>
        </w:rPr>
        <w:t>refuse repatriation,</w:t>
      </w:r>
      <w:r w:rsidRPr="008B0EF4">
        <w:rPr>
          <w:rStyle w:val="FootnoteReference"/>
          <w:rFonts w:eastAsia="Calibri"/>
        </w:rPr>
        <w:footnoteReference w:id="51"/>
      </w:r>
      <w:r w:rsidRPr="008B0EF4">
        <w:rPr>
          <w:rFonts w:eastAsia="Calibri"/>
        </w:rPr>
        <w:t xml:space="preserve"> thousands of children from over </w:t>
      </w:r>
      <w:r w:rsidR="00581E13" w:rsidRPr="008B0EF4">
        <w:rPr>
          <w:rFonts w:eastAsia="Calibri"/>
        </w:rPr>
        <w:t xml:space="preserve">50 </w:t>
      </w:r>
      <w:r w:rsidRPr="008B0EF4">
        <w:rPr>
          <w:rFonts w:eastAsia="Calibri"/>
        </w:rPr>
        <w:t xml:space="preserve">countries, the majority of whom are younger than 12 years of age, remain in a legal limbo waiting to be able to </w:t>
      </w:r>
      <w:r w:rsidR="004C7587">
        <w:rPr>
          <w:rFonts w:eastAsia="Calibri"/>
        </w:rPr>
        <w:t>return</w:t>
      </w:r>
      <w:r w:rsidRPr="008B0EF4">
        <w:rPr>
          <w:rFonts w:eastAsia="Calibri"/>
        </w:rPr>
        <w:t xml:space="preserve">. </w:t>
      </w:r>
    </w:p>
    <w:p w14:paraId="03E5A985" w14:textId="650BB29C" w:rsidR="007300E3" w:rsidRPr="008B0EF4" w:rsidRDefault="001B3EED" w:rsidP="003816E2">
      <w:pPr>
        <w:suppressAutoHyphens/>
        <w:kinsoku w:val="0"/>
        <w:overflowPunct w:val="0"/>
        <w:autoSpaceDE w:val="0"/>
        <w:autoSpaceDN w:val="0"/>
        <w:adjustRightInd w:val="0"/>
        <w:snapToGrid w:val="0"/>
        <w:spacing w:after="120" w:line="240" w:lineRule="atLeast"/>
        <w:ind w:left="1134" w:right="1134"/>
        <w:jc w:val="both"/>
        <w:rPr>
          <w:rFonts w:eastAsia="Calibri"/>
        </w:rPr>
      </w:pPr>
      <w:r w:rsidRPr="008B0EF4">
        <w:rPr>
          <w:rFonts w:eastAsia="Calibri"/>
        </w:rPr>
        <w:t>98</w:t>
      </w:r>
      <w:r w:rsidR="004C6F68" w:rsidRPr="008B0EF4">
        <w:rPr>
          <w:rFonts w:eastAsia="Calibri"/>
        </w:rPr>
        <w:t>.</w:t>
      </w:r>
      <w:r w:rsidR="003816E2" w:rsidRPr="008B0EF4">
        <w:rPr>
          <w:rFonts w:eastAsia="Calibri"/>
        </w:rPr>
        <w:tab/>
      </w:r>
      <w:r w:rsidR="00250688" w:rsidRPr="008B0EF4">
        <w:rPr>
          <w:rFonts w:eastAsia="Calibri"/>
        </w:rPr>
        <w:t xml:space="preserve">In a welcome development, </w:t>
      </w:r>
      <w:r w:rsidR="003816E2" w:rsidRPr="008B0EF4">
        <w:rPr>
          <w:rFonts w:eastAsia="Calibri"/>
        </w:rPr>
        <w:t xml:space="preserve">boys, primarily of Syrian </w:t>
      </w:r>
      <w:r w:rsidR="003816E2" w:rsidRPr="005F149B">
        <w:rPr>
          <w:rFonts w:eastAsia="Calibri"/>
        </w:rPr>
        <w:t xml:space="preserve">nationality, previously unlawfully interned by </w:t>
      </w:r>
      <w:r w:rsidR="007B3029" w:rsidRPr="005F149B">
        <w:rPr>
          <w:rFonts w:eastAsia="Calibri"/>
        </w:rPr>
        <w:t xml:space="preserve">the </w:t>
      </w:r>
      <w:r w:rsidR="007B3029" w:rsidRPr="005F149B">
        <w:rPr>
          <w:lang w:eastAsia="en-US"/>
        </w:rPr>
        <w:t>Syrian Democratic Forces</w:t>
      </w:r>
      <w:r w:rsidR="003816E2" w:rsidRPr="005F149B">
        <w:rPr>
          <w:rFonts w:eastAsia="Calibri"/>
        </w:rPr>
        <w:t xml:space="preserve">, </w:t>
      </w:r>
      <w:proofErr w:type="gramStart"/>
      <w:r w:rsidR="003816E2" w:rsidRPr="005F149B">
        <w:rPr>
          <w:rFonts w:eastAsia="Calibri"/>
        </w:rPr>
        <w:t>have been placed</w:t>
      </w:r>
      <w:proofErr w:type="gramEnd"/>
      <w:r w:rsidR="003816E2" w:rsidRPr="005F149B">
        <w:rPr>
          <w:rFonts w:eastAsia="Calibri"/>
        </w:rPr>
        <w:t xml:space="preserve"> in </w:t>
      </w:r>
      <w:r w:rsidR="005F149B" w:rsidRPr="00D6133C">
        <w:rPr>
          <w:rFonts w:eastAsia="Calibri"/>
        </w:rPr>
        <w:t>A</w:t>
      </w:r>
      <w:r w:rsidR="003816E2" w:rsidRPr="005F149B">
        <w:rPr>
          <w:rFonts w:eastAsia="Calibri"/>
        </w:rPr>
        <w:t>l-</w:t>
      </w:r>
      <w:proofErr w:type="spellStart"/>
      <w:r w:rsidR="003816E2" w:rsidRPr="005F149B">
        <w:rPr>
          <w:rFonts w:eastAsia="Calibri"/>
        </w:rPr>
        <w:t>Houri</w:t>
      </w:r>
      <w:proofErr w:type="spellEnd"/>
      <w:r w:rsidR="003816E2" w:rsidRPr="008B0EF4">
        <w:rPr>
          <w:rFonts w:eastAsia="Calibri"/>
        </w:rPr>
        <w:t xml:space="preserve"> juvenile rehabilitation </w:t>
      </w:r>
      <w:r w:rsidR="003816E2" w:rsidRPr="005F149B">
        <w:rPr>
          <w:rFonts w:eastAsia="Calibri"/>
        </w:rPr>
        <w:t>cent</w:t>
      </w:r>
      <w:r w:rsidR="004C7587" w:rsidRPr="005F149B">
        <w:rPr>
          <w:rFonts w:eastAsia="Calibri"/>
        </w:rPr>
        <w:t>re</w:t>
      </w:r>
      <w:r w:rsidR="003816E2" w:rsidRPr="005F149B">
        <w:rPr>
          <w:rFonts w:eastAsia="Calibri"/>
        </w:rPr>
        <w:t xml:space="preserve"> in </w:t>
      </w:r>
      <w:proofErr w:type="spellStart"/>
      <w:r w:rsidR="003816E2" w:rsidRPr="005F149B">
        <w:rPr>
          <w:rFonts w:eastAsia="Calibri"/>
        </w:rPr>
        <w:t>Hasakah</w:t>
      </w:r>
      <w:proofErr w:type="spellEnd"/>
      <w:r w:rsidR="003816E2" w:rsidRPr="005F149B">
        <w:rPr>
          <w:rFonts w:eastAsia="Calibri"/>
        </w:rPr>
        <w:t>, pursuant</w:t>
      </w:r>
      <w:r w:rsidR="003816E2" w:rsidRPr="008B0EF4">
        <w:rPr>
          <w:rFonts w:eastAsia="Calibri"/>
        </w:rPr>
        <w:t xml:space="preserve"> to decisions emanating from makeshift </w:t>
      </w:r>
      <w:r w:rsidR="007B3029" w:rsidRPr="008B0EF4">
        <w:rPr>
          <w:rFonts w:eastAsia="Calibri"/>
        </w:rPr>
        <w:t>judicial bodies</w:t>
      </w:r>
      <w:r w:rsidR="007B3029">
        <w:rPr>
          <w:rFonts w:eastAsia="Calibri"/>
        </w:rPr>
        <w:t xml:space="preserve"> </w:t>
      </w:r>
      <w:r w:rsidR="003816E2" w:rsidRPr="008B0EF4">
        <w:rPr>
          <w:rFonts w:eastAsia="Calibri"/>
        </w:rPr>
        <w:t xml:space="preserve">affiliated </w:t>
      </w:r>
      <w:r w:rsidR="007B3029">
        <w:rPr>
          <w:rFonts w:eastAsia="Calibri"/>
        </w:rPr>
        <w:t xml:space="preserve">to the </w:t>
      </w:r>
      <w:r w:rsidR="007B3029" w:rsidRPr="006E4468">
        <w:rPr>
          <w:lang w:eastAsia="en-US"/>
        </w:rPr>
        <w:t>Syrian Democratic Forces</w:t>
      </w:r>
      <w:r w:rsidR="003816E2" w:rsidRPr="008B0EF4">
        <w:rPr>
          <w:rFonts w:eastAsia="Calibri"/>
        </w:rPr>
        <w:t xml:space="preserve">. </w:t>
      </w:r>
      <w:proofErr w:type="gramStart"/>
      <w:r w:rsidR="003816E2" w:rsidRPr="008B0EF4">
        <w:rPr>
          <w:rFonts w:eastAsia="Calibri"/>
        </w:rPr>
        <w:t>This is one of few viable options given the refusal by States to repatriate their nationals, including children who remain at risk of statelessness, and the record of crimes committed by the Government</w:t>
      </w:r>
      <w:r w:rsidR="004C7587">
        <w:rPr>
          <w:rFonts w:eastAsia="Calibri"/>
        </w:rPr>
        <w:t xml:space="preserve"> of the </w:t>
      </w:r>
      <w:r w:rsidR="004C7587" w:rsidRPr="008B0EF4">
        <w:rPr>
          <w:rFonts w:eastAsia="Calibri"/>
        </w:rPr>
        <w:t xml:space="preserve">Syrian </w:t>
      </w:r>
      <w:r w:rsidR="004C7587">
        <w:rPr>
          <w:rFonts w:eastAsia="Calibri"/>
        </w:rPr>
        <w:t>Arab Republic</w:t>
      </w:r>
      <w:r w:rsidR="003816E2" w:rsidRPr="008B0EF4">
        <w:rPr>
          <w:rFonts w:eastAsia="Calibri"/>
        </w:rPr>
        <w:t>.</w:t>
      </w:r>
      <w:proofErr w:type="gramEnd"/>
      <w:r w:rsidR="003816E2" w:rsidRPr="008B0EF4">
        <w:rPr>
          <w:rStyle w:val="FootnoteReference"/>
          <w:rFonts w:eastAsia="Calibri"/>
        </w:rPr>
        <w:footnoteReference w:id="52"/>
      </w:r>
      <w:r w:rsidR="003816E2" w:rsidRPr="008B0EF4">
        <w:rPr>
          <w:rFonts w:eastAsia="Calibri"/>
        </w:rPr>
        <w:t xml:space="preserve"> </w:t>
      </w:r>
      <w:proofErr w:type="gramStart"/>
      <w:r w:rsidR="003816E2" w:rsidRPr="008B0EF4">
        <w:rPr>
          <w:rFonts w:eastAsia="Calibri"/>
        </w:rPr>
        <w:t>In the absence of parallel measures at the State or international level to deal effectively with children with perceived links to ISIL, and the threats posed by young men of fighting age associated with ISIL fighters, the Commission notes that any such measures undertaken by non-</w:t>
      </w:r>
      <w:r w:rsidR="00581E13" w:rsidRPr="008B0EF4">
        <w:rPr>
          <w:rFonts w:eastAsia="Calibri"/>
        </w:rPr>
        <w:t>S</w:t>
      </w:r>
      <w:r w:rsidR="003816E2" w:rsidRPr="008B0EF4">
        <w:rPr>
          <w:rFonts w:eastAsia="Calibri"/>
        </w:rPr>
        <w:t>tate actors (</w:t>
      </w:r>
      <w:r w:rsidR="007B3029">
        <w:rPr>
          <w:rFonts w:eastAsia="Calibri"/>
        </w:rPr>
        <w:t xml:space="preserve">the </w:t>
      </w:r>
      <w:r w:rsidR="007B3029" w:rsidRPr="006E4468">
        <w:rPr>
          <w:lang w:eastAsia="en-US"/>
        </w:rPr>
        <w:t>Syrian Democratic Forces</w:t>
      </w:r>
      <w:r w:rsidR="003816E2" w:rsidRPr="008B0EF4">
        <w:rPr>
          <w:rFonts w:eastAsia="Calibri"/>
        </w:rPr>
        <w:t>) must adhere to juvenile justice standards, including incorporating the best interests of the child.</w:t>
      </w:r>
      <w:r w:rsidR="003816E2" w:rsidRPr="008B0EF4">
        <w:rPr>
          <w:rStyle w:val="FootnoteReference"/>
          <w:rFonts w:eastAsia="Calibri"/>
        </w:rPr>
        <w:footnoteReference w:id="53"/>
      </w:r>
      <w:proofErr w:type="gramEnd"/>
      <w:r w:rsidR="003816E2" w:rsidRPr="008B0EF4">
        <w:rPr>
          <w:rFonts w:eastAsia="Calibri"/>
        </w:rPr>
        <w:t xml:space="preserve"> Investigations into that matter are ongoing.</w:t>
      </w:r>
    </w:p>
    <w:p w14:paraId="1CA4FA35" w14:textId="77777777" w:rsidR="007300E3" w:rsidRPr="008B0EF4" w:rsidRDefault="007300E3" w:rsidP="00ED63B5">
      <w:pPr>
        <w:pStyle w:val="HChG"/>
      </w:pPr>
      <w:r w:rsidRPr="008B0EF4">
        <w:tab/>
      </w:r>
      <w:bookmarkStart w:id="21" w:name="_Toc16754922"/>
      <w:r w:rsidRPr="008B0EF4">
        <w:t>VI.</w:t>
      </w:r>
      <w:r w:rsidRPr="008B0EF4">
        <w:tab/>
        <w:t>Recommendations</w:t>
      </w:r>
      <w:bookmarkEnd w:id="21"/>
    </w:p>
    <w:p w14:paraId="001F8126" w14:textId="77777777" w:rsidR="003816E2" w:rsidRPr="008B0EF4" w:rsidRDefault="001B3EED" w:rsidP="003816E2">
      <w:pPr>
        <w:pStyle w:val="SingleTxtG"/>
        <w:rPr>
          <w:rFonts w:eastAsia="Calibri"/>
        </w:rPr>
      </w:pPr>
      <w:r w:rsidRPr="008B0EF4">
        <w:t>99</w:t>
      </w:r>
      <w:r w:rsidR="007300E3" w:rsidRPr="008B0EF4">
        <w:t>.</w:t>
      </w:r>
      <w:r w:rsidR="007300E3" w:rsidRPr="008B0EF4">
        <w:tab/>
      </w:r>
      <w:r w:rsidR="003816E2" w:rsidRPr="008B0EF4">
        <w:rPr>
          <w:rFonts w:eastAsia="Calibri"/>
        </w:rPr>
        <w:t>The Commission reiterates the recommendations made in its previous reports, with particular emphasis on the protection of civilians, including displaced populations, especially in areas in which there are ongoing hostilities</w:t>
      </w:r>
      <w:r w:rsidR="00581E13" w:rsidRPr="008B0EF4">
        <w:rPr>
          <w:rFonts w:eastAsia="Calibri"/>
        </w:rPr>
        <w:t>.</w:t>
      </w:r>
    </w:p>
    <w:p w14:paraId="53AA43A1" w14:textId="77777777" w:rsidR="007300E3" w:rsidRPr="008B0EF4" w:rsidRDefault="001B3EED" w:rsidP="003816E2">
      <w:pPr>
        <w:pStyle w:val="SingleTxtG"/>
        <w:rPr>
          <w:b/>
          <w:bCs/>
        </w:rPr>
      </w:pPr>
      <w:r w:rsidRPr="008B0EF4">
        <w:t>100</w:t>
      </w:r>
      <w:r w:rsidR="007300E3" w:rsidRPr="008B0EF4">
        <w:t>.</w:t>
      </w:r>
      <w:r w:rsidR="007300E3" w:rsidRPr="008B0EF4">
        <w:tab/>
      </w:r>
      <w:r w:rsidR="007300E3" w:rsidRPr="008B0EF4">
        <w:rPr>
          <w:b/>
          <w:bCs/>
        </w:rPr>
        <w:t>The Commission recommends that the Government of the Syrian Arab Republic:</w:t>
      </w:r>
    </w:p>
    <w:p w14:paraId="45F15380" w14:textId="22FC1389" w:rsidR="007300E3" w:rsidRPr="008B0EF4" w:rsidRDefault="00581E13" w:rsidP="007300E3">
      <w:pPr>
        <w:pStyle w:val="SingleTxtG"/>
        <w:rPr>
          <w:b/>
          <w:bCs/>
        </w:rPr>
      </w:pPr>
      <w:r w:rsidRPr="008B0EF4">
        <w:tab/>
      </w:r>
      <w:r w:rsidR="00ED63B5" w:rsidRPr="008B0EF4">
        <w:tab/>
      </w:r>
      <w:r w:rsidR="007300E3" w:rsidRPr="008B0EF4">
        <w:t>(a)</w:t>
      </w:r>
      <w:r w:rsidR="007300E3" w:rsidRPr="008B0EF4">
        <w:tab/>
      </w:r>
      <w:r w:rsidR="003816E2" w:rsidRPr="008B0EF4">
        <w:rPr>
          <w:rFonts w:eastAsia="Calibri"/>
          <w:b/>
        </w:rPr>
        <w:t>Allow unfettered access for independent humanitarian, protection and human rights organi</w:t>
      </w:r>
      <w:r w:rsidR="006F1F53">
        <w:rPr>
          <w:rFonts w:eastAsia="Calibri"/>
          <w:b/>
        </w:rPr>
        <w:t>z</w:t>
      </w:r>
      <w:r w:rsidR="003816E2" w:rsidRPr="008B0EF4">
        <w:rPr>
          <w:rFonts w:eastAsia="Calibri"/>
          <w:b/>
        </w:rPr>
        <w:t>ations in every part of the country</w:t>
      </w:r>
      <w:proofErr w:type="gramStart"/>
      <w:r w:rsidR="003816E2" w:rsidRPr="008B0EF4">
        <w:rPr>
          <w:rFonts w:eastAsia="Calibri"/>
          <w:b/>
        </w:rPr>
        <w:t>;</w:t>
      </w:r>
      <w:proofErr w:type="gramEnd"/>
    </w:p>
    <w:p w14:paraId="561D3FD2" w14:textId="72AB8E19" w:rsidR="007300E3" w:rsidRPr="008B0EF4" w:rsidRDefault="00581E13" w:rsidP="007300E3">
      <w:pPr>
        <w:pStyle w:val="SingleTxtG"/>
        <w:rPr>
          <w:b/>
          <w:bCs/>
        </w:rPr>
      </w:pPr>
      <w:r w:rsidRPr="008B0EF4">
        <w:tab/>
      </w:r>
      <w:r w:rsidR="00ED63B5" w:rsidRPr="008B0EF4">
        <w:tab/>
      </w:r>
      <w:r w:rsidR="007300E3" w:rsidRPr="008B0EF4">
        <w:t>(b)</w:t>
      </w:r>
      <w:r w:rsidR="007300E3" w:rsidRPr="008B0EF4">
        <w:tab/>
      </w:r>
      <w:r w:rsidR="003816E2" w:rsidRPr="008B0EF4">
        <w:rPr>
          <w:rFonts w:eastAsia="Calibri"/>
          <w:b/>
        </w:rPr>
        <w:t xml:space="preserve">Release all those unlawfully detained, including individuals denied the right to challenge the basis for </w:t>
      </w:r>
      <w:r w:rsidR="006F1F53">
        <w:rPr>
          <w:rFonts w:eastAsia="Calibri"/>
          <w:b/>
        </w:rPr>
        <w:t xml:space="preserve">their </w:t>
      </w:r>
      <w:r w:rsidR="003816E2" w:rsidRPr="008B0EF4">
        <w:rPr>
          <w:rFonts w:eastAsia="Calibri"/>
          <w:b/>
        </w:rPr>
        <w:t>detention before a court of law</w:t>
      </w:r>
      <w:r w:rsidR="006F1F53">
        <w:rPr>
          <w:rFonts w:eastAsia="Calibri"/>
          <w:b/>
        </w:rPr>
        <w:t>,</w:t>
      </w:r>
      <w:r w:rsidR="003816E2" w:rsidRPr="008B0EF4">
        <w:rPr>
          <w:rFonts w:eastAsia="Calibri"/>
          <w:b/>
        </w:rPr>
        <w:t xml:space="preserve"> within a reasonable time;</w:t>
      </w:r>
    </w:p>
    <w:p w14:paraId="3B2651D4" w14:textId="3B8622FF" w:rsidR="007300E3" w:rsidRPr="008B0EF4" w:rsidRDefault="00581E13" w:rsidP="007300E3">
      <w:pPr>
        <w:pStyle w:val="SingleTxtG"/>
        <w:rPr>
          <w:b/>
          <w:bCs/>
        </w:rPr>
      </w:pPr>
      <w:r w:rsidRPr="008B0EF4">
        <w:tab/>
      </w:r>
      <w:r w:rsidR="00ED63B5" w:rsidRPr="008B0EF4">
        <w:tab/>
      </w:r>
      <w:r w:rsidR="007300E3" w:rsidRPr="008B0EF4">
        <w:t>(c)</w:t>
      </w:r>
      <w:r w:rsidR="007300E3" w:rsidRPr="008B0EF4">
        <w:tab/>
      </w:r>
      <w:r w:rsidR="003816E2" w:rsidRPr="008B0EF4">
        <w:rPr>
          <w:rFonts w:eastAsia="Calibri"/>
          <w:b/>
        </w:rPr>
        <w:t>Cease all forms of incommunicado detention or other forms of unlawful deprivation of liberty, including in conditions amounting to enforced disappearance; and disclose the locations of all official and unofficial places of detention, with a full list of the names</w:t>
      </w:r>
      <w:r w:rsidR="000A03D7" w:rsidRPr="008B0EF4">
        <w:rPr>
          <w:rFonts w:eastAsia="Calibri"/>
          <w:b/>
        </w:rPr>
        <w:t xml:space="preserve"> of all those held in detention;</w:t>
      </w:r>
    </w:p>
    <w:p w14:paraId="481DF321" w14:textId="77777777" w:rsidR="007300E3" w:rsidRPr="008B0EF4" w:rsidRDefault="00581E13" w:rsidP="007300E3">
      <w:pPr>
        <w:pStyle w:val="SingleTxtG"/>
        <w:rPr>
          <w:b/>
          <w:bCs/>
        </w:rPr>
      </w:pPr>
      <w:r w:rsidRPr="008B0EF4">
        <w:tab/>
      </w:r>
      <w:r w:rsidR="00ED63B5" w:rsidRPr="008B0EF4">
        <w:tab/>
      </w:r>
      <w:r w:rsidR="007300E3" w:rsidRPr="008B0EF4">
        <w:t>(d)</w:t>
      </w:r>
      <w:r w:rsidR="007300E3" w:rsidRPr="008B0EF4">
        <w:tab/>
      </w:r>
      <w:r w:rsidR="000A03D7" w:rsidRPr="008B0EF4">
        <w:rPr>
          <w:rFonts w:eastAsia="Calibri"/>
          <w:b/>
        </w:rPr>
        <w:t>Facilitate the freedom of movements of civilians in retaken areas and prevent arbitrary detention at checkpoints, in particular to allow access to medical care</w:t>
      </w:r>
      <w:proofErr w:type="gramStart"/>
      <w:r w:rsidR="000A03D7" w:rsidRPr="008B0EF4">
        <w:rPr>
          <w:rFonts w:eastAsia="Calibri"/>
          <w:b/>
        </w:rPr>
        <w:t>;</w:t>
      </w:r>
      <w:proofErr w:type="gramEnd"/>
    </w:p>
    <w:p w14:paraId="40050CE9" w14:textId="23F95B44" w:rsidR="007300E3" w:rsidRPr="008B0EF4" w:rsidRDefault="00ED63B5" w:rsidP="007300E3">
      <w:pPr>
        <w:pStyle w:val="SingleTxtG"/>
        <w:rPr>
          <w:b/>
        </w:rPr>
      </w:pPr>
      <w:r w:rsidRPr="008B0EF4">
        <w:tab/>
      </w:r>
      <w:r w:rsidR="00581E13" w:rsidRPr="008B0EF4">
        <w:tab/>
      </w:r>
      <w:r w:rsidR="007300E3" w:rsidRPr="008B0EF4">
        <w:t>(e)</w:t>
      </w:r>
      <w:r w:rsidR="007300E3" w:rsidRPr="008B0EF4">
        <w:tab/>
      </w:r>
      <w:r w:rsidR="000A03D7" w:rsidRPr="008B0EF4">
        <w:rPr>
          <w:b/>
        </w:rPr>
        <w:t>Review conscription laws to ensure that they adhere to international standards, and apply them in a manner consistent with such standards</w:t>
      </w:r>
      <w:proofErr w:type="gramStart"/>
      <w:r w:rsidR="000A03D7" w:rsidRPr="008B0EF4">
        <w:rPr>
          <w:b/>
        </w:rPr>
        <w:t>;</w:t>
      </w:r>
      <w:proofErr w:type="gramEnd"/>
    </w:p>
    <w:p w14:paraId="1CCD0AE8" w14:textId="77777777" w:rsidR="000A03D7" w:rsidRPr="008B0EF4" w:rsidRDefault="00581E13" w:rsidP="000A03D7">
      <w:pPr>
        <w:pStyle w:val="SingleTxtG"/>
        <w:rPr>
          <w:b/>
        </w:rPr>
      </w:pPr>
      <w:r w:rsidRPr="008B0EF4">
        <w:rPr>
          <w:b/>
        </w:rPr>
        <w:tab/>
      </w:r>
      <w:r w:rsidR="00ED63B5" w:rsidRPr="008B0EF4">
        <w:rPr>
          <w:b/>
        </w:rPr>
        <w:tab/>
      </w:r>
      <w:r w:rsidR="007300E3" w:rsidRPr="008B0EF4">
        <w:t>(f)</w:t>
      </w:r>
      <w:r w:rsidR="007300E3" w:rsidRPr="008B0EF4">
        <w:rPr>
          <w:b/>
        </w:rPr>
        <w:tab/>
      </w:r>
      <w:r w:rsidR="000A03D7" w:rsidRPr="008B0EF4">
        <w:rPr>
          <w:b/>
        </w:rPr>
        <w:t>Implement the recommendations of the Committee on the Elimination of Discrimination against Women, including general recommendation No. 30 (2013) on women in conflict prevention, conflict and post-conflict situations; and recognize its obligations under Security Council resolutions 1325 (2000) and 2122 (2013), reaffirming the need to protect women and girls from sexual and gender-based violence;</w:t>
      </w:r>
    </w:p>
    <w:p w14:paraId="01282BF8" w14:textId="454A11F1" w:rsidR="000A03D7" w:rsidRPr="008B0EF4" w:rsidRDefault="00581E13" w:rsidP="00E864F9">
      <w:pPr>
        <w:pStyle w:val="SingleTxtG"/>
        <w:rPr>
          <w:b/>
        </w:rPr>
      </w:pPr>
      <w:r w:rsidRPr="008B0EF4">
        <w:rPr>
          <w:b/>
        </w:rPr>
        <w:tab/>
      </w:r>
      <w:r w:rsidR="000A03D7" w:rsidRPr="008B0EF4">
        <w:rPr>
          <w:b/>
        </w:rPr>
        <w:tab/>
      </w:r>
      <w:r w:rsidR="000A03D7" w:rsidRPr="008B0EF4">
        <w:t>(g)</w:t>
      </w:r>
      <w:r w:rsidR="000A03D7" w:rsidRPr="008B0EF4">
        <w:rPr>
          <w:b/>
        </w:rPr>
        <w:tab/>
        <w:t xml:space="preserve">Ensure that legislation and processes for reclaiming property comply with </w:t>
      </w:r>
      <w:r w:rsidR="000A03D7" w:rsidRPr="005F149B">
        <w:rPr>
          <w:b/>
        </w:rPr>
        <w:t xml:space="preserve">the </w:t>
      </w:r>
      <w:r w:rsidR="005F149B" w:rsidRPr="00D6133C">
        <w:rPr>
          <w:b/>
        </w:rPr>
        <w:t>p</w:t>
      </w:r>
      <w:r w:rsidR="000A03D7" w:rsidRPr="005F149B">
        <w:rPr>
          <w:b/>
        </w:rPr>
        <w:t xml:space="preserve">rinciples on </w:t>
      </w:r>
      <w:r w:rsidR="005F149B" w:rsidRPr="005F149B">
        <w:rPr>
          <w:b/>
        </w:rPr>
        <w:t xml:space="preserve">housing and property restitution for refugees and displaced persons </w:t>
      </w:r>
      <w:r w:rsidR="000A03D7" w:rsidRPr="005F149B">
        <w:rPr>
          <w:b/>
        </w:rPr>
        <w:t>and</w:t>
      </w:r>
      <w:r w:rsidR="000A03D7" w:rsidRPr="008B0EF4">
        <w:rPr>
          <w:b/>
        </w:rPr>
        <w:t xml:space="preserve"> are equally accessible and affordable, in particular for women.</w:t>
      </w:r>
    </w:p>
    <w:p w14:paraId="7D2B79B8" w14:textId="459F2ECE" w:rsidR="00504A8F" w:rsidRPr="008B0EF4" w:rsidRDefault="001B3EED" w:rsidP="00504A8F">
      <w:pPr>
        <w:pStyle w:val="SingleTxtG"/>
        <w:rPr>
          <w:b/>
        </w:rPr>
      </w:pPr>
      <w:r w:rsidRPr="008B0EF4">
        <w:t>101</w:t>
      </w:r>
      <w:r w:rsidR="004C6F68" w:rsidRPr="008B0EF4">
        <w:t>.</w:t>
      </w:r>
      <w:r w:rsidR="004C6F68" w:rsidRPr="008B0EF4">
        <w:tab/>
      </w:r>
      <w:r w:rsidR="00504A8F" w:rsidRPr="008B0EF4">
        <w:rPr>
          <w:b/>
        </w:rPr>
        <w:t>The Commission recommends that pro-</w:t>
      </w:r>
      <w:r w:rsidR="006F1F53">
        <w:rPr>
          <w:b/>
        </w:rPr>
        <w:t>g</w:t>
      </w:r>
      <w:r w:rsidR="00504A8F" w:rsidRPr="008B0EF4">
        <w:rPr>
          <w:b/>
        </w:rPr>
        <w:t>overnment forces:</w:t>
      </w:r>
    </w:p>
    <w:p w14:paraId="07E983A1" w14:textId="06D37007" w:rsidR="000A03D7" w:rsidRPr="008B0EF4" w:rsidRDefault="004C6F68" w:rsidP="004C6F68">
      <w:pPr>
        <w:pStyle w:val="SingleTxtG"/>
        <w:ind w:firstLine="567"/>
        <w:rPr>
          <w:b/>
        </w:rPr>
      </w:pPr>
      <w:r w:rsidRPr="008B0EF4">
        <w:t>(a)</w:t>
      </w:r>
      <w:r w:rsidR="000A03D7" w:rsidRPr="008B0EF4">
        <w:rPr>
          <w:b/>
        </w:rPr>
        <w:tab/>
        <w:t>Cease attacks on civilians and civilian objects, in accordance with their obligations under international humanitarian law, in particular against medical facilities, personnel and transport, and comply with their obligation to take all feasible precautions to minimize harm to the civilian population;</w:t>
      </w:r>
    </w:p>
    <w:p w14:paraId="246B7934" w14:textId="787D7230" w:rsidR="000A03D7" w:rsidRPr="008B0EF4" w:rsidRDefault="00581E13" w:rsidP="00E864F9">
      <w:pPr>
        <w:pStyle w:val="SingleTxtG"/>
        <w:rPr>
          <w:b/>
        </w:rPr>
      </w:pPr>
      <w:r w:rsidRPr="008B0EF4">
        <w:rPr>
          <w:b/>
        </w:rPr>
        <w:tab/>
      </w:r>
      <w:r w:rsidR="000A03D7" w:rsidRPr="008B0EF4">
        <w:rPr>
          <w:b/>
        </w:rPr>
        <w:tab/>
      </w:r>
      <w:r w:rsidR="004C6F68" w:rsidRPr="008B0EF4">
        <w:t>(b)</w:t>
      </w:r>
      <w:r w:rsidR="000A03D7" w:rsidRPr="008B0EF4">
        <w:rPr>
          <w:b/>
        </w:rPr>
        <w:tab/>
        <w:t xml:space="preserve">Conduct independent, impartial and credible investigations into incidents </w:t>
      </w:r>
      <w:r w:rsidR="00F84E16">
        <w:rPr>
          <w:b/>
        </w:rPr>
        <w:t xml:space="preserve">in </w:t>
      </w:r>
      <w:r w:rsidR="000A03D7" w:rsidRPr="008B0EF4">
        <w:rPr>
          <w:b/>
        </w:rPr>
        <w:t>wh</w:t>
      </w:r>
      <w:r w:rsidR="00F84E16">
        <w:rPr>
          <w:b/>
        </w:rPr>
        <w:t>ich</w:t>
      </w:r>
      <w:r w:rsidR="000A03D7" w:rsidRPr="008B0EF4">
        <w:rPr>
          <w:b/>
        </w:rPr>
        <w:t xml:space="preserve"> their forces </w:t>
      </w:r>
      <w:proofErr w:type="gramStart"/>
      <w:r w:rsidR="000A03D7" w:rsidRPr="008B0EF4">
        <w:rPr>
          <w:b/>
        </w:rPr>
        <w:t>are implicated</w:t>
      </w:r>
      <w:proofErr w:type="gramEnd"/>
      <w:r w:rsidR="000A03D7" w:rsidRPr="008B0EF4">
        <w:rPr>
          <w:b/>
        </w:rPr>
        <w:t xml:space="preserve"> and ensure that those responsible are held accountable. The findings of such investigations </w:t>
      </w:r>
      <w:proofErr w:type="gramStart"/>
      <w:r w:rsidR="000A03D7" w:rsidRPr="008B0EF4">
        <w:rPr>
          <w:b/>
        </w:rPr>
        <w:t>should be made</w:t>
      </w:r>
      <w:proofErr w:type="gramEnd"/>
      <w:r w:rsidR="000A03D7" w:rsidRPr="008B0EF4">
        <w:rPr>
          <w:b/>
        </w:rPr>
        <w:t xml:space="preserve"> public;  </w:t>
      </w:r>
    </w:p>
    <w:p w14:paraId="4A157ED5" w14:textId="77777777" w:rsidR="000A03D7" w:rsidRPr="008B0EF4" w:rsidRDefault="00581E13" w:rsidP="00E864F9">
      <w:pPr>
        <w:pStyle w:val="SingleTxtG"/>
        <w:rPr>
          <w:b/>
        </w:rPr>
      </w:pPr>
      <w:r w:rsidRPr="008B0EF4">
        <w:rPr>
          <w:b/>
        </w:rPr>
        <w:tab/>
      </w:r>
      <w:r w:rsidR="000A03D7" w:rsidRPr="008B0EF4">
        <w:rPr>
          <w:b/>
        </w:rPr>
        <w:tab/>
      </w:r>
      <w:r w:rsidR="004C6F68" w:rsidRPr="008B0EF4">
        <w:t>(c)</w:t>
      </w:r>
      <w:r w:rsidR="000A03D7" w:rsidRPr="008B0EF4">
        <w:rPr>
          <w:b/>
        </w:rPr>
        <w:tab/>
        <w:t>Cease using unguided weapons and weapons with wide-area effects, including cluster munitions and blast weapons, in densely civilian populated areas.</w:t>
      </w:r>
    </w:p>
    <w:p w14:paraId="35AF7B09" w14:textId="77777777" w:rsidR="000A03D7" w:rsidRPr="008B0EF4" w:rsidRDefault="000A03D7" w:rsidP="00E864F9">
      <w:pPr>
        <w:pStyle w:val="SingleTxtG"/>
        <w:rPr>
          <w:b/>
        </w:rPr>
      </w:pPr>
      <w:r w:rsidRPr="008B0EF4">
        <w:t>10</w:t>
      </w:r>
      <w:r w:rsidR="001B3EED" w:rsidRPr="008B0EF4">
        <w:t>2</w:t>
      </w:r>
      <w:r w:rsidRPr="008B0EF4">
        <w:t>.</w:t>
      </w:r>
      <w:r w:rsidR="00E864F9" w:rsidRPr="008B0EF4">
        <w:rPr>
          <w:b/>
        </w:rPr>
        <w:tab/>
      </w:r>
      <w:r w:rsidRPr="008B0EF4">
        <w:rPr>
          <w:b/>
        </w:rPr>
        <w:t>The Commission recommends that non-</w:t>
      </w:r>
      <w:r w:rsidR="00E864F9" w:rsidRPr="008B0EF4">
        <w:rPr>
          <w:b/>
        </w:rPr>
        <w:t>S</w:t>
      </w:r>
      <w:r w:rsidRPr="008B0EF4">
        <w:rPr>
          <w:b/>
        </w:rPr>
        <w:t>tate armed groups:</w:t>
      </w:r>
    </w:p>
    <w:p w14:paraId="280FD0F4" w14:textId="77777777" w:rsidR="000A03D7" w:rsidRPr="008B0EF4" w:rsidRDefault="00581E13" w:rsidP="00E864F9">
      <w:pPr>
        <w:pStyle w:val="SingleTxtG"/>
        <w:rPr>
          <w:b/>
        </w:rPr>
      </w:pPr>
      <w:r w:rsidRPr="008B0EF4">
        <w:rPr>
          <w:b/>
        </w:rPr>
        <w:tab/>
      </w:r>
      <w:r w:rsidR="000A03D7" w:rsidRPr="008B0EF4">
        <w:rPr>
          <w:b/>
        </w:rPr>
        <w:tab/>
      </w:r>
      <w:r w:rsidR="004C6F68" w:rsidRPr="008B0EF4">
        <w:t>(a)</w:t>
      </w:r>
      <w:r w:rsidR="000A03D7" w:rsidRPr="008B0EF4">
        <w:rPr>
          <w:b/>
        </w:rPr>
        <w:tab/>
      </w:r>
      <w:r w:rsidR="001B3EED" w:rsidRPr="008B0EF4">
        <w:rPr>
          <w:b/>
        </w:rPr>
        <w:t xml:space="preserve">Cease all </w:t>
      </w:r>
      <w:r w:rsidR="000A03D7" w:rsidRPr="008B0EF4">
        <w:rPr>
          <w:b/>
        </w:rPr>
        <w:t>kidnappings, hostage-taking and arbitrarily detaining civilians, in particular individuals expressing dissent</w:t>
      </w:r>
      <w:proofErr w:type="gramStart"/>
      <w:r w:rsidR="000A03D7" w:rsidRPr="008B0EF4">
        <w:rPr>
          <w:b/>
        </w:rPr>
        <w:t>;</w:t>
      </w:r>
      <w:proofErr w:type="gramEnd"/>
      <w:r w:rsidR="000A03D7" w:rsidRPr="008B0EF4">
        <w:rPr>
          <w:b/>
        </w:rPr>
        <w:t xml:space="preserve"> </w:t>
      </w:r>
    </w:p>
    <w:p w14:paraId="01CFDB77" w14:textId="77777777" w:rsidR="000A03D7" w:rsidRPr="008B0EF4" w:rsidRDefault="004C6F68" w:rsidP="00581E13">
      <w:pPr>
        <w:pStyle w:val="SingleTxtG"/>
        <w:ind w:firstLine="567"/>
        <w:rPr>
          <w:b/>
        </w:rPr>
      </w:pPr>
      <w:proofErr w:type="gramStart"/>
      <w:r w:rsidRPr="008B0EF4">
        <w:t>(b)</w:t>
      </w:r>
      <w:r w:rsidR="000A03D7" w:rsidRPr="008B0EF4">
        <w:rPr>
          <w:b/>
        </w:rPr>
        <w:tab/>
        <w:t>Effectively</w:t>
      </w:r>
      <w:proofErr w:type="gramEnd"/>
      <w:r w:rsidR="000A03D7" w:rsidRPr="008B0EF4">
        <w:rPr>
          <w:b/>
        </w:rPr>
        <w:t xml:space="preserve"> ban the recruitment of children and their use in hostilities and ensure access to appropriate rehabilitation services;</w:t>
      </w:r>
    </w:p>
    <w:p w14:paraId="1E2307E6" w14:textId="77777777" w:rsidR="000A03D7" w:rsidRPr="008B0EF4" w:rsidRDefault="004C6F68" w:rsidP="00581E13">
      <w:pPr>
        <w:pStyle w:val="SingleTxtG"/>
        <w:ind w:firstLine="567"/>
        <w:rPr>
          <w:b/>
        </w:rPr>
      </w:pPr>
      <w:r w:rsidRPr="008B0EF4">
        <w:t>(c)</w:t>
      </w:r>
      <w:r w:rsidR="000A03D7" w:rsidRPr="008B0EF4">
        <w:rPr>
          <w:b/>
        </w:rPr>
        <w:tab/>
        <w:t>Comply with customary international humanitarian law and cease attacks against civilians, including members of religious and ethnic minorities</w:t>
      </w:r>
      <w:proofErr w:type="gramStart"/>
      <w:r w:rsidR="000A03D7" w:rsidRPr="008B0EF4">
        <w:rPr>
          <w:b/>
        </w:rPr>
        <w:t>;</w:t>
      </w:r>
      <w:proofErr w:type="gramEnd"/>
    </w:p>
    <w:p w14:paraId="40F2C7B7" w14:textId="77777777" w:rsidR="000A03D7" w:rsidRPr="008B0EF4" w:rsidRDefault="00581E13" w:rsidP="00E864F9">
      <w:pPr>
        <w:pStyle w:val="SingleTxtG"/>
        <w:rPr>
          <w:b/>
        </w:rPr>
      </w:pPr>
      <w:r w:rsidRPr="008B0EF4">
        <w:rPr>
          <w:rFonts w:eastAsia="Calibri"/>
          <w:b/>
        </w:rPr>
        <w:tab/>
      </w:r>
      <w:r w:rsidR="00E864F9" w:rsidRPr="008B0EF4">
        <w:rPr>
          <w:rFonts w:eastAsia="Calibri"/>
          <w:b/>
        </w:rPr>
        <w:tab/>
      </w:r>
      <w:r w:rsidR="004C6F68" w:rsidRPr="008B0EF4">
        <w:rPr>
          <w:rFonts w:eastAsia="Calibri"/>
        </w:rPr>
        <w:t>(d)</w:t>
      </w:r>
      <w:r w:rsidR="000A03D7" w:rsidRPr="008B0EF4">
        <w:rPr>
          <w:b/>
        </w:rPr>
        <w:tab/>
        <w:t>Investigate all allegations of violations and crimes committed by their fighters, take urgent measures to discipline or dismiss individuals responsible for such acts, including in cases of looting and property appropriation, and make their findings public;</w:t>
      </w:r>
    </w:p>
    <w:p w14:paraId="3CE49B10" w14:textId="77777777" w:rsidR="007300E3" w:rsidRPr="008B0EF4" w:rsidRDefault="00E864F9" w:rsidP="007300E3">
      <w:pPr>
        <w:pStyle w:val="SingleTxtG"/>
      </w:pPr>
      <w:r w:rsidRPr="008B0EF4">
        <w:t>10</w:t>
      </w:r>
      <w:r w:rsidR="001B3EED" w:rsidRPr="008B0EF4">
        <w:t>3</w:t>
      </w:r>
      <w:r w:rsidRPr="008B0EF4">
        <w:t>.</w:t>
      </w:r>
      <w:r w:rsidRPr="008B0EF4">
        <w:tab/>
      </w:r>
      <w:r w:rsidR="007300E3" w:rsidRPr="008B0EF4">
        <w:rPr>
          <w:b/>
          <w:bCs/>
        </w:rPr>
        <w:t>The Commission recommends that the international community</w:t>
      </w:r>
      <w:r w:rsidR="00581E13" w:rsidRPr="008B0EF4">
        <w:rPr>
          <w:b/>
          <w:bCs/>
        </w:rPr>
        <w:t xml:space="preserve"> and individual Member States</w:t>
      </w:r>
      <w:r w:rsidR="007300E3" w:rsidRPr="008B0EF4">
        <w:rPr>
          <w:b/>
          <w:bCs/>
        </w:rPr>
        <w:t>:</w:t>
      </w:r>
    </w:p>
    <w:p w14:paraId="291D77A6" w14:textId="36BA30B4" w:rsidR="00E864F9" w:rsidRPr="008B0EF4" w:rsidRDefault="00581E13" w:rsidP="00E864F9">
      <w:pPr>
        <w:pStyle w:val="SingleTxtG"/>
        <w:rPr>
          <w:b/>
        </w:rPr>
      </w:pPr>
      <w:r w:rsidRPr="008B0EF4">
        <w:tab/>
      </w:r>
      <w:r w:rsidR="00ED63B5" w:rsidRPr="008B0EF4">
        <w:tab/>
      </w:r>
      <w:r w:rsidR="004C6F68" w:rsidRPr="008B0EF4">
        <w:t>(a)</w:t>
      </w:r>
      <w:r w:rsidR="007300E3" w:rsidRPr="008B0EF4">
        <w:tab/>
      </w:r>
      <w:r w:rsidR="00F84E16">
        <w:rPr>
          <w:b/>
        </w:rPr>
        <w:t>T</w:t>
      </w:r>
      <w:r w:rsidR="00F84E16" w:rsidRPr="008B0EF4">
        <w:rPr>
          <w:b/>
        </w:rPr>
        <w:t>ake all feasible precautions</w:t>
      </w:r>
      <w:r w:rsidR="00F84E16">
        <w:rPr>
          <w:b/>
        </w:rPr>
        <w:t>, when</w:t>
      </w:r>
      <w:r w:rsidR="00F84E16" w:rsidRPr="008B0EF4">
        <w:rPr>
          <w:b/>
        </w:rPr>
        <w:t xml:space="preserve"> </w:t>
      </w:r>
      <w:r w:rsidR="00E864F9" w:rsidRPr="008B0EF4">
        <w:rPr>
          <w:b/>
        </w:rPr>
        <w:t>conducting operations in the Syrian Arab Republic</w:t>
      </w:r>
      <w:r w:rsidR="00F84E16">
        <w:rPr>
          <w:b/>
        </w:rPr>
        <w:t>,</w:t>
      </w:r>
      <w:r w:rsidR="00E864F9" w:rsidRPr="008B0EF4">
        <w:rPr>
          <w:b/>
        </w:rPr>
        <w:t xml:space="preserve"> to minimize harm to the civilian population, including by reviewing tactical guidelines related to targeting in the conduct of operations, and conduct independent, impartial and credible investigations into incidents </w:t>
      </w:r>
      <w:r w:rsidR="00F84E16">
        <w:rPr>
          <w:b/>
        </w:rPr>
        <w:t xml:space="preserve">in </w:t>
      </w:r>
      <w:r w:rsidR="00E864F9" w:rsidRPr="008B0EF4">
        <w:rPr>
          <w:b/>
        </w:rPr>
        <w:t>wh</w:t>
      </w:r>
      <w:r w:rsidR="00F84E16">
        <w:rPr>
          <w:b/>
        </w:rPr>
        <w:t>ich</w:t>
      </w:r>
      <w:r w:rsidR="00E864F9" w:rsidRPr="008B0EF4">
        <w:rPr>
          <w:b/>
        </w:rPr>
        <w:t xml:space="preserve"> their forces are implicated to ensure that those responsible are held accountable. The findings of such investigations </w:t>
      </w:r>
      <w:proofErr w:type="gramStart"/>
      <w:r w:rsidR="00E864F9" w:rsidRPr="008B0EF4">
        <w:rPr>
          <w:b/>
        </w:rPr>
        <w:t>should be made</w:t>
      </w:r>
      <w:proofErr w:type="gramEnd"/>
      <w:r w:rsidR="00E864F9" w:rsidRPr="008B0EF4">
        <w:rPr>
          <w:b/>
        </w:rPr>
        <w:t xml:space="preserve"> public</w:t>
      </w:r>
      <w:r w:rsidRPr="008B0EF4">
        <w:rPr>
          <w:b/>
        </w:rPr>
        <w:t>;</w:t>
      </w:r>
    </w:p>
    <w:p w14:paraId="6A83F60A" w14:textId="1FEB4987" w:rsidR="00E864F9" w:rsidRPr="008B0EF4" w:rsidRDefault="004C6F68" w:rsidP="00581E13">
      <w:pPr>
        <w:pStyle w:val="SingleTxtG"/>
        <w:ind w:firstLine="567"/>
        <w:rPr>
          <w:b/>
        </w:rPr>
      </w:pPr>
      <w:proofErr w:type="gramStart"/>
      <w:r w:rsidRPr="008B0EF4">
        <w:t>(b)</w:t>
      </w:r>
      <w:r w:rsidR="00E864F9" w:rsidRPr="008B0EF4">
        <w:rPr>
          <w:b/>
        </w:rPr>
        <w:tab/>
        <w:t>Take urgent steps to end violations of international humanitarian law committed by State forces and non-</w:t>
      </w:r>
      <w:r w:rsidR="00581E13" w:rsidRPr="008B0EF4">
        <w:rPr>
          <w:b/>
        </w:rPr>
        <w:t xml:space="preserve">State </w:t>
      </w:r>
      <w:r w:rsidR="00E864F9" w:rsidRPr="008B0EF4">
        <w:rPr>
          <w:b/>
        </w:rPr>
        <w:t xml:space="preserve">armed groups receiving any form of support in relation to the armed conflict, in </w:t>
      </w:r>
      <w:r w:rsidR="00F84E16">
        <w:rPr>
          <w:b/>
        </w:rPr>
        <w:t>accordance</w:t>
      </w:r>
      <w:r w:rsidR="00F84E16" w:rsidRPr="008B0EF4">
        <w:rPr>
          <w:b/>
        </w:rPr>
        <w:t xml:space="preserve"> </w:t>
      </w:r>
      <w:r w:rsidR="00E864F9" w:rsidRPr="008B0EF4">
        <w:rPr>
          <w:b/>
        </w:rPr>
        <w:t xml:space="preserve">with the obligations of all States under </w:t>
      </w:r>
      <w:r w:rsidR="005F149B" w:rsidRPr="00D6133C">
        <w:rPr>
          <w:b/>
        </w:rPr>
        <w:t xml:space="preserve">common article </w:t>
      </w:r>
      <w:r w:rsidR="00E864F9" w:rsidRPr="005F149B">
        <w:rPr>
          <w:b/>
        </w:rPr>
        <w:t>1 of the Geneva Conventions</w:t>
      </w:r>
      <w:r w:rsidR="005F149B" w:rsidRPr="005F149B">
        <w:rPr>
          <w:b/>
        </w:rPr>
        <w:t xml:space="preserve"> of 1949</w:t>
      </w:r>
      <w:r w:rsidR="00700A28" w:rsidRPr="005F149B">
        <w:rPr>
          <w:b/>
        </w:rPr>
        <w:t>,</w:t>
      </w:r>
      <w:r w:rsidR="00E864F9" w:rsidRPr="005F149B">
        <w:rPr>
          <w:b/>
        </w:rPr>
        <w:t xml:space="preserve"> and encourage</w:t>
      </w:r>
      <w:r w:rsidR="00E864F9" w:rsidRPr="008B0EF4">
        <w:rPr>
          <w:b/>
        </w:rPr>
        <w:t xml:space="preserve"> such entities to investigate all allegations of crimes and violations and make their findings public;</w:t>
      </w:r>
      <w:proofErr w:type="gramEnd"/>
    </w:p>
    <w:p w14:paraId="6382DC8F" w14:textId="123C2AAD" w:rsidR="00E864F9" w:rsidRPr="008B0EF4" w:rsidRDefault="004C6F68" w:rsidP="00E864F9">
      <w:pPr>
        <w:pStyle w:val="SingleTxtG"/>
        <w:ind w:firstLine="567"/>
        <w:rPr>
          <w:b/>
        </w:rPr>
      </w:pPr>
      <w:r w:rsidRPr="008B0EF4">
        <w:t>(c)</w:t>
      </w:r>
      <w:r w:rsidR="00E864F9" w:rsidRPr="008B0EF4">
        <w:rPr>
          <w:b/>
        </w:rPr>
        <w:tab/>
        <w:t>Ensure unfettered humanitarian access to all civilians in the Syrian Arab Republic based on the needs of the population, in particular those subsisting in the north</w:t>
      </w:r>
      <w:r w:rsidR="00700A28">
        <w:rPr>
          <w:b/>
        </w:rPr>
        <w:t>-</w:t>
      </w:r>
      <w:r w:rsidR="00E864F9" w:rsidRPr="008B0EF4">
        <w:rPr>
          <w:b/>
        </w:rPr>
        <w:t>west of the country</w:t>
      </w:r>
      <w:proofErr w:type="gramStart"/>
      <w:r w:rsidR="00E864F9" w:rsidRPr="008B0EF4">
        <w:rPr>
          <w:b/>
        </w:rPr>
        <w:t>;</w:t>
      </w:r>
      <w:proofErr w:type="gramEnd"/>
      <w:r w:rsidR="00E864F9" w:rsidRPr="008B0EF4">
        <w:rPr>
          <w:b/>
        </w:rPr>
        <w:t xml:space="preserve"> </w:t>
      </w:r>
    </w:p>
    <w:p w14:paraId="2E544E9D" w14:textId="154EA404" w:rsidR="00E864F9" w:rsidRPr="008B0EF4" w:rsidRDefault="004C6F68" w:rsidP="00E864F9">
      <w:pPr>
        <w:pStyle w:val="SingleTxtG"/>
        <w:ind w:firstLine="567"/>
        <w:rPr>
          <w:b/>
        </w:rPr>
      </w:pPr>
      <w:r w:rsidRPr="008B0EF4">
        <w:t>(d)</w:t>
      </w:r>
      <w:r w:rsidR="00E864F9" w:rsidRPr="008B0EF4">
        <w:rPr>
          <w:b/>
        </w:rPr>
        <w:tab/>
        <w:t>Ensure unfettered access for independent humanitarian, protection and human rights organi</w:t>
      </w:r>
      <w:r w:rsidR="00700A28">
        <w:rPr>
          <w:b/>
        </w:rPr>
        <w:t>z</w:t>
      </w:r>
      <w:r w:rsidR="00E864F9" w:rsidRPr="008B0EF4">
        <w:rPr>
          <w:b/>
        </w:rPr>
        <w:t>ations in every part of the country</w:t>
      </w:r>
      <w:proofErr w:type="gramStart"/>
      <w:r w:rsidR="00E864F9" w:rsidRPr="008B0EF4">
        <w:rPr>
          <w:b/>
        </w:rPr>
        <w:t>;</w:t>
      </w:r>
      <w:proofErr w:type="gramEnd"/>
      <w:r w:rsidR="00E864F9" w:rsidRPr="008B0EF4">
        <w:rPr>
          <w:b/>
        </w:rPr>
        <w:t xml:space="preserve"> </w:t>
      </w:r>
    </w:p>
    <w:p w14:paraId="7358AFC1" w14:textId="04F6F4CA" w:rsidR="00E864F9" w:rsidRPr="008B0EF4" w:rsidRDefault="004C6F68" w:rsidP="00E864F9">
      <w:pPr>
        <w:pStyle w:val="SingleTxtG"/>
        <w:ind w:firstLine="567"/>
        <w:rPr>
          <w:b/>
        </w:rPr>
      </w:pPr>
      <w:r w:rsidRPr="008B0EF4">
        <w:rPr>
          <w:b/>
        </w:rPr>
        <w:t>(e)</w:t>
      </w:r>
      <w:r w:rsidR="00E864F9" w:rsidRPr="008B0EF4">
        <w:rPr>
          <w:b/>
        </w:rPr>
        <w:tab/>
        <w:t xml:space="preserve">Repatriate foreign nationals in </w:t>
      </w:r>
      <w:r w:rsidR="00700A28">
        <w:rPr>
          <w:b/>
        </w:rPr>
        <w:t xml:space="preserve">the </w:t>
      </w:r>
      <w:r w:rsidR="00E864F9" w:rsidRPr="008B0EF4">
        <w:rPr>
          <w:b/>
        </w:rPr>
        <w:t>Syria</w:t>
      </w:r>
      <w:r w:rsidR="00700A28">
        <w:rPr>
          <w:b/>
        </w:rPr>
        <w:t>n Arab Republic</w:t>
      </w:r>
      <w:r w:rsidR="00E864F9" w:rsidRPr="008B0EF4">
        <w:rPr>
          <w:b/>
        </w:rPr>
        <w:t xml:space="preserve"> who are allegedly associated with ISIL, in particular children with their parents, in </w:t>
      </w:r>
      <w:r w:rsidR="00700A28">
        <w:rPr>
          <w:b/>
        </w:rPr>
        <w:t>accordance</w:t>
      </w:r>
      <w:r w:rsidR="00700A28" w:rsidRPr="008B0EF4">
        <w:rPr>
          <w:b/>
        </w:rPr>
        <w:t xml:space="preserve"> </w:t>
      </w:r>
      <w:r w:rsidR="00E864F9" w:rsidRPr="008B0EF4">
        <w:rPr>
          <w:b/>
        </w:rPr>
        <w:t>with the best interests of the child</w:t>
      </w:r>
      <w:proofErr w:type="gramStart"/>
      <w:r w:rsidR="00E864F9" w:rsidRPr="008B0EF4">
        <w:rPr>
          <w:b/>
        </w:rPr>
        <w:t>;</w:t>
      </w:r>
      <w:proofErr w:type="gramEnd"/>
    </w:p>
    <w:p w14:paraId="2C5B6D56" w14:textId="1E307AC5" w:rsidR="00E864F9" w:rsidRPr="008B0EF4" w:rsidRDefault="004C6F68" w:rsidP="00E864F9">
      <w:pPr>
        <w:pStyle w:val="SingleTxtG"/>
        <w:ind w:firstLine="567"/>
        <w:rPr>
          <w:b/>
        </w:rPr>
      </w:pPr>
      <w:r w:rsidRPr="008B0EF4">
        <w:t>(f)</w:t>
      </w:r>
      <w:r w:rsidR="00E864F9" w:rsidRPr="008B0EF4">
        <w:rPr>
          <w:b/>
        </w:rPr>
        <w:tab/>
        <w:t xml:space="preserve">Use all available diplomatic means to de-escalate violence in </w:t>
      </w:r>
      <w:r w:rsidR="00700A28">
        <w:rPr>
          <w:b/>
        </w:rPr>
        <w:t xml:space="preserve">the </w:t>
      </w:r>
      <w:r w:rsidR="00E864F9" w:rsidRPr="008B0EF4">
        <w:rPr>
          <w:b/>
        </w:rPr>
        <w:t>north</w:t>
      </w:r>
      <w:r w:rsidR="00700A28">
        <w:rPr>
          <w:b/>
        </w:rPr>
        <w:t>-</w:t>
      </w:r>
      <w:r w:rsidR="00E864F9" w:rsidRPr="008B0EF4">
        <w:rPr>
          <w:b/>
        </w:rPr>
        <w:t xml:space="preserve">west </w:t>
      </w:r>
      <w:r w:rsidR="00700A28">
        <w:rPr>
          <w:b/>
        </w:rPr>
        <w:t xml:space="preserve">of the </w:t>
      </w:r>
      <w:r w:rsidR="00E864F9" w:rsidRPr="008B0EF4">
        <w:rPr>
          <w:b/>
        </w:rPr>
        <w:t>Syria</w:t>
      </w:r>
      <w:r w:rsidR="00700A28">
        <w:rPr>
          <w:b/>
        </w:rPr>
        <w:t>n Arab Republic</w:t>
      </w:r>
      <w:r w:rsidR="00E864F9" w:rsidRPr="008B0EF4">
        <w:rPr>
          <w:b/>
        </w:rPr>
        <w:t>, including through an inclusive and Syrian-led political process</w:t>
      </w:r>
      <w:r w:rsidR="00700A28">
        <w:rPr>
          <w:b/>
        </w:rPr>
        <w:t>,</w:t>
      </w:r>
      <w:r w:rsidR="00E864F9" w:rsidRPr="008B0EF4">
        <w:rPr>
          <w:b/>
        </w:rPr>
        <w:t xml:space="preserve"> in </w:t>
      </w:r>
      <w:r w:rsidR="00700A28">
        <w:rPr>
          <w:b/>
        </w:rPr>
        <w:t>accordance</w:t>
      </w:r>
      <w:r w:rsidR="00E864F9" w:rsidRPr="008B0EF4">
        <w:rPr>
          <w:b/>
        </w:rPr>
        <w:t xml:space="preserve"> with Security Council </w:t>
      </w:r>
      <w:r w:rsidR="00700A28">
        <w:rPr>
          <w:b/>
        </w:rPr>
        <w:t>r</w:t>
      </w:r>
      <w:r w:rsidR="00E864F9" w:rsidRPr="008B0EF4">
        <w:rPr>
          <w:b/>
        </w:rPr>
        <w:t>esolution 2254 (2015).</w:t>
      </w:r>
    </w:p>
    <w:p w14:paraId="75C4C4EB" w14:textId="77777777" w:rsidR="007300E3" w:rsidRDefault="007300E3" w:rsidP="00E864F9">
      <w:pPr>
        <w:pStyle w:val="SingleTxtG"/>
        <w:ind w:left="0"/>
        <w:rPr>
          <w:b/>
        </w:rPr>
      </w:pPr>
    </w:p>
    <w:p w14:paraId="4A7E3736" w14:textId="5E8A2BF2" w:rsidR="00F92342" w:rsidRPr="008B0EF4" w:rsidRDefault="00F92342" w:rsidP="00E864F9">
      <w:pPr>
        <w:pStyle w:val="SingleTxtG"/>
        <w:ind w:left="0"/>
        <w:rPr>
          <w:b/>
        </w:rPr>
        <w:sectPr w:rsidR="00F92342" w:rsidRPr="008B0EF4" w:rsidSect="007300E3">
          <w:headerReference w:type="even" r:id="rId11"/>
          <w:headerReference w:type="default" r:id="rId12"/>
          <w:footerReference w:type="even" r:id="rId13"/>
          <w:footerReference w:type="default" r:id="rId14"/>
          <w:footnotePr>
            <w:numRestart w:val="eachSect"/>
          </w:footnotePr>
          <w:endnotePr>
            <w:numFmt w:val="decimal"/>
          </w:endnotePr>
          <w:pgSz w:w="11907" w:h="16840" w:code="9"/>
          <w:pgMar w:top="1418" w:right="1134" w:bottom="1134" w:left="1134" w:header="851" w:footer="567" w:gutter="0"/>
          <w:cols w:space="720"/>
          <w:titlePg/>
          <w:docGrid w:linePitch="272"/>
        </w:sectPr>
      </w:pPr>
    </w:p>
    <w:p w14:paraId="6718EA95" w14:textId="77777777" w:rsidR="007300E3" w:rsidRPr="008B0EF4" w:rsidRDefault="007300E3" w:rsidP="001B3D29">
      <w:pPr>
        <w:pStyle w:val="HChG"/>
      </w:pPr>
      <w:bookmarkStart w:id="22" w:name="_Toc16754923"/>
      <w:r w:rsidRPr="008B0EF4">
        <w:t>Annex I</w:t>
      </w:r>
      <w:bookmarkEnd w:id="22"/>
    </w:p>
    <w:p w14:paraId="41EC3969" w14:textId="77777777" w:rsidR="007300E3" w:rsidRPr="008B0EF4" w:rsidRDefault="007300E3" w:rsidP="001B3D29">
      <w:pPr>
        <w:pStyle w:val="HChG"/>
      </w:pPr>
      <w:r w:rsidRPr="008B0EF4">
        <w:tab/>
      </w:r>
      <w:r w:rsidRPr="008B0EF4">
        <w:tab/>
      </w:r>
      <w:bookmarkStart w:id="23" w:name="_Toc16754924"/>
      <w:r w:rsidRPr="008B0EF4">
        <w:t>Map of the Syrian Arab Republic</w:t>
      </w:r>
      <w:r w:rsidRPr="008B0EF4">
        <w:rPr>
          <w:rStyle w:val="FootnoteReference"/>
          <w:b w:val="0"/>
          <w:bCs/>
        </w:rPr>
        <w:footnoteReference w:id="54"/>
      </w:r>
      <w:bookmarkEnd w:id="23"/>
    </w:p>
    <w:p w14:paraId="1E633E79" w14:textId="77777777" w:rsidR="007300E3" w:rsidRPr="008B0EF4" w:rsidRDefault="007300E3" w:rsidP="007300E3">
      <w:pPr>
        <w:pStyle w:val="SingleTxtG"/>
      </w:pPr>
      <w:r w:rsidRPr="008B0EF4">
        <w:rPr>
          <w:noProof/>
          <w:lang w:eastAsia="en-GB"/>
        </w:rPr>
        <w:drawing>
          <wp:inline distT="0" distB="0" distL="0" distR="0" wp14:anchorId="2FD1ABDA" wp14:editId="19BA9B58">
            <wp:extent cx="5434965" cy="48329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ria 4204 R3 Apr1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34965" cy="4832985"/>
                    </a:xfrm>
                    <a:prstGeom prst="rect">
                      <a:avLst/>
                    </a:prstGeom>
                  </pic:spPr>
                </pic:pic>
              </a:graphicData>
            </a:graphic>
          </wp:inline>
        </w:drawing>
      </w:r>
    </w:p>
    <w:p w14:paraId="571541D8" w14:textId="44E295FB" w:rsidR="00F92342" w:rsidRDefault="00F92342" w:rsidP="00311976">
      <w:pPr>
        <w:pStyle w:val="HChG"/>
        <w:sectPr w:rsidR="00F92342" w:rsidSect="00CF100B">
          <w:headerReference w:type="even" r:id="rId16"/>
          <w:headerReference w:type="default" r:id="rId17"/>
          <w:footerReference w:type="even" r:id="rId18"/>
          <w:footerReference w:type="default" r:id="rId19"/>
          <w:footnotePr>
            <w:numRestart w:val="eachSect"/>
          </w:footnotePr>
          <w:endnotePr>
            <w:numFmt w:val="decimal"/>
          </w:endnotePr>
          <w:pgSz w:w="11907" w:h="16840" w:code="9"/>
          <w:pgMar w:top="1417" w:right="1134" w:bottom="1134" w:left="1134" w:header="850" w:footer="567" w:gutter="0"/>
          <w:cols w:space="720"/>
          <w:docGrid w:linePitch="272"/>
        </w:sectPr>
      </w:pPr>
      <w:bookmarkStart w:id="24" w:name="_Toc16754925"/>
    </w:p>
    <w:p w14:paraId="60606CD1" w14:textId="2C47BC73" w:rsidR="007300E3" w:rsidRPr="008B0EF4" w:rsidRDefault="007300E3" w:rsidP="00311976">
      <w:pPr>
        <w:pStyle w:val="HChG"/>
      </w:pPr>
      <w:r w:rsidRPr="008B0EF4">
        <w:t>Annex II</w:t>
      </w:r>
      <w:bookmarkEnd w:id="24"/>
    </w:p>
    <w:p w14:paraId="6E3B64FD" w14:textId="77777777" w:rsidR="007300E3" w:rsidRPr="008B0EF4" w:rsidRDefault="007300E3" w:rsidP="00311976">
      <w:pPr>
        <w:pStyle w:val="HChG"/>
      </w:pPr>
      <w:r w:rsidRPr="008B0EF4">
        <w:tab/>
      </w:r>
      <w:r w:rsidRPr="008B0EF4">
        <w:tab/>
      </w:r>
      <w:bookmarkStart w:id="25" w:name="_Toc16754926"/>
      <w:r w:rsidR="000A03D7" w:rsidRPr="008B0EF4">
        <w:t xml:space="preserve">Attacks in </w:t>
      </w:r>
      <w:proofErr w:type="spellStart"/>
      <w:r w:rsidR="000A03D7" w:rsidRPr="008B0EF4">
        <w:t>Idlib</w:t>
      </w:r>
      <w:proofErr w:type="spellEnd"/>
      <w:r w:rsidR="000A03D7" w:rsidRPr="008B0EF4">
        <w:t xml:space="preserve"> and northern Hama</w:t>
      </w:r>
      <w:bookmarkEnd w:id="25"/>
      <w:r w:rsidR="000A03D7" w:rsidRPr="008B0EF4">
        <w:t xml:space="preserve">  </w:t>
      </w:r>
    </w:p>
    <w:p w14:paraId="779E40A8" w14:textId="77777777" w:rsidR="000A03D7" w:rsidRPr="008B0EF4" w:rsidRDefault="000A03D7" w:rsidP="000A03D7">
      <w:pPr>
        <w:spacing w:before="240" w:after="120" w:line="240" w:lineRule="atLeast"/>
        <w:ind w:left="1134" w:right="1134"/>
        <w:jc w:val="both"/>
        <w:rPr>
          <w:rFonts w:eastAsia="Times New Roman"/>
          <w:b/>
        </w:rPr>
      </w:pPr>
      <w:r w:rsidRPr="008B0EF4">
        <w:rPr>
          <w:rFonts w:eastAsia="Times New Roman"/>
          <w:b/>
        </w:rPr>
        <w:t>22 July, attack on a market in Marat al-</w:t>
      </w:r>
      <w:proofErr w:type="spellStart"/>
      <w:r w:rsidRPr="008B0EF4">
        <w:rPr>
          <w:rFonts w:eastAsia="Times New Roman"/>
          <w:b/>
        </w:rPr>
        <w:t>Numan</w:t>
      </w:r>
      <w:proofErr w:type="spellEnd"/>
      <w:r w:rsidRPr="008B0EF4">
        <w:rPr>
          <w:rFonts w:eastAsia="Times New Roman"/>
          <w:b/>
        </w:rPr>
        <w:t xml:space="preserve"> </w:t>
      </w:r>
    </w:p>
    <w:p w14:paraId="0D236BE3" w14:textId="7835D069" w:rsidR="000A03D7" w:rsidRPr="008B0EF4" w:rsidRDefault="000A03D7" w:rsidP="000A03D7">
      <w:pPr>
        <w:spacing w:after="120" w:line="240" w:lineRule="atLeast"/>
        <w:ind w:left="1134" w:right="1134"/>
        <w:jc w:val="both"/>
        <w:rPr>
          <w:rFonts w:eastAsia="Times New Roman"/>
        </w:rPr>
      </w:pPr>
      <w:r w:rsidRPr="008B0EF4">
        <w:rPr>
          <w:rFonts w:eastAsia="Times New Roman"/>
        </w:rPr>
        <w:t>1</w:t>
      </w:r>
      <w:r w:rsidR="006A33EC" w:rsidRPr="008B0EF4">
        <w:rPr>
          <w:rFonts w:eastAsia="Times New Roman"/>
        </w:rPr>
        <w:t>.</w:t>
      </w:r>
      <w:r w:rsidR="00E864F9" w:rsidRPr="008B0EF4">
        <w:rPr>
          <w:rFonts w:eastAsia="Times New Roman"/>
        </w:rPr>
        <w:tab/>
      </w:r>
      <w:r w:rsidRPr="008B0EF4">
        <w:rPr>
          <w:rFonts w:eastAsia="Times New Roman"/>
        </w:rPr>
        <w:t>On 22 July, a series of air</w:t>
      </w:r>
      <w:r w:rsidR="009443AF">
        <w:rPr>
          <w:rFonts w:eastAsia="Times New Roman"/>
        </w:rPr>
        <w:t xml:space="preserve"> </w:t>
      </w:r>
      <w:r w:rsidRPr="008B0EF4">
        <w:rPr>
          <w:rFonts w:eastAsia="Times New Roman"/>
        </w:rPr>
        <w:t xml:space="preserve">strikes hit a market and its surroundings in Marat al </w:t>
      </w:r>
      <w:proofErr w:type="spellStart"/>
      <w:r w:rsidRPr="008B0EF4">
        <w:rPr>
          <w:rFonts w:eastAsia="Times New Roman"/>
        </w:rPr>
        <w:t>Numan</w:t>
      </w:r>
      <w:proofErr w:type="spellEnd"/>
      <w:r w:rsidRPr="008B0EF4">
        <w:rPr>
          <w:rFonts w:eastAsia="Times New Roman"/>
        </w:rPr>
        <w:t xml:space="preserve"> in southern </w:t>
      </w:r>
      <w:proofErr w:type="spellStart"/>
      <w:r w:rsidRPr="008B0EF4">
        <w:rPr>
          <w:rFonts w:eastAsia="Times New Roman"/>
        </w:rPr>
        <w:t>Idlib</w:t>
      </w:r>
      <w:proofErr w:type="spellEnd"/>
      <w:r w:rsidRPr="008B0EF4">
        <w:rPr>
          <w:rFonts w:eastAsia="Times New Roman"/>
        </w:rPr>
        <w:t xml:space="preserve">, killing </w:t>
      </w:r>
      <w:r w:rsidR="009E1362">
        <w:rPr>
          <w:rFonts w:eastAsia="Times New Roman"/>
        </w:rPr>
        <w:t>at least</w:t>
      </w:r>
      <w:r w:rsidRPr="008B0EF4">
        <w:rPr>
          <w:rFonts w:eastAsia="Times New Roman"/>
        </w:rPr>
        <w:t xml:space="preserve"> </w:t>
      </w:r>
      <w:r w:rsidR="00A15C91" w:rsidRPr="008B0EF4">
        <w:rPr>
          <w:rFonts w:eastAsia="Times New Roman"/>
        </w:rPr>
        <w:t>43</w:t>
      </w:r>
      <w:r w:rsidRPr="008B0EF4">
        <w:rPr>
          <w:rFonts w:eastAsia="Times New Roman"/>
        </w:rPr>
        <w:t xml:space="preserve"> civilians, including </w:t>
      </w:r>
      <w:r w:rsidR="00A15C91" w:rsidRPr="008B0EF4">
        <w:rPr>
          <w:rFonts w:eastAsia="Times New Roman"/>
        </w:rPr>
        <w:t>three girls and one boy</w:t>
      </w:r>
      <w:r w:rsidRPr="008B0EF4">
        <w:rPr>
          <w:rFonts w:eastAsia="Times New Roman"/>
        </w:rPr>
        <w:t xml:space="preserve">, and injuring at least </w:t>
      </w:r>
      <w:r w:rsidR="00A15C91" w:rsidRPr="008B0EF4">
        <w:rPr>
          <w:rFonts w:eastAsia="Times New Roman"/>
        </w:rPr>
        <w:t>109</w:t>
      </w:r>
      <w:r w:rsidRPr="008B0EF4">
        <w:rPr>
          <w:rFonts w:eastAsia="Times New Roman"/>
        </w:rPr>
        <w:t xml:space="preserve"> others</w:t>
      </w:r>
      <w:r w:rsidR="00A15C91" w:rsidRPr="008B0EF4">
        <w:rPr>
          <w:rFonts w:eastAsia="Times New Roman"/>
        </w:rPr>
        <w:t>, including 18 children and 15 women</w:t>
      </w:r>
      <w:r w:rsidRPr="008B0EF4">
        <w:rPr>
          <w:rFonts w:eastAsia="Times New Roman"/>
        </w:rPr>
        <w:t>. Most of the victims suffered severe injuries, with some being later brought to the Marat al-</w:t>
      </w:r>
      <w:proofErr w:type="spellStart"/>
      <w:r w:rsidRPr="008B0EF4">
        <w:rPr>
          <w:rFonts w:eastAsia="Times New Roman"/>
        </w:rPr>
        <w:t>Numan</w:t>
      </w:r>
      <w:proofErr w:type="spellEnd"/>
      <w:r w:rsidRPr="008B0EF4">
        <w:rPr>
          <w:rFonts w:eastAsia="Times New Roman"/>
        </w:rPr>
        <w:t xml:space="preserve"> hospital decapitated, badly burned or without limbs. Family members were forced to identify their loved ones based on </w:t>
      </w:r>
      <w:proofErr w:type="gramStart"/>
      <w:r w:rsidRPr="008B0EF4">
        <w:rPr>
          <w:rFonts w:eastAsia="Times New Roman"/>
        </w:rPr>
        <w:t>birth marks</w:t>
      </w:r>
      <w:proofErr w:type="gramEnd"/>
      <w:r w:rsidRPr="008B0EF4">
        <w:rPr>
          <w:rFonts w:eastAsia="Times New Roman"/>
        </w:rPr>
        <w:t xml:space="preserve">, clothing or other similar features.  </w:t>
      </w:r>
    </w:p>
    <w:p w14:paraId="22EEAAE0" w14:textId="77777777" w:rsidR="000A03D7" w:rsidRPr="008B0EF4" w:rsidRDefault="000A03D7" w:rsidP="000A03D7">
      <w:pPr>
        <w:spacing w:after="120" w:line="240" w:lineRule="atLeast"/>
        <w:ind w:left="1134" w:right="1134"/>
        <w:jc w:val="both"/>
        <w:rPr>
          <w:rFonts w:eastAsia="Times New Roman"/>
        </w:rPr>
      </w:pPr>
      <w:r w:rsidRPr="008B0EF4">
        <w:rPr>
          <w:rFonts w:eastAsia="Times New Roman"/>
        </w:rPr>
        <w:t>2</w:t>
      </w:r>
      <w:r w:rsidR="006A33EC" w:rsidRPr="008B0EF4">
        <w:rPr>
          <w:rFonts w:eastAsia="Times New Roman"/>
        </w:rPr>
        <w:t>.</w:t>
      </w:r>
      <w:r w:rsidR="00E864F9" w:rsidRPr="008B0EF4">
        <w:rPr>
          <w:rFonts w:eastAsia="Times New Roman"/>
        </w:rPr>
        <w:tab/>
      </w:r>
      <w:r w:rsidRPr="008B0EF4">
        <w:rPr>
          <w:rFonts w:eastAsia="Times New Roman"/>
        </w:rPr>
        <w:t xml:space="preserve">The market was located on the Marat al </w:t>
      </w:r>
      <w:proofErr w:type="spellStart"/>
      <w:r w:rsidRPr="008B0EF4">
        <w:rPr>
          <w:rFonts w:eastAsia="Times New Roman"/>
        </w:rPr>
        <w:t>Numan</w:t>
      </w:r>
      <w:proofErr w:type="spellEnd"/>
      <w:r w:rsidRPr="008B0EF4">
        <w:rPr>
          <w:rFonts w:eastAsia="Times New Roman"/>
        </w:rPr>
        <w:t xml:space="preserve"> main road, in-between residential buildings and around 40 commercial shops. Interviewees recalled that it was a popular market, operating during the entire day, with peak-time known to be between 8:00 a.m. and 1 p.m. </w:t>
      </w:r>
    </w:p>
    <w:p w14:paraId="391E0AD3" w14:textId="4C04F77C" w:rsidR="000A03D7" w:rsidRPr="008B0EF4" w:rsidRDefault="000A03D7" w:rsidP="000A03D7">
      <w:pPr>
        <w:spacing w:after="120" w:line="240" w:lineRule="atLeast"/>
        <w:ind w:left="1134" w:right="1134"/>
        <w:jc w:val="both"/>
        <w:rPr>
          <w:rFonts w:eastAsia="Times New Roman"/>
        </w:rPr>
      </w:pPr>
      <w:r w:rsidRPr="008B0EF4">
        <w:rPr>
          <w:rFonts w:eastAsia="Times New Roman"/>
        </w:rPr>
        <w:t>3</w:t>
      </w:r>
      <w:r w:rsidR="006A33EC" w:rsidRPr="008B0EF4">
        <w:rPr>
          <w:rFonts w:eastAsia="Times New Roman"/>
        </w:rPr>
        <w:t>.</w:t>
      </w:r>
      <w:r w:rsidR="00E864F9" w:rsidRPr="008B0EF4">
        <w:rPr>
          <w:rFonts w:eastAsia="Times New Roman"/>
        </w:rPr>
        <w:tab/>
      </w:r>
      <w:r w:rsidRPr="008B0EF4">
        <w:rPr>
          <w:rFonts w:eastAsia="Times New Roman"/>
        </w:rPr>
        <w:t xml:space="preserve">In the morning of 22 July, at around 08:00 a.m., flight spotters and early warning observers reported that jet aircraft had departed from </w:t>
      </w:r>
      <w:proofErr w:type="spellStart"/>
      <w:r w:rsidRPr="008B0EF4">
        <w:rPr>
          <w:rFonts w:eastAsia="Times New Roman"/>
        </w:rPr>
        <w:t>Hmemim</w:t>
      </w:r>
      <w:proofErr w:type="spellEnd"/>
      <w:r w:rsidRPr="008B0EF4">
        <w:rPr>
          <w:rFonts w:eastAsia="Times New Roman"/>
        </w:rPr>
        <w:t xml:space="preserve"> airbase and were circling in the skies over </w:t>
      </w:r>
      <w:r w:rsidR="00D20459" w:rsidRPr="008B0EF4">
        <w:rPr>
          <w:rFonts w:eastAsia="Times New Roman"/>
        </w:rPr>
        <w:t xml:space="preserve">the </w:t>
      </w:r>
      <w:proofErr w:type="spellStart"/>
      <w:r w:rsidRPr="008B0EF4">
        <w:rPr>
          <w:rFonts w:eastAsia="Times New Roman"/>
        </w:rPr>
        <w:t>Idlib</w:t>
      </w:r>
      <w:proofErr w:type="spellEnd"/>
      <w:r w:rsidRPr="008B0EF4">
        <w:rPr>
          <w:rFonts w:eastAsia="Times New Roman"/>
        </w:rPr>
        <w:t xml:space="preserve"> countryside. Minutes later, at least two jet aircraft carried out two consecutive air</w:t>
      </w:r>
      <w:r w:rsidR="009443AF">
        <w:rPr>
          <w:rFonts w:eastAsia="Times New Roman"/>
        </w:rPr>
        <w:t xml:space="preserve"> </w:t>
      </w:r>
      <w:r w:rsidRPr="008B0EF4">
        <w:rPr>
          <w:rFonts w:eastAsia="Times New Roman"/>
        </w:rPr>
        <w:t xml:space="preserve">strikes, dropping at least three munitions in densely populated areas in Marat al </w:t>
      </w:r>
      <w:proofErr w:type="spellStart"/>
      <w:r w:rsidRPr="008B0EF4">
        <w:rPr>
          <w:rFonts w:eastAsia="Times New Roman"/>
        </w:rPr>
        <w:t>Numan</w:t>
      </w:r>
      <w:proofErr w:type="spellEnd"/>
      <w:r w:rsidRPr="008B0EF4">
        <w:rPr>
          <w:rFonts w:eastAsia="Times New Roman"/>
        </w:rPr>
        <w:t xml:space="preserve">. The first two munitions hit a residential house and a prison. At 8:17 a.m., a third munition struck another residential building situated in the southern part of the town’s market, known to be busy with visitors in the morning hours, located some 800 meters away from the first location. </w:t>
      </w:r>
    </w:p>
    <w:p w14:paraId="50920403" w14:textId="77777777" w:rsidR="000A03D7" w:rsidRPr="008B0EF4" w:rsidRDefault="000A03D7" w:rsidP="000A03D7">
      <w:pPr>
        <w:spacing w:after="120" w:line="240" w:lineRule="atLeast"/>
        <w:ind w:left="1134" w:right="1134"/>
        <w:jc w:val="both"/>
        <w:rPr>
          <w:rFonts w:eastAsia="Times New Roman"/>
        </w:rPr>
      </w:pPr>
      <w:r w:rsidRPr="008B0EF4">
        <w:rPr>
          <w:rFonts w:eastAsia="Times New Roman"/>
        </w:rPr>
        <w:t>4</w:t>
      </w:r>
      <w:r w:rsidR="006A33EC" w:rsidRPr="008B0EF4">
        <w:rPr>
          <w:rFonts w:eastAsia="Times New Roman"/>
        </w:rPr>
        <w:t>.</w:t>
      </w:r>
      <w:r w:rsidR="00E864F9" w:rsidRPr="008B0EF4">
        <w:rPr>
          <w:rFonts w:eastAsia="Times New Roman"/>
        </w:rPr>
        <w:tab/>
      </w:r>
      <w:r w:rsidRPr="008B0EF4">
        <w:rPr>
          <w:rFonts w:eastAsia="Times New Roman"/>
        </w:rPr>
        <w:t>Eyewitnesses described that approximately 10 to 15 minutes after the attack on the market, civilians and first responders rushed to the scene. Within minutes, however, flight spotters</w:t>
      </w:r>
      <w:r w:rsidR="00E864F9" w:rsidRPr="008B0EF4">
        <w:rPr>
          <w:rStyle w:val="FootnoteReference"/>
          <w:rFonts w:eastAsia="Times New Roman"/>
        </w:rPr>
        <w:footnoteReference w:id="55"/>
      </w:r>
      <w:r w:rsidR="00D20459" w:rsidRPr="008B0EF4">
        <w:rPr>
          <w:rFonts w:eastAsia="Times New Roman"/>
        </w:rPr>
        <w:t xml:space="preserve"> </w:t>
      </w:r>
      <w:r w:rsidRPr="008B0EF4">
        <w:rPr>
          <w:rFonts w:eastAsia="Times New Roman"/>
        </w:rPr>
        <w:t xml:space="preserve">announced that a jet aircraft was coming back to the impacted area. At this point, that jet aircraft launched a “double-tap attack” killing scores of civilians, including at least one member of the rescue team. After the attack, flight spotters reported that jet aircraft, possibly different aircraft, were still circling above the area. </w:t>
      </w:r>
    </w:p>
    <w:p w14:paraId="0CB0CC3F" w14:textId="77777777" w:rsidR="000A03D7" w:rsidRPr="008B0EF4" w:rsidRDefault="000A03D7" w:rsidP="000A03D7">
      <w:pPr>
        <w:spacing w:after="120" w:line="240" w:lineRule="atLeast"/>
        <w:ind w:left="1134" w:right="1134"/>
        <w:jc w:val="both"/>
        <w:rPr>
          <w:rFonts w:eastAsia="Times New Roman"/>
        </w:rPr>
      </w:pPr>
      <w:r w:rsidRPr="008B0EF4">
        <w:rPr>
          <w:rFonts w:eastAsia="Times New Roman"/>
        </w:rPr>
        <w:t>5</w:t>
      </w:r>
      <w:r w:rsidR="006A33EC" w:rsidRPr="008B0EF4">
        <w:rPr>
          <w:rFonts w:eastAsia="Times New Roman"/>
        </w:rPr>
        <w:t>.</w:t>
      </w:r>
      <w:r w:rsidR="00E864F9" w:rsidRPr="008B0EF4">
        <w:rPr>
          <w:rFonts w:eastAsia="Times New Roman"/>
        </w:rPr>
        <w:tab/>
      </w:r>
      <w:r w:rsidRPr="008B0EF4">
        <w:rPr>
          <w:rFonts w:eastAsia="Times New Roman"/>
        </w:rPr>
        <w:t xml:space="preserve">Interviewees who visited the impacted market site recalled seeing a large crater on the main street and a number of dismembered bodies scattered nearby. At least two four-storey residential buildings had collapsed and 25 commercial shops </w:t>
      </w:r>
      <w:proofErr w:type="gramStart"/>
      <w:r w:rsidRPr="008B0EF4">
        <w:rPr>
          <w:rFonts w:eastAsia="Times New Roman"/>
        </w:rPr>
        <w:t>were destroyed</w:t>
      </w:r>
      <w:proofErr w:type="gramEnd"/>
      <w:r w:rsidRPr="008B0EF4">
        <w:rPr>
          <w:rFonts w:eastAsia="Times New Roman"/>
        </w:rPr>
        <w:t>, whilst the windows of al-</w:t>
      </w:r>
      <w:proofErr w:type="spellStart"/>
      <w:r w:rsidRPr="008B0EF4">
        <w:rPr>
          <w:rFonts w:eastAsia="Times New Roman"/>
        </w:rPr>
        <w:t>Quza'iz</w:t>
      </w:r>
      <w:proofErr w:type="spellEnd"/>
      <w:r w:rsidRPr="008B0EF4">
        <w:rPr>
          <w:rFonts w:eastAsia="Times New Roman"/>
        </w:rPr>
        <w:t xml:space="preserve"> school located some 700 meters away from the market, were shattered.  A member of the rescue team described hearing the screams of a girl who </w:t>
      </w:r>
      <w:proofErr w:type="gramStart"/>
      <w:r w:rsidRPr="008B0EF4">
        <w:rPr>
          <w:rFonts w:eastAsia="Times New Roman"/>
        </w:rPr>
        <w:t>was trapped</w:t>
      </w:r>
      <w:proofErr w:type="gramEnd"/>
      <w:r w:rsidRPr="008B0EF4">
        <w:rPr>
          <w:rFonts w:eastAsia="Times New Roman"/>
        </w:rPr>
        <w:t xml:space="preserve"> under the rubble of one of the destroyed buildings. While the team managed to retrieve the girl and her older brother alive, they also found the dead bodies of their parents. Civilians and first responders spent more than one day retrieving the victims’ bodies from under the rubble.</w:t>
      </w:r>
    </w:p>
    <w:p w14:paraId="7598489A" w14:textId="77777777" w:rsidR="000A03D7" w:rsidRPr="008B0EF4" w:rsidRDefault="000A03D7" w:rsidP="000A03D7">
      <w:pPr>
        <w:spacing w:after="120" w:line="240" w:lineRule="atLeast"/>
        <w:ind w:left="1134" w:right="1134"/>
        <w:jc w:val="both"/>
        <w:rPr>
          <w:rFonts w:eastAsia="Times New Roman"/>
        </w:rPr>
      </w:pPr>
      <w:r w:rsidRPr="008B0EF4">
        <w:rPr>
          <w:rFonts w:eastAsia="Times New Roman"/>
        </w:rPr>
        <w:t>6.</w:t>
      </w:r>
      <w:r w:rsidR="00E864F9" w:rsidRPr="008B0EF4">
        <w:rPr>
          <w:rFonts w:eastAsia="Times New Roman"/>
        </w:rPr>
        <w:tab/>
      </w:r>
      <w:r w:rsidRPr="008B0EF4">
        <w:rPr>
          <w:rFonts w:eastAsia="Times New Roman"/>
        </w:rPr>
        <w:t xml:space="preserve">Consistent with witnesses testimony, early warning reports and flight spotters reports indicated that at least two Russian fixed wing-aircrafts, departed from </w:t>
      </w:r>
      <w:proofErr w:type="spellStart"/>
      <w:r w:rsidRPr="008B0EF4">
        <w:rPr>
          <w:rFonts w:eastAsia="Times New Roman"/>
        </w:rPr>
        <w:t>Hmemim</w:t>
      </w:r>
      <w:proofErr w:type="spellEnd"/>
      <w:r w:rsidRPr="008B0EF4">
        <w:rPr>
          <w:rFonts w:eastAsia="Times New Roman"/>
        </w:rPr>
        <w:t xml:space="preserve"> airbase on 22 July at around 8:03 a.m. and circled near the target area at the same time of the attack. The Commission further obtained flight communication intercepts conducted in the Russian language for the period between 07:40 and 09:59 a.m. The communications confirm that, between 8:17 and 8:35 a.m., two Russian aircraft operated in </w:t>
      </w:r>
      <w:proofErr w:type="spellStart"/>
      <w:r w:rsidRPr="008B0EF4">
        <w:rPr>
          <w:rFonts w:eastAsia="Times New Roman"/>
        </w:rPr>
        <w:t>Idlib</w:t>
      </w:r>
      <w:proofErr w:type="spellEnd"/>
      <w:r w:rsidRPr="008B0EF4">
        <w:rPr>
          <w:rFonts w:eastAsia="Times New Roman"/>
        </w:rPr>
        <w:t xml:space="preserve"> airspace, and reported on the progress of on-going aerial attacks in </w:t>
      </w:r>
      <w:proofErr w:type="spellStart"/>
      <w:r w:rsidRPr="008B0EF4">
        <w:rPr>
          <w:rFonts w:eastAsia="Calibri"/>
          <w:szCs w:val="24"/>
        </w:rPr>
        <w:t>Idlib</w:t>
      </w:r>
      <w:proofErr w:type="spellEnd"/>
      <w:r w:rsidRPr="008B0EF4">
        <w:rPr>
          <w:rFonts w:eastAsia="Times New Roman"/>
        </w:rPr>
        <w:t xml:space="preserve">. </w:t>
      </w:r>
    </w:p>
    <w:p w14:paraId="6E26333B" w14:textId="77777777" w:rsidR="000A03D7" w:rsidRPr="008B0EF4" w:rsidRDefault="000A03D7" w:rsidP="000A03D7">
      <w:pPr>
        <w:spacing w:after="120" w:line="240" w:lineRule="atLeast"/>
        <w:ind w:left="1134" w:right="1134"/>
        <w:jc w:val="both"/>
        <w:rPr>
          <w:rFonts w:eastAsia="Times New Roman"/>
        </w:rPr>
      </w:pPr>
      <w:r w:rsidRPr="008B0EF4">
        <w:rPr>
          <w:rFonts w:eastAsia="Times New Roman"/>
        </w:rPr>
        <w:t>7</w:t>
      </w:r>
      <w:r w:rsidR="006A33EC" w:rsidRPr="008B0EF4">
        <w:rPr>
          <w:rFonts w:eastAsia="Times New Roman"/>
        </w:rPr>
        <w:t>.</w:t>
      </w:r>
      <w:r w:rsidR="00E864F9" w:rsidRPr="008B0EF4">
        <w:rPr>
          <w:rFonts w:eastAsia="Times New Roman"/>
        </w:rPr>
        <w:tab/>
      </w:r>
      <w:r w:rsidRPr="008B0EF4">
        <w:rPr>
          <w:rFonts w:eastAsia="Times New Roman"/>
        </w:rPr>
        <w:t>Documentary material, including satellite imagery, video footage and photos provided to the Commission show a large crater on the main road of the market. It also shows damage to the roof of one residential building, and</w:t>
      </w:r>
      <w:r w:rsidR="00D20459" w:rsidRPr="008B0EF4">
        <w:rPr>
          <w:rFonts w:eastAsia="Times New Roman"/>
        </w:rPr>
        <w:t xml:space="preserve"> that</w:t>
      </w:r>
      <w:r w:rsidRPr="008B0EF4">
        <w:rPr>
          <w:rFonts w:eastAsia="Times New Roman"/>
        </w:rPr>
        <w:t xml:space="preserve"> at least one building that has collapsed.     </w:t>
      </w:r>
    </w:p>
    <w:p w14:paraId="4A883EDE" w14:textId="77777777" w:rsidR="000A03D7" w:rsidRPr="008B0EF4" w:rsidRDefault="000A03D7" w:rsidP="000A03D7">
      <w:pPr>
        <w:spacing w:after="120" w:line="240" w:lineRule="atLeast"/>
        <w:ind w:left="1134" w:right="1134"/>
        <w:jc w:val="both"/>
        <w:rPr>
          <w:rFonts w:eastAsia="Times New Roman"/>
        </w:rPr>
      </w:pPr>
      <w:r w:rsidRPr="008B0EF4">
        <w:rPr>
          <w:rFonts w:eastAsia="Times New Roman"/>
        </w:rPr>
        <w:t>8.</w:t>
      </w:r>
      <w:r w:rsidR="00E864F9" w:rsidRPr="008B0EF4">
        <w:rPr>
          <w:rFonts w:eastAsia="Times New Roman"/>
        </w:rPr>
        <w:tab/>
      </w:r>
      <w:r w:rsidRPr="008B0EF4">
        <w:rPr>
          <w:rFonts w:eastAsia="Times New Roman"/>
        </w:rPr>
        <w:t xml:space="preserve">Information obtained by the Commission does not indicate that, during the time and day of the attack, the Syrian Air Force engaged in target coordination or carried out attacks in </w:t>
      </w:r>
      <w:proofErr w:type="spellStart"/>
      <w:r w:rsidRPr="008B0EF4">
        <w:rPr>
          <w:rFonts w:eastAsia="Times New Roman"/>
        </w:rPr>
        <w:t>Idlib</w:t>
      </w:r>
      <w:proofErr w:type="spellEnd"/>
      <w:r w:rsidRPr="008B0EF4">
        <w:rPr>
          <w:rFonts w:eastAsia="Times New Roman"/>
        </w:rPr>
        <w:t xml:space="preserve"> governorate. </w:t>
      </w:r>
    </w:p>
    <w:p w14:paraId="67E09BCB" w14:textId="77777777" w:rsidR="000A03D7" w:rsidRPr="008B0EF4" w:rsidRDefault="000A03D7" w:rsidP="000A03D7">
      <w:pPr>
        <w:spacing w:before="240" w:after="120" w:line="240" w:lineRule="atLeast"/>
        <w:ind w:left="1134" w:right="1134"/>
        <w:jc w:val="both"/>
        <w:rPr>
          <w:rFonts w:eastAsia="Times New Roman"/>
          <w:b/>
        </w:rPr>
      </w:pPr>
      <w:r w:rsidRPr="008B0EF4">
        <w:rPr>
          <w:rFonts w:eastAsia="Times New Roman"/>
          <w:b/>
        </w:rPr>
        <w:t xml:space="preserve">16 August, Haas compound for displaced civilians </w:t>
      </w:r>
    </w:p>
    <w:p w14:paraId="2EC5B016" w14:textId="438955A3" w:rsidR="000A03D7" w:rsidRPr="008B0EF4" w:rsidRDefault="000A03D7" w:rsidP="000A03D7">
      <w:pPr>
        <w:spacing w:after="120" w:line="240" w:lineRule="atLeast"/>
        <w:ind w:left="1134" w:right="1134"/>
        <w:jc w:val="both"/>
        <w:rPr>
          <w:rFonts w:eastAsia="Times New Roman"/>
        </w:rPr>
      </w:pPr>
      <w:r w:rsidRPr="008B0EF4">
        <w:rPr>
          <w:rFonts w:eastAsia="Times New Roman"/>
        </w:rPr>
        <w:t>9</w:t>
      </w:r>
      <w:r w:rsidR="006A33EC" w:rsidRPr="008B0EF4">
        <w:rPr>
          <w:rFonts w:eastAsia="Times New Roman"/>
        </w:rPr>
        <w:t>.</w:t>
      </w:r>
      <w:r w:rsidR="00E864F9" w:rsidRPr="008B0EF4">
        <w:rPr>
          <w:rFonts w:eastAsia="Times New Roman"/>
        </w:rPr>
        <w:tab/>
      </w:r>
      <w:r w:rsidRPr="008B0EF4">
        <w:rPr>
          <w:rFonts w:eastAsia="Times New Roman"/>
        </w:rPr>
        <w:t>On 16 August, between 7:15 and 7:30 p.m., a series of air</w:t>
      </w:r>
      <w:r w:rsidR="009443AF">
        <w:rPr>
          <w:rFonts w:eastAsia="Times New Roman"/>
        </w:rPr>
        <w:t xml:space="preserve"> </w:t>
      </w:r>
      <w:r w:rsidRPr="008B0EF4">
        <w:rPr>
          <w:rFonts w:eastAsia="Times New Roman"/>
        </w:rPr>
        <w:t xml:space="preserve">strikes hit a compound located two kilometres from Haas in southern </w:t>
      </w:r>
      <w:proofErr w:type="spellStart"/>
      <w:r w:rsidRPr="008B0EF4">
        <w:rPr>
          <w:rFonts w:eastAsia="Times New Roman"/>
        </w:rPr>
        <w:t>Idlib</w:t>
      </w:r>
      <w:proofErr w:type="spellEnd"/>
      <w:r w:rsidRPr="008B0EF4">
        <w:rPr>
          <w:rFonts w:eastAsia="Times New Roman"/>
        </w:rPr>
        <w:t xml:space="preserve">, where displaced civilians from </w:t>
      </w:r>
      <w:proofErr w:type="spellStart"/>
      <w:r w:rsidRPr="008B0EF4">
        <w:rPr>
          <w:rFonts w:eastAsia="Times New Roman"/>
        </w:rPr>
        <w:t>Dayr</w:t>
      </w:r>
      <w:proofErr w:type="spellEnd"/>
      <w:r w:rsidRPr="008B0EF4">
        <w:rPr>
          <w:rFonts w:eastAsia="Times New Roman"/>
        </w:rPr>
        <w:t xml:space="preserve"> al-</w:t>
      </w:r>
      <w:proofErr w:type="spellStart"/>
      <w:r w:rsidRPr="008B0EF4">
        <w:rPr>
          <w:rFonts w:eastAsia="Times New Roman"/>
        </w:rPr>
        <w:t>Zawr</w:t>
      </w:r>
      <w:proofErr w:type="spellEnd"/>
      <w:r w:rsidRPr="008B0EF4">
        <w:rPr>
          <w:rFonts w:eastAsia="Times New Roman"/>
        </w:rPr>
        <w:t xml:space="preserve">, Hama, Homs, rural Damascus and </w:t>
      </w:r>
      <w:proofErr w:type="spellStart"/>
      <w:r w:rsidR="00EF59AE">
        <w:rPr>
          <w:rFonts w:eastAsia="Times New Roman"/>
        </w:rPr>
        <w:t>Dar‘a</w:t>
      </w:r>
      <w:proofErr w:type="spellEnd"/>
      <w:r w:rsidRPr="008B0EF4">
        <w:rPr>
          <w:rFonts w:eastAsia="Times New Roman"/>
        </w:rPr>
        <w:t xml:space="preserve"> lived. The attack caused substantial damage to areas where civilians often gathered, including children</w:t>
      </w:r>
      <w:r w:rsidR="00D20459" w:rsidRPr="008B0EF4">
        <w:rPr>
          <w:rFonts w:eastAsia="Times New Roman"/>
        </w:rPr>
        <w:t>. The attack</w:t>
      </w:r>
      <w:r w:rsidRPr="008B0EF4">
        <w:rPr>
          <w:rFonts w:eastAsia="Times New Roman"/>
        </w:rPr>
        <w:t xml:space="preserve"> kill</w:t>
      </w:r>
      <w:r w:rsidR="00D20459" w:rsidRPr="008B0EF4">
        <w:rPr>
          <w:rFonts w:eastAsia="Times New Roman"/>
        </w:rPr>
        <w:t>ed</w:t>
      </w:r>
      <w:r w:rsidRPr="008B0EF4">
        <w:rPr>
          <w:rFonts w:eastAsia="Times New Roman"/>
        </w:rPr>
        <w:t xml:space="preserve"> at least 20 people, including eight women, one of whom was pregnant, and </w:t>
      </w:r>
      <w:proofErr w:type="gramStart"/>
      <w:r w:rsidRPr="008B0EF4">
        <w:rPr>
          <w:rFonts w:eastAsia="Times New Roman"/>
        </w:rPr>
        <w:t>six</w:t>
      </w:r>
      <w:proofErr w:type="gramEnd"/>
      <w:r w:rsidRPr="008B0EF4">
        <w:rPr>
          <w:rFonts w:eastAsia="Times New Roman"/>
        </w:rPr>
        <w:t xml:space="preserve"> children, and injured 40</w:t>
      </w:r>
      <w:r w:rsidR="00A15C91" w:rsidRPr="008B0EF4">
        <w:rPr>
          <w:rFonts w:eastAsia="Times New Roman"/>
        </w:rPr>
        <w:t xml:space="preserve"> </w:t>
      </w:r>
      <w:r w:rsidRPr="008B0EF4">
        <w:rPr>
          <w:rFonts w:eastAsia="Times New Roman"/>
        </w:rPr>
        <w:t xml:space="preserve">others. </w:t>
      </w:r>
    </w:p>
    <w:p w14:paraId="710100B3" w14:textId="77777777" w:rsidR="000A03D7" w:rsidRPr="008B0EF4" w:rsidRDefault="000A03D7" w:rsidP="000A03D7">
      <w:pPr>
        <w:spacing w:after="120" w:line="240" w:lineRule="atLeast"/>
        <w:ind w:left="1134" w:right="1134"/>
        <w:jc w:val="both"/>
        <w:rPr>
          <w:rFonts w:eastAsia="Times New Roman"/>
        </w:rPr>
      </w:pPr>
      <w:r w:rsidRPr="008B0EF4">
        <w:rPr>
          <w:rFonts w:eastAsia="Times New Roman"/>
        </w:rPr>
        <w:t>10</w:t>
      </w:r>
      <w:r w:rsidR="006A33EC" w:rsidRPr="008B0EF4">
        <w:rPr>
          <w:rFonts w:eastAsia="Times New Roman"/>
        </w:rPr>
        <w:t>.</w:t>
      </w:r>
      <w:r w:rsidR="00E864F9" w:rsidRPr="008B0EF4">
        <w:rPr>
          <w:rFonts w:eastAsia="Times New Roman"/>
        </w:rPr>
        <w:tab/>
      </w:r>
      <w:r w:rsidRPr="008B0EF4">
        <w:rPr>
          <w:rFonts w:eastAsia="Times New Roman"/>
        </w:rPr>
        <w:t xml:space="preserve">One interviewee described that, as hostilities in southern </w:t>
      </w:r>
      <w:proofErr w:type="spellStart"/>
      <w:r w:rsidRPr="008B0EF4">
        <w:rPr>
          <w:rFonts w:eastAsia="Times New Roman"/>
        </w:rPr>
        <w:t>Idlib</w:t>
      </w:r>
      <w:proofErr w:type="spellEnd"/>
      <w:r w:rsidRPr="008B0EF4">
        <w:rPr>
          <w:rFonts w:eastAsia="Times New Roman"/>
        </w:rPr>
        <w:t xml:space="preserve"> intensified, many civilians were compelled to relocate to the Haas compound as they were unable to afford travel costs to go to the camps along the Turkish border, generally considered </w:t>
      </w:r>
      <w:proofErr w:type="gramStart"/>
      <w:r w:rsidRPr="008B0EF4">
        <w:rPr>
          <w:rFonts w:eastAsia="Times New Roman"/>
        </w:rPr>
        <w:t>to be safer</w:t>
      </w:r>
      <w:proofErr w:type="gramEnd"/>
      <w:r w:rsidRPr="008B0EF4">
        <w:rPr>
          <w:rFonts w:eastAsia="Times New Roman"/>
        </w:rPr>
        <w:t xml:space="preserve">. Fearing attacks, though unable to relocate due to financial constraints, families </w:t>
      </w:r>
      <w:proofErr w:type="gramStart"/>
      <w:r w:rsidRPr="008B0EF4">
        <w:rPr>
          <w:rFonts w:eastAsia="Times New Roman"/>
        </w:rPr>
        <w:t>were left</w:t>
      </w:r>
      <w:proofErr w:type="gramEnd"/>
      <w:r w:rsidRPr="008B0EF4">
        <w:rPr>
          <w:rFonts w:eastAsia="Times New Roman"/>
        </w:rPr>
        <w:t xml:space="preserve"> with no other choice but to settle in Haas compound.</w:t>
      </w:r>
    </w:p>
    <w:p w14:paraId="4E84C285" w14:textId="77777777" w:rsidR="000A03D7" w:rsidRPr="008B0EF4" w:rsidRDefault="000A03D7" w:rsidP="000A03D7">
      <w:pPr>
        <w:spacing w:after="120" w:line="240" w:lineRule="atLeast"/>
        <w:ind w:left="1134" w:right="1134"/>
        <w:jc w:val="both"/>
        <w:rPr>
          <w:rFonts w:eastAsia="Times New Roman"/>
        </w:rPr>
      </w:pPr>
      <w:r w:rsidRPr="008B0EF4">
        <w:rPr>
          <w:rFonts w:eastAsia="Times New Roman"/>
        </w:rPr>
        <w:t>11</w:t>
      </w:r>
      <w:r w:rsidR="006A33EC" w:rsidRPr="008B0EF4">
        <w:rPr>
          <w:rFonts w:eastAsia="Times New Roman"/>
        </w:rPr>
        <w:t>.</w:t>
      </w:r>
      <w:r w:rsidR="006A33EC" w:rsidRPr="008B0EF4">
        <w:rPr>
          <w:rFonts w:eastAsia="Times New Roman"/>
        </w:rPr>
        <w:tab/>
      </w:r>
      <w:r w:rsidRPr="008B0EF4">
        <w:rPr>
          <w:rFonts w:eastAsia="Times New Roman"/>
        </w:rPr>
        <w:t xml:space="preserve">The Haas compound for displaced civilians was located in a rural area, and was described by </w:t>
      </w:r>
      <w:r w:rsidR="00D20459" w:rsidRPr="008B0EF4">
        <w:rPr>
          <w:rFonts w:eastAsia="Times New Roman"/>
        </w:rPr>
        <w:t xml:space="preserve">witnesses </w:t>
      </w:r>
      <w:r w:rsidRPr="008B0EF4">
        <w:rPr>
          <w:rFonts w:eastAsia="Times New Roman"/>
        </w:rPr>
        <w:t xml:space="preserve">as residential, without checkpoints or armed groups’ presence, </w:t>
      </w:r>
      <w:r w:rsidR="00D20459" w:rsidRPr="008B0EF4">
        <w:rPr>
          <w:rFonts w:eastAsia="Times New Roman"/>
        </w:rPr>
        <w:t xml:space="preserve">and </w:t>
      </w:r>
      <w:r w:rsidRPr="008B0EF4">
        <w:rPr>
          <w:rFonts w:eastAsia="Times New Roman"/>
        </w:rPr>
        <w:t xml:space="preserve">situated near agricultural fields. The compound was composed </w:t>
      </w:r>
      <w:r w:rsidR="00D20459" w:rsidRPr="008B0EF4">
        <w:rPr>
          <w:rFonts w:eastAsia="Times New Roman"/>
        </w:rPr>
        <w:t xml:space="preserve">of </w:t>
      </w:r>
      <w:r w:rsidR="00A15C91" w:rsidRPr="008B0EF4">
        <w:rPr>
          <w:rFonts w:eastAsia="Times New Roman"/>
        </w:rPr>
        <w:t xml:space="preserve">several </w:t>
      </w:r>
      <w:r w:rsidRPr="008B0EF4">
        <w:rPr>
          <w:rFonts w:eastAsia="Times New Roman"/>
        </w:rPr>
        <w:t xml:space="preserve">residential buildings, where at least 150 families lived. Interviewees described how, during the summer, they would often gather in an open area in the compound in between residential buildings and commercial shops, while children would be playing. The compound also included commercial </w:t>
      </w:r>
      <w:r w:rsidR="00452E15" w:rsidRPr="008B0EF4">
        <w:rPr>
          <w:rFonts w:eastAsia="Times New Roman"/>
        </w:rPr>
        <w:t>areas</w:t>
      </w:r>
      <w:r w:rsidRPr="008B0EF4">
        <w:rPr>
          <w:rFonts w:eastAsia="Times New Roman"/>
        </w:rPr>
        <w:t xml:space="preserve">, a non-operational medical </w:t>
      </w:r>
      <w:r w:rsidR="00452E15" w:rsidRPr="008B0EF4">
        <w:rPr>
          <w:rFonts w:eastAsia="Times New Roman"/>
        </w:rPr>
        <w:t>centre</w:t>
      </w:r>
      <w:r w:rsidRPr="008B0EF4">
        <w:rPr>
          <w:rFonts w:eastAsia="Times New Roman"/>
        </w:rPr>
        <w:t xml:space="preserve">, a kindergarten, and a makeshift secondary and primary school catering for some 290 pupils, as well as a prayer room. </w:t>
      </w:r>
    </w:p>
    <w:p w14:paraId="56274CF2" w14:textId="425444F7" w:rsidR="000A03D7" w:rsidRPr="008B0EF4" w:rsidRDefault="006A33EC" w:rsidP="000A03D7">
      <w:pPr>
        <w:spacing w:after="120" w:line="240" w:lineRule="atLeast"/>
        <w:ind w:left="1134" w:right="1134"/>
        <w:jc w:val="both"/>
        <w:rPr>
          <w:rFonts w:eastAsia="Times New Roman"/>
        </w:rPr>
      </w:pPr>
      <w:r w:rsidRPr="008B0EF4">
        <w:rPr>
          <w:rFonts w:eastAsia="Times New Roman"/>
        </w:rPr>
        <w:t>12.</w:t>
      </w:r>
      <w:r w:rsidR="00E864F9" w:rsidRPr="008B0EF4">
        <w:rPr>
          <w:rFonts w:eastAsia="Times New Roman"/>
        </w:rPr>
        <w:tab/>
      </w:r>
      <w:r w:rsidR="000A03D7" w:rsidRPr="008B0EF4">
        <w:rPr>
          <w:rFonts w:eastAsia="Times New Roman"/>
        </w:rPr>
        <w:t xml:space="preserve">Eyewitnesses recalled that at around 7 p.m. at sunset, before evening prayer, a reconnaissance plane was circling over the Haas compound. As it was </w:t>
      </w:r>
      <w:proofErr w:type="gramStart"/>
      <w:r w:rsidR="000A03D7" w:rsidRPr="008B0EF4">
        <w:rPr>
          <w:rFonts w:eastAsia="Times New Roman"/>
        </w:rPr>
        <w:t>not uncommon</w:t>
      </w:r>
      <w:proofErr w:type="gramEnd"/>
      <w:r w:rsidR="000A03D7" w:rsidRPr="008B0EF4">
        <w:rPr>
          <w:rFonts w:eastAsia="Times New Roman"/>
        </w:rPr>
        <w:t xml:space="preserve"> for encamped residents to witness aircraft, many remained outside in an open area. Minutes later, flight spotters</w:t>
      </w:r>
      <w:r w:rsidR="00A15C91" w:rsidRPr="008B0EF4">
        <w:rPr>
          <w:rStyle w:val="FootnoteReference"/>
          <w:rFonts w:eastAsia="Times New Roman"/>
        </w:rPr>
        <w:footnoteReference w:id="56"/>
      </w:r>
      <w:r w:rsidR="00A15C91" w:rsidRPr="008B0EF4">
        <w:rPr>
          <w:rFonts w:eastAsia="Times New Roman"/>
          <w:sz w:val="16"/>
          <w:vertAlign w:val="superscript"/>
        </w:rPr>
        <w:t xml:space="preserve"> </w:t>
      </w:r>
      <w:r w:rsidR="000A03D7" w:rsidRPr="008B0EF4">
        <w:rPr>
          <w:rFonts w:eastAsia="Times New Roman"/>
        </w:rPr>
        <w:t>reported that a jet aircraft was in the area and, at approximately 07:25 p.m. a series of air</w:t>
      </w:r>
      <w:r w:rsidR="009443AF">
        <w:rPr>
          <w:rFonts w:eastAsia="Times New Roman"/>
        </w:rPr>
        <w:t xml:space="preserve"> </w:t>
      </w:r>
      <w:r w:rsidR="000A03D7" w:rsidRPr="008B0EF4">
        <w:rPr>
          <w:rFonts w:eastAsia="Times New Roman"/>
        </w:rPr>
        <w:t xml:space="preserve">strikes struck the compound killing at least 20 civilians and injuring </w:t>
      </w:r>
      <w:r w:rsidR="0082726C" w:rsidRPr="008B0EF4">
        <w:rPr>
          <w:rFonts w:eastAsia="Times New Roman"/>
        </w:rPr>
        <w:t>at least 40</w:t>
      </w:r>
      <w:r w:rsidR="000A03D7" w:rsidRPr="008B0EF4">
        <w:rPr>
          <w:rFonts w:eastAsia="Times New Roman"/>
        </w:rPr>
        <w:t xml:space="preserve"> more. </w:t>
      </w:r>
    </w:p>
    <w:p w14:paraId="3CBFB795" w14:textId="77777777" w:rsidR="000A03D7" w:rsidRPr="008B0EF4" w:rsidRDefault="000A03D7" w:rsidP="000A03D7">
      <w:pPr>
        <w:spacing w:after="120" w:line="240" w:lineRule="atLeast"/>
        <w:ind w:left="1134" w:right="1134"/>
        <w:jc w:val="both"/>
        <w:rPr>
          <w:rFonts w:eastAsia="Times New Roman"/>
        </w:rPr>
      </w:pPr>
      <w:r w:rsidRPr="008B0EF4">
        <w:rPr>
          <w:rFonts w:eastAsia="Times New Roman"/>
        </w:rPr>
        <w:t>13</w:t>
      </w:r>
      <w:r w:rsidR="006A33EC" w:rsidRPr="008B0EF4">
        <w:rPr>
          <w:rFonts w:eastAsia="Times New Roman"/>
        </w:rPr>
        <w:t>.</w:t>
      </w:r>
      <w:r w:rsidR="00E864F9" w:rsidRPr="008B0EF4">
        <w:rPr>
          <w:rFonts w:eastAsia="Times New Roman"/>
        </w:rPr>
        <w:tab/>
      </w:r>
      <w:r w:rsidRPr="008B0EF4">
        <w:rPr>
          <w:rFonts w:eastAsia="Times New Roman"/>
        </w:rPr>
        <w:t xml:space="preserve">Interviewees narrated that a jet aircraft dropped at least two bombs on the compound, primarily </w:t>
      </w:r>
      <w:proofErr w:type="gramStart"/>
      <w:r w:rsidRPr="008B0EF4">
        <w:rPr>
          <w:rFonts w:eastAsia="Times New Roman"/>
        </w:rPr>
        <w:t>impacting</w:t>
      </w:r>
      <w:proofErr w:type="gramEnd"/>
      <w:r w:rsidRPr="008B0EF4">
        <w:rPr>
          <w:rFonts w:eastAsia="Times New Roman"/>
        </w:rPr>
        <w:t xml:space="preserve"> the open area to the south-west, located between residential units and commercial shops, where civilians had gathered together. At least two of these buildings, along with the food storage room, </w:t>
      </w:r>
      <w:proofErr w:type="gramStart"/>
      <w:r w:rsidRPr="008B0EF4">
        <w:rPr>
          <w:rFonts w:eastAsia="Times New Roman"/>
        </w:rPr>
        <w:t>were completely</w:t>
      </w:r>
      <w:proofErr w:type="gramEnd"/>
      <w:r w:rsidRPr="008B0EF4">
        <w:rPr>
          <w:rFonts w:eastAsia="Times New Roman"/>
        </w:rPr>
        <w:t xml:space="preserve"> destroyed. The windows and doors of the health centre and the school were completely shattered from the blast.  </w:t>
      </w:r>
    </w:p>
    <w:p w14:paraId="21F2968A" w14:textId="35E69791" w:rsidR="000A03D7" w:rsidRPr="008B0EF4" w:rsidRDefault="000A03D7" w:rsidP="000A03D7">
      <w:pPr>
        <w:spacing w:after="120" w:line="240" w:lineRule="atLeast"/>
        <w:ind w:left="1134" w:right="1134"/>
        <w:jc w:val="both"/>
        <w:rPr>
          <w:rFonts w:eastAsia="Times New Roman"/>
        </w:rPr>
      </w:pPr>
      <w:r w:rsidRPr="008B0EF4">
        <w:rPr>
          <w:rFonts w:eastAsia="Times New Roman"/>
        </w:rPr>
        <w:t>14</w:t>
      </w:r>
      <w:r w:rsidR="006A33EC" w:rsidRPr="008B0EF4">
        <w:rPr>
          <w:rFonts w:eastAsia="Times New Roman"/>
        </w:rPr>
        <w:t>.</w:t>
      </w:r>
      <w:r w:rsidR="00E864F9" w:rsidRPr="008B0EF4">
        <w:rPr>
          <w:rFonts w:eastAsia="Times New Roman"/>
        </w:rPr>
        <w:tab/>
      </w:r>
      <w:r w:rsidRPr="008B0EF4">
        <w:rPr>
          <w:rFonts w:eastAsia="Times New Roman"/>
        </w:rPr>
        <w:t>Approximately 10 minutes after the attack, civilians and rescuers rushed to the scene and began removing victims from under the rubble. One interviewee described that most of the victims suffered severe burns following the air</w:t>
      </w:r>
      <w:r w:rsidR="009443AF">
        <w:rPr>
          <w:rFonts w:eastAsia="Times New Roman"/>
        </w:rPr>
        <w:t xml:space="preserve"> </w:t>
      </w:r>
      <w:r w:rsidRPr="008B0EF4">
        <w:rPr>
          <w:rFonts w:eastAsia="Times New Roman"/>
        </w:rPr>
        <w:t xml:space="preserve">strikes, and many succumbed to their wounds after </w:t>
      </w:r>
      <w:proofErr w:type="gramStart"/>
      <w:r w:rsidRPr="008B0EF4">
        <w:rPr>
          <w:rFonts w:eastAsia="Times New Roman"/>
        </w:rPr>
        <w:t>being transported</w:t>
      </w:r>
      <w:proofErr w:type="gramEnd"/>
      <w:r w:rsidRPr="008B0EF4">
        <w:rPr>
          <w:rFonts w:eastAsia="Times New Roman"/>
        </w:rPr>
        <w:t xml:space="preserve"> to nearby hospitals.     </w:t>
      </w:r>
    </w:p>
    <w:p w14:paraId="7285E394" w14:textId="77777777" w:rsidR="000A03D7" w:rsidRPr="008B0EF4" w:rsidRDefault="000A03D7" w:rsidP="000A03D7">
      <w:pPr>
        <w:spacing w:after="120" w:line="240" w:lineRule="atLeast"/>
        <w:ind w:left="1134" w:right="1134"/>
        <w:jc w:val="both"/>
        <w:rPr>
          <w:rFonts w:eastAsia="Times New Roman"/>
        </w:rPr>
      </w:pPr>
      <w:r w:rsidRPr="008B0EF4">
        <w:rPr>
          <w:rFonts w:eastAsia="Times New Roman"/>
        </w:rPr>
        <w:t>15</w:t>
      </w:r>
      <w:r w:rsidR="006A33EC" w:rsidRPr="008B0EF4">
        <w:rPr>
          <w:rFonts w:eastAsia="Times New Roman"/>
        </w:rPr>
        <w:t>.</w:t>
      </w:r>
      <w:r w:rsidR="00E864F9" w:rsidRPr="008B0EF4">
        <w:rPr>
          <w:rFonts w:eastAsia="Times New Roman"/>
        </w:rPr>
        <w:tab/>
      </w:r>
      <w:r w:rsidRPr="008B0EF4">
        <w:rPr>
          <w:rFonts w:eastAsia="Times New Roman"/>
        </w:rPr>
        <w:t xml:space="preserve">Witnesses and flight spotters identified the aircraft as Russian </w:t>
      </w:r>
      <w:proofErr w:type="spellStart"/>
      <w:r w:rsidRPr="008B0EF4">
        <w:rPr>
          <w:rFonts w:eastAsia="Times New Roman"/>
        </w:rPr>
        <w:t>Sukhoi</w:t>
      </w:r>
      <w:proofErr w:type="spellEnd"/>
      <w:r w:rsidRPr="008B0EF4">
        <w:rPr>
          <w:rFonts w:eastAsia="Times New Roman"/>
        </w:rPr>
        <w:t xml:space="preserve"> Su-24. Early warning system observation reports indicated that at least two Russian fixed-aircraft departed </w:t>
      </w:r>
      <w:proofErr w:type="spellStart"/>
      <w:r w:rsidRPr="008B0EF4">
        <w:rPr>
          <w:rFonts w:eastAsia="Times New Roman"/>
        </w:rPr>
        <w:t>Hmemim</w:t>
      </w:r>
      <w:proofErr w:type="spellEnd"/>
      <w:r w:rsidRPr="008B0EF4">
        <w:rPr>
          <w:rFonts w:eastAsia="Times New Roman"/>
        </w:rPr>
        <w:t xml:space="preserve"> airbase on 16 August, at 7:02 p.m. and were then circling in the area near the Haas compound. Flight communication intercepts – conducted in the Russian language – confirmed that, on 16 August, at the time of the attack, at least two Russian aircrafts operated in </w:t>
      </w:r>
      <w:proofErr w:type="spellStart"/>
      <w:r w:rsidRPr="008B0EF4">
        <w:rPr>
          <w:rFonts w:eastAsia="Times New Roman"/>
        </w:rPr>
        <w:t>Idlib</w:t>
      </w:r>
      <w:proofErr w:type="spellEnd"/>
      <w:r w:rsidRPr="008B0EF4">
        <w:rPr>
          <w:rFonts w:eastAsia="Times New Roman"/>
        </w:rPr>
        <w:t xml:space="preserve"> airspace, and reported progress regarding the attacks. Analysis of the intercept data further clarifies that both of the Russian aircraft requested and confirmed having received target coordinates between 7:17 p.m. and 7:44 p.m., with one of the aircraft engaging in an attack at 7:24 p.m.  </w:t>
      </w:r>
    </w:p>
    <w:p w14:paraId="15788E7E" w14:textId="77777777" w:rsidR="000A03D7" w:rsidRPr="008B0EF4" w:rsidRDefault="000A03D7" w:rsidP="000A03D7">
      <w:pPr>
        <w:spacing w:after="120" w:line="240" w:lineRule="atLeast"/>
        <w:ind w:left="1134" w:right="1134"/>
        <w:jc w:val="both"/>
        <w:rPr>
          <w:rFonts w:eastAsia="Times New Roman"/>
        </w:rPr>
      </w:pPr>
      <w:r w:rsidRPr="008B0EF4">
        <w:rPr>
          <w:rFonts w:eastAsia="Times New Roman"/>
        </w:rPr>
        <w:t>16</w:t>
      </w:r>
      <w:r w:rsidR="006A33EC" w:rsidRPr="008B0EF4">
        <w:rPr>
          <w:rFonts w:eastAsia="Times New Roman"/>
        </w:rPr>
        <w:t>.</w:t>
      </w:r>
      <w:r w:rsidR="00E864F9" w:rsidRPr="008B0EF4">
        <w:rPr>
          <w:rFonts w:eastAsia="Times New Roman"/>
        </w:rPr>
        <w:tab/>
      </w:r>
      <w:r w:rsidRPr="008B0EF4">
        <w:rPr>
          <w:rFonts w:eastAsia="Times New Roman"/>
        </w:rPr>
        <w:t xml:space="preserve">The Commission received no reports indicating the presence of Syrian aircraft during the day and time of the attack on the Haas compound. Consistent with eyewitnesses’ statements, video footage, picture material and satellite imagery show a deep, large impact crater in an open area in the Haas compound. The impact and the damage indicate the use of a blast weapon with wide-area effects, such as highly explosive fragmentation bombs. This includes OFAB-250 or KAB-500 bombs, both of which are unguided blast fragmentation munitions, </w:t>
      </w:r>
      <w:proofErr w:type="gramStart"/>
      <w:r w:rsidRPr="008B0EF4">
        <w:rPr>
          <w:rFonts w:eastAsia="Times New Roman"/>
        </w:rPr>
        <w:t>known to be carried</w:t>
      </w:r>
      <w:proofErr w:type="gramEnd"/>
      <w:r w:rsidRPr="008B0EF4">
        <w:rPr>
          <w:rFonts w:eastAsia="Times New Roman"/>
        </w:rPr>
        <w:t xml:space="preserve"> by Russian aircraft, and Russian </w:t>
      </w:r>
      <w:proofErr w:type="spellStart"/>
      <w:r w:rsidRPr="008B0EF4">
        <w:rPr>
          <w:rFonts w:eastAsia="Times New Roman"/>
        </w:rPr>
        <w:t>Suhkoi</w:t>
      </w:r>
      <w:proofErr w:type="spellEnd"/>
      <w:r w:rsidRPr="008B0EF4">
        <w:rPr>
          <w:rFonts w:eastAsia="Times New Roman"/>
        </w:rPr>
        <w:t xml:space="preserve"> Su-24 in particular. </w:t>
      </w:r>
    </w:p>
    <w:p w14:paraId="4CFF36A3" w14:textId="77777777" w:rsidR="000A03D7" w:rsidRPr="008B0EF4" w:rsidRDefault="000A03D7" w:rsidP="000A03D7">
      <w:pPr>
        <w:spacing w:after="120" w:line="240" w:lineRule="atLeast"/>
        <w:ind w:left="1134" w:right="1134"/>
        <w:jc w:val="both"/>
        <w:rPr>
          <w:rFonts w:eastAsia="Times New Roman"/>
        </w:rPr>
      </w:pPr>
      <w:proofErr w:type="gramStart"/>
      <w:r w:rsidRPr="008B0EF4">
        <w:rPr>
          <w:rFonts w:eastAsia="Times New Roman"/>
        </w:rPr>
        <w:t>17</w:t>
      </w:r>
      <w:r w:rsidR="006A33EC" w:rsidRPr="008B0EF4">
        <w:rPr>
          <w:rFonts w:eastAsia="Times New Roman"/>
        </w:rPr>
        <w:t>.</w:t>
      </w:r>
      <w:r w:rsidR="00E864F9" w:rsidRPr="008B0EF4">
        <w:rPr>
          <w:rFonts w:eastAsia="Times New Roman"/>
        </w:rPr>
        <w:tab/>
      </w:r>
      <w:r w:rsidRPr="008B0EF4">
        <w:rPr>
          <w:rFonts w:eastAsia="Times New Roman"/>
        </w:rPr>
        <w:t>Given the evidence available</w:t>
      </w:r>
      <w:r w:rsidR="00452E15" w:rsidRPr="008B0EF4">
        <w:rPr>
          <w:rFonts w:eastAsia="Times New Roman"/>
        </w:rPr>
        <w:t>,</w:t>
      </w:r>
      <w:r w:rsidRPr="008B0EF4">
        <w:rPr>
          <w:rFonts w:eastAsia="Times New Roman"/>
        </w:rPr>
        <w:t xml:space="preserve"> including witness testimonies, video footage, data imagery as well as reports by flight spotters, flight communication intercepts and early warning observation reports, the Commission concluded that a Russian aircraft participated in each incident as described above, and that each of the incidents the Russian Air Force did not direct the attacks at a specific military objective, amounting to the war crime of launching indiscriminate attacks in civilian areas</w:t>
      </w:r>
      <w:proofErr w:type="gramEnd"/>
    </w:p>
    <w:p w14:paraId="75DFF443" w14:textId="77777777" w:rsidR="000A03D7" w:rsidRPr="008B0EF4" w:rsidRDefault="000A03D7" w:rsidP="000A03D7">
      <w:pPr>
        <w:spacing w:before="240" w:after="120" w:line="240" w:lineRule="atLeast"/>
        <w:ind w:left="1134" w:right="1134"/>
        <w:jc w:val="both"/>
        <w:rPr>
          <w:rFonts w:eastAsia="Times New Roman"/>
          <w:b/>
        </w:rPr>
      </w:pPr>
      <w:r w:rsidRPr="008B0EF4">
        <w:rPr>
          <w:rFonts w:eastAsia="Times New Roman"/>
          <w:b/>
        </w:rPr>
        <w:t xml:space="preserve">20 November, attack on </w:t>
      </w:r>
      <w:proofErr w:type="spellStart"/>
      <w:r w:rsidRPr="008B0EF4">
        <w:rPr>
          <w:rFonts w:eastAsia="Times New Roman"/>
          <w:b/>
        </w:rPr>
        <w:t>Qah</w:t>
      </w:r>
      <w:proofErr w:type="spellEnd"/>
      <w:r w:rsidRPr="008B0EF4">
        <w:rPr>
          <w:rFonts w:eastAsia="Times New Roman"/>
          <w:b/>
        </w:rPr>
        <w:t xml:space="preserve"> camp for displaced civilians </w:t>
      </w:r>
    </w:p>
    <w:p w14:paraId="2BAAA182" w14:textId="57845E11" w:rsidR="000A03D7" w:rsidRPr="008B0EF4" w:rsidRDefault="000A03D7" w:rsidP="000A03D7">
      <w:pPr>
        <w:spacing w:after="120" w:line="240" w:lineRule="atLeast"/>
        <w:ind w:left="1134" w:right="1134"/>
        <w:jc w:val="both"/>
        <w:rPr>
          <w:rFonts w:eastAsia="Times New Roman"/>
        </w:rPr>
      </w:pPr>
      <w:r w:rsidRPr="008B0EF4">
        <w:rPr>
          <w:rFonts w:eastAsia="Times New Roman"/>
        </w:rPr>
        <w:t>18</w:t>
      </w:r>
      <w:r w:rsidR="006A33EC" w:rsidRPr="008B0EF4">
        <w:rPr>
          <w:rFonts w:eastAsia="Times New Roman"/>
        </w:rPr>
        <w:t>.</w:t>
      </w:r>
      <w:r w:rsidR="00E864F9" w:rsidRPr="008B0EF4">
        <w:rPr>
          <w:rFonts w:eastAsia="Times New Roman"/>
        </w:rPr>
        <w:tab/>
      </w:r>
      <w:r w:rsidRPr="008B0EF4">
        <w:rPr>
          <w:rFonts w:eastAsia="Times New Roman"/>
        </w:rPr>
        <w:t xml:space="preserve">In the evening hours on 20 November, pro-Government forces launched a surface-to-surface missile attack consisting of cluster munitions on a camp for displaced civilians located along the Turkish border, where </w:t>
      </w:r>
      <w:r w:rsidR="0082726C" w:rsidRPr="008B0EF4">
        <w:rPr>
          <w:rFonts w:eastAsia="Times New Roman"/>
        </w:rPr>
        <w:t xml:space="preserve">hundreds of </w:t>
      </w:r>
      <w:r w:rsidRPr="008B0EF4">
        <w:rPr>
          <w:rFonts w:eastAsia="Times New Roman"/>
        </w:rPr>
        <w:t xml:space="preserve">families displaced from eastern </w:t>
      </w:r>
      <w:proofErr w:type="spellStart"/>
      <w:r w:rsidR="0038189E">
        <w:rPr>
          <w:rFonts w:eastAsia="Times New Roman"/>
        </w:rPr>
        <w:t>Ghutah</w:t>
      </w:r>
      <w:proofErr w:type="spellEnd"/>
      <w:r w:rsidRPr="008B0EF4">
        <w:rPr>
          <w:rFonts w:eastAsia="Times New Roman"/>
        </w:rPr>
        <w:t xml:space="preserve">, </w:t>
      </w:r>
      <w:proofErr w:type="spellStart"/>
      <w:r w:rsidR="00EF59AE">
        <w:rPr>
          <w:rFonts w:eastAsia="Times New Roman"/>
        </w:rPr>
        <w:t>Dar‘a</w:t>
      </w:r>
      <w:proofErr w:type="spellEnd"/>
      <w:r w:rsidRPr="008B0EF4">
        <w:rPr>
          <w:rFonts w:eastAsia="Times New Roman"/>
        </w:rPr>
        <w:t xml:space="preserve"> and Homs resided. The camp was situated near </w:t>
      </w:r>
      <w:proofErr w:type="spellStart"/>
      <w:r w:rsidRPr="008B0EF4">
        <w:rPr>
          <w:rFonts w:eastAsia="Times New Roman"/>
        </w:rPr>
        <w:t>Qah</w:t>
      </w:r>
      <w:proofErr w:type="spellEnd"/>
      <w:r w:rsidRPr="008B0EF4">
        <w:rPr>
          <w:rFonts w:eastAsia="Times New Roman"/>
        </w:rPr>
        <w:t xml:space="preserve"> village, approximately four kilometres from another major camp in </w:t>
      </w:r>
      <w:proofErr w:type="spellStart"/>
      <w:r w:rsidRPr="008B0EF4">
        <w:rPr>
          <w:rFonts w:eastAsia="Times New Roman"/>
        </w:rPr>
        <w:t>Atma</w:t>
      </w:r>
      <w:proofErr w:type="spellEnd"/>
      <w:r w:rsidRPr="008B0EF4">
        <w:rPr>
          <w:rFonts w:eastAsia="Times New Roman"/>
        </w:rPr>
        <w:t xml:space="preserve">, and was recently expanded to accommodate tens of thousands Syrian women, men and children who had fled the on-ongoing offensive on southern </w:t>
      </w:r>
      <w:proofErr w:type="spellStart"/>
      <w:r w:rsidRPr="008B0EF4">
        <w:rPr>
          <w:rFonts w:eastAsia="Times New Roman"/>
        </w:rPr>
        <w:t>Idlib</w:t>
      </w:r>
      <w:proofErr w:type="spellEnd"/>
      <w:r w:rsidRPr="008B0EF4">
        <w:rPr>
          <w:rFonts w:eastAsia="Times New Roman"/>
        </w:rPr>
        <w:t xml:space="preserve"> and northern Hama. Witnesses described hearing one large explosion at 7:19 p.m., followed by a number of smaller bomblets that exploded over the camp, setting numerous tents on fire and damaging the </w:t>
      </w:r>
      <w:proofErr w:type="spellStart"/>
      <w:r w:rsidRPr="008B0EF4">
        <w:rPr>
          <w:rFonts w:eastAsia="Times New Roman"/>
        </w:rPr>
        <w:t>Qah</w:t>
      </w:r>
      <w:proofErr w:type="spellEnd"/>
      <w:r w:rsidRPr="008B0EF4">
        <w:rPr>
          <w:rFonts w:eastAsia="Times New Roman"/>
        </w:rPr>
        <w:t xml:space="preserve"> hospital located some 25 meters away. The attack killed 1</w:t>
      </w:r>
      <w:r w:rsidR="0082726C" w:rsidRPr="008B0EF4">
        <w:rPr>
          <w:rFonts w:eastAsia="Times New Roman"/>
        </w:rPr>
        <w:t>8</w:t>
      </w:r>
      <w:r w:rsidRPr="008B0EF4">
        <w:rPr>
          <w:rFonts w:eastAsia="Times New Roman"/>
        </w:rPr>
        <w:t xml:space="preserve"> civilians</w:t>
      </w:r>
      <w:r w:rsidR="0082726C" w:rsidRPr="008B0EF4">
        <w:rPr>
          <w:rFonts w:eastAsia="Times New Roman"/>
        </w:rPr>
        <w:t xml:space="preserve"> </w:t>
      </w:r>
      <w:r w:rsidRPr="008B0EF4">
        <w:rPr>
          <w:rFonts w:eastAsia="Times New Roman"/>
        </w:rPr>
        <w:t xml:space="preserve">and injured at least </w:t>
      </w:r>
      <w:r w:rsidR="0082726C" w:rsidRPr="008B0EF4">
        <w:rPr>
          <w:rFonts w:eastAsia="Times New Roman"/>
        </w:rPr>
        <w:t>40</w:t>
      </w:r>
      <w:r w:rsidRPr="008B0EF4">
        <w:rPr>
          <w:rFonts w:eastAsia="Times New Roman"/>
        </w:rPr>
        <w:t xml:space="preserve"> others</w:t>
      </w:r>
      <w:r w:rsidR="0082726C" w:rsidRPr="008B0EF4">
        <w:rPr>
          <w:rFonts w:eastAsia="Times New Roman"/>
        </w:rPr>
        <w:t>, including 17 children</w:t>
      </w:r>
      <w:r w:rsidRPr="008B0EF4">
        <w:rPr>
          <w:rFonts w:eastAsia="Times New Roman"/>
        </w:rPr>
        <w:t xml:space="preserve">. </w:t>
      </w:r>
    </w:p>
    <w:p w14:paraId="4C02B2BF" w14:textId="77777777" w:rsidR="000A03D7" w:rsidRPr="008B0EF4" w:rsidRDefault="000A03D7" w:rsidP="000A03D7">
      <w:pPr>
        <w:spacing w:after="120" w:line="240" w:lineRule="atLeast"/>
        <w:ind w:left="1134" w:right="1134"/>
        <w:jc w:val="both"/>
        <w:rPr>
          <w:rFonts w:eastAsia="Times New Roman"/>
        </w:rPr>
      </w:pPr>
      <w:r w:rsidRPr="008B0EF4">
        <w:rPr>
          <w:rFonts w:eastAsia="Times New Roman"/>
        </w:rPr>
        <w:t>19.</w:t>
      </w:r>
      <w:r w:rsidR="00E864F9" w:rsidRPr="008B0EF4">
        <w:rPr>
          <w:rFonts w:eastAsia="Times New Roman"/>
        </w:rPr>
        <w:tab/>
      </w:r>
      <w:r w:rsidRPr="008B0EF4">
        <w:rPr>
          <w:rFonts w:eastAsia="Times New Roman"/>
        </w:rPr>
        <w:t xml:space="preserve">The Commission analysed photographs and video footage of </w:t>
      </w:r>
      <w:proofErr w:type="gramStart"/>
      <w:r w:rsidRPr="008B0EF4">
        <w:rPr>
          <w:rFonts w:eastAsia="Times New Roman"/>
        </w:rPr>
        <w:t>remnants which</w:t>
      </w:r>
      <w:proofErr w:type="gramEnd"/>
      <w:r w:rsidRPr="008B0EF4">
        <w:rPr>
          <w:rFonts w:eastAsia="Times New Roman"/>
        </w:rPr>
        <w:t xml:space="preserve"> revealed the use of an OTR-21 missile. The overall size and shape of the blast site was compatible with the OTR-21 “TOCHKA” system, a large tactical ballistic missile system that the Syrian army has in its repertoire. </w:t>
      </w:r>
    </w:p>
    <w:p w14:paraId="1E901DE8" w14:textId="77777777" w:rsidR="000A03D7" w:rsidRPr="008B0EF4" w:rsidRDefault="000A03D7" w:rsidP="000A03D7">
      <w:pPr>
        <w:spacing w:after="120" w:line="240" w:lineRule="atLeast"/>
        <w:ind w:left="1134" w:right="1134"/>
        <w:jc w:val="both"/>
        <w:rPr>
          <w:rFonts w:eastAsia="Times New Roman"/>
        </w:rPr>
      </w:pPr>
      <w:r w:rsidRPr="008B0EF4">
        <w:rPr>
          <w:rFonts w:eastAsia="Times New Roman"/>
        </w:rPr>
        <w:t>20</w:t>
      </w:r>
      <w:r w:rsidR="006A33EC" w:rsidRPr="008B0EF4">
        <w:rPr>
          <w:rFonts w:eastAsia="Times New Roman"/>
        </w:rPr>
        <w:t>.</w:t>
      </w:r>
      <w:r w:rsidR="00E864F9" w:rsidRPr="008B0EF4">
        <w:rPr>
          <w:rFonts w:eastAsia="Times New Roman"/>
        </w:rPr>
        <w:tab/>
      </w:r>
      <w:r w:rsidRPr="008B0EF4">
        <w:rPr>
          <w:rFonts w:eastAsia="Times New Roman"/>
        </w:rPr>
        <w:t xml:space="preserve">Although the Syrian Arab Republic is not a party to the Convention on Cluster Munitions, the use of cluster munitions in densely populated areas is inherently indiscriminate (given the typically wide dispersal pattern and high dud rate, which continues to endanger civilians years after a cessation of hostilities) and therefore prohibited by customary international humanitarian law. For this reason, their use in densely populated camps for displaced </w:t>
      </w:r>
      <w:proofErr w:type="gramStart"/>
      <w:r w:rsidRPr="008B0EF4">
        <w:rPr>
          <w:rFonts w:eastAsia="Times New Roman"/>
        </w:rPr>
        <w:t>civilians,</w:t>
      </w:r>
      <w:proofErr w:type="gramEnd"/>
      <w:r w:rsidRPr="008B0EF4">
        <w:rPr>
          <w:rFonts w:eastAsia="Times New Roman"/>
        </w:rPr>
        <w:t xml:space="preserve"> constitutes the war crime of indiscriminate attacks in a civilian populated area. </w:t>
      </w:r>
    </w:p>
    <w:p w14:paraId="19D822ED" w14:textId="77777777" w:rsidR="00245397" w:rsidRPr="008B0EF4" w:rsidRDefault="006A33EC" w:rsidP="006A33EC">
      <w:pPr>
        <w:pStyle w:val="SingleTxtG"/>
        <w:suppressAutoHyphens/>
        <w:spacing w:before="240" w:after="0"/>
        <w:jc w:val="center"/>
        <w:rPr>
          <w:u w:val="single"/>
        </w:rPr>
      </w:pPr>
      <w:r w:rsidRPr="008B0EF4">
        <w:tab/>
      </w:r>
      <w:r w:rsidRPr="008B0EF4">
        <w:rPr>
          <w:u w:val="single"/>
        </w:rPr>
        <w:tab/>
      </w:r>
      <w:r w:rsidRPr="008B0EF4">
        <w:rPr>
          <w:u w:val="single"/>
        </w:rPr>
        <w:tab/>
      </w:r>
      <w:r w:rsidRPr="008B0EF4">
        <w:rPr>
          <w:u w:val="single"/>
        </w:rPr>
        <w:tab/>
      </w:r>
    </w:p>
    <w:sectPr w:rsidR="00245397" w:rsidRPr="008B0EF4" w:rsidSect="00CF100B">
      <w:footnotePr>
        <w:numRestart w:val="eachSect"/>
      </w:footnotePr>
      <w:endnotePr>
        <w:numFmt w:val="decimal"/>
      </w:endnotePr>
      <w:pgSz w:w="11907" w:h="16840" w:code="9"/>
      <w:pgMar w:top="1417" w:right="1134" w:bottom="1134" w:left="1134" w:header="85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2F3C0" w14:textId="77777777" w:rsidR="006B407E" w:rsidRPr="00C47B2E" w:rsidRDefault="006B407E" w:rsidP="00C47B2E">
      <w:pPr>
        <w:pStyle w:val="Footer"/>
      </w:pPr>
    </w:p>
  </w:endnote>
  <w:endnote w:type="continuationSeparator" w:id="0">
    <w:p w14:paraId="12CD6924" w14:textId="77777777" w:rsidR="006B407E" w:rsidRPr="00C47B2E" w:rsidRDefault="006B407E" w:rsidP="00C47B2E">
      <w:pPr>
        <w:pStyle w:val="Footer"/>
      </w:pPr>
    </w:p>
  </w:endnote>
  <w:endnote w:type="continuationNotice" w:id="1">
    <w:p w14:paraId="5F7354E1" w14:textId="77777777" w:rsidR="006B407E" w:rsidRPr="00C47B2E" w:rsidRDefault="006B407E"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30B26" w14:textId="71667AC7" w:rsidR="0024069C" w:rsidRPr="00E62DC6" w:rsidRDefault="0024069C" w:rsidP="00245397">
    <w:pPr>
      <w:pStyle w:val="Footer"/>
      <w:tabs>
        <w:tab w:val="right" w:pos="9638"/>
      </w:tabs>
      <w:rPr>
        <w:sz w:val="18"/>
      </w:rPr>
    </w:pPr>
    <w:r w:rsidRPr="00E62DC6">
      <w:rPr>
        <w:b/>
        <w:sz w:val="18"/>
      </w:rPr>
      <w:fldChar w:fldCharType="begin"/>
    </w:r>
    <w:r w:rsidRPr="00E62DC6">
      <w:rPr>
        <w:b/>
        <w:sz w:val="18"/>
      </w:rPr>
      <w:instrText xml:space="preserve"> PAGE  \* MERGEFORMAT </w:instrText>
    </w:r>
    <w:r w:rsidRPr="00E62DC6">
      <w:rPr>
        <w:b/>
        <w:sz w:val="18"/>
      </w:rPr>
      <w:fldChar w:fldCharType="separate"/>
    </w:r>
    <w:r w:rsidR="007D1312">
      <w:rPr>
        <w:b/>
        <w:noProof/>
        <w:sz w:val="18"/>
      </w:rPr>
      <w:t>18</w:t>
    </w:r>
    <w:r w:rsidRPr="00E62DC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FAEA7" w14:textId="0AF1FE71" w:rsidR="0024069C" w:rsidRPr="00E62DC6" w:rsidRDefault="0024069C" w:rsidP="00245397">
    <w:pPr>
      <w:pStyle w:val="Footer"/>
      <w:tabs>
        <w:tab w:val="right" w:pos="9638"/>
      </w:tabs>
      <w:rPr>
        <w:b/>
        <w:sz w:val="18"/>
      </w:rPr>
    </w:pPr>
    <w:r>
      <w:tab/>
    </w:r>
    <w:r w:rsidRPr="00E62DC6">
      <w:rPr>
        <w:b/>
        <w:sz w:val="18"/>
      </w:rPr>
      <w:fldChar w:fldCharType="begin"/>
    </w:r>
    <w:r w:rsidRPr="00E62DC6">
      <w:rPr>
        <w:b/>
        <w:sz w:val="18"/>
      </w:rPr>
      <w:instrText xml:space="preserve"> PAGE  \* MERGEFORMAT </w:instrText>
    </w:r>
    <w:r w:rsidRPr="00E62DC6">
      <w:rPr>
        <w:b/>
        <w:sz w:val="18"/>
      </w:rPr>
      <w:fldChar w:fldCharType="separate"/>
    </w:r>
    <w:r w:rsidR="007D1312">
      <w:rPr>
        <w:b/>
        <w:noProof/>
        <w:sz w:val="18"/>
      </w:rPr>
      <w:t>19</w:t>
    </w:r>
    <w:r w:rsidRPr="00E62DC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7D04D" w14:textId="224E1000" w:rsidR="0024069C" w:rsidRDefault="0024069C" w:rsidP="007300E3">
    <w:pPr>
      <w:pStyle w:val="Footer"/>
      <w:tabs>
        <w:tab w:val="right" w:pos="9638"/>
      </w:tabs>
    </w:pPr>
    <w:r w:rsidRPr="003928BC">
      <w:rPr>
        <w:b/>
        <w:bCs/>
        <w:sz w:val="18"/>
      </w:rPr>
      <w:fldChar w:fldCharType="begin"/>
    </w:r>
    <w:r w:rsidRPr="003928BC">
      <w:rPr>
        <w:b/>
        <w:bCs/>
        <w:sz w:val="18"/>
      </w:rPr>
      <w:instrText xml:space="preserve"> PAGE  \* MERGEFORMAT </w:instrText>
    </w:r>
    <w:r w:rsidRPr="003928BC">
      <w:rPr>
        <w:b/>
        <w:bCs/>
        <w:sz w:val="18"/>
      </w:rPr>
      <w:fldChar w:fldCharType="separate"/>
    </w:r>
    <w:r w:rsidR="007D1312">
      <w:rPr>
        <w:b/>
        <w:bCs/>
        <w:noProof/>
        <w:sz w:val="18"/>
      </w:rPr>
      <w:t>20</w:t>
    </w:r>
    <w:r w:rsidRPr="003928BC">
      <w:rPr>
        <w:b/>
        <w:bCs/>
        <w:sz w:val="18"/>
      </w:rP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3BD9" w14:textId="57D51287" w:rsidR="0024069C" w:rsidRDefault="0024069C" w:rsidP="003928BC">
    <w:pPr>
      <w:pStyle w:val="Footer"/>
      <w:tabs>
        <w:tab w:val="right" w:pos="9638"/>
      </w:tabs>
    </w:pPr>
    <w:r>
      <w:tab/>
    </w:r>
    <w:r w:rsidRPr="003928BC">
      <w:rPr>
        <w:b/>
        <w:bCs/>
        <w:sz w:val="18"/>
      </w:rPr>
      <w:fldChar w:fldCharType="begin"/>
    </w:r>
    <w:r w:rsidRPr="003928BC">
      <w:rPr>
        <w:b/>
        <w:bCs/>
        <w:sz w:val="18"/>
      </w:rPr>
      <w:instrText xml:space="preserve"> PAGE  \* MERGEFORMAT </w:instrText>
    </w:r>
    <w:r w:rsidRPr="003928BC">
      <w:rPr>
        <w:b/>
        <w:bCs/>
        <w:sz w:val="18"/>
      </w:rPr>
      <w:fldChar w:fldCharType="separate"/>
    </w:r>
    <w:r w:rsidR="007D1312">
      <w:rPr>
        <w:b/>
        <w:bCs/>
        <w:noProof/>
        <w:sz w:val="18"/>
      </w:rPr>
      <w:t>21</w:t>
    </w:r>
    <w:r w:rsidRPr="003928BC">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407D2" w14:textId="77777777" w:rsidR="006B407E" w:rsidRPr="00C47B2E" w:rsidRDefault="006B407E" w:rsidP="00C47B2E">
      <w:pPr>
        <w:tabs>
          <w:tab w:val="right" w:pos="2155"/>
        </w:tabs>
        <w:spacing w:after="80"/>
        <w:ind w:left="680"/>
      </w:pPr>
      <w:r>
        <w:rPr>
          <w:u w:val="single"/>
        </w:rPr>
        <w:tab/>
      </w:r>
    </w:p>
  </w:footnote>
  <w:footnote w:type="continuationSeparator" w:id="0">
    <w:p w14:paraId="1205439C" w14:textId="77777777" w:rsidR="006B407E" w:rsidRPr="00C47B2E" w:rsidRDefault="006B407E" w:rsidP="005E716E">
      <w:pPr>
        <w:tabs>
          <w:tab w:val="right" w:pos="2155"/>
        </w:tabs>
        <w:spacing w:after="80"/>
        <w:ind w:left="680"/>
      </w:pPr>
      <w:r>
        <w:rPr>
          <w:u w:val="single"/>
        </w:rPr>
        <w:tab/>
      </w:r>
    </w:p>
  </w:footnote>
  <w:footnote w:type="continuationNotice" w:id="1">
    <w:p w14:paraId="5A704370" w14:textId="77777777" w:rsidR="006B407E" w:rsidRPr="00C47B2E" w:rsidRDefault="006B407E" w:rsidP="00C47B2E">
      <w:pPr>
        <w:pStyle w:val="Footer"/>
      </w:pPr>
    </w:p>
  </w:footnote>
  <w:footnote w:id="2">
    <w:p w14:paraId="3AC84AD8" w14:textId="77777777" w:rsidR="0024069C" w:rsidRPr="008B0EF4" w:rsidRDefault="0024069C" w:rsidP="000C64CC">
      <w:pPr>
        <w:pStyle w:val="FootnoteText"/>
      </w:pPr>
      <w:r w:rsidRPr="008B0EF4">
        <w:rPr>
          <w:sz w:val="20"/>
        </w:rPr>
        <w:tab/>
      </w:r>
      <w:r w:rsidRPr="008B0EF4">
        <w:rPr>
          <w:rStyle w:val="FootnoteReference"/>
          <w:sz w:val="20"/>
          <w:vertAlign w:val="baseline"/>
        </w:rPr>
        <w:t>*</w:t>
      </w:r>
      <w:r w:rsidRPr="008B0EF4">
        <w:rPr>
          <w:rStyle w:val="FootnoteReference"/>
          <w:sz w:val="20"/>
          <w:vertAlign w:val="baseline"/>
        </w:rPr>
        <w:tab/>
      </w:r>
      <w:r w:rsidRPr="008B0EF4">
        <w:t xml:space="preserve">Agreement </w:t>
      </w:r>
      <w:proofErr w:type="gramStart"/>
      <w:r w:rsidRPr="008B0EF4">
        <w:t>was reached</w:t>
      </w:r>
      <w:proofErr w:type="gramEnd"/>
      <w:r w:rsidRPr="008B0EF4">
        <w:t xml:space="preserve"> to publish the present report after the standard publication date owing to circumstances beyond the submitter’s control.</w:t>
      </w:r>
    </w:p>
  </w:footnote>
  <w:footnote w:id="3">
    <w:p w14:paraId="30EC0ACD" w14:textId="77777777" w:rsidR="0024069C" w:rsidRPr="008B0EF4" w:rsidRDefault="0024069C" w:rsidP="000C64CC">
      <w:pPr>
        <w:pStyle w:val="FootnoteText"/>
      </w:pPr>
      <w:r w:rsidRPr="008B0EF4">
        <w:tab/>
      </w:r>
      <w:r w:rsidRPr="008B0EF4">
        <w:rPr>
          <w:rStyle w:val="FootnoteReference"/>
          <w:sz w:val="20"/>
          <w:vertAlign w:val="baseline"/>
        </w:rPr>
        <w:t>**</w:t>
      </w:r>
      <w:r w:rsidRPr="008B0EF4">
        <w:rPr>
          <w:rStyle w:val="FootnoteReference"/>
          <w:sz w:val="20"/>
          <w:vertAlign w:val="baseline"/>
        </w:rPr>
        <w:tab/>
      </w:r>
      <w:r w:rsidRPr="008B0EF4">
        <w:t xml:space="preserve">The annexes to the present report </w:t>
      </w:r>
      <w:proofErr w:type="gramStart"/>
      <w:r w:rsidRPr="008B0EF4">
        <w:t>are circulated</w:t>
      </w:r>
      <w:proofErr w:type="gramEnd"/>
      <w:r w:rsidRPr="008B0EF4">
        <w:t xml:space="preserve"> as received, in the language of submission only.</w:t>
      </w:r>
    </w:p>
  </w:footnote>
  <w:footnote w:id="4">
    <w:p w14:paraId="6A671524" w14:textId="77777777" w:rsidR="0024069C" w:rsidRPr="008B0EF4" w:rsidRDefault="0024069C">
      <w:pPr>
        <w:pStyle w:val="FootnoteText"/>
      </w:pPr>
      <w:r w:rsidRPr="008B0EF4">
        <w:tab/>
      </w:r>
      <w:r w:rsidRPr="008B0EF4">
        <w:rPr>
          <w:rStyle w:val="FootnoteReference"/>
        </w:rPr>
        <w:footnoteRef/>
      </w:r>
      <w:r w:rsidRPr="008B0EF4">
        <w:t xml:space="preserve"> </w:t>
      </w:r>
      <w:r w:rsidRPr="008B0EF4">
        <w:tab/>
        <w:t xml:space="preserve">The Commissioners are Paulo Sérgio Pinheiro (Chair), Karen </w:t>
      </w:r>
      <w:proofErr w:type="spellStart"/>
      <w:r w:rsidRPr="008B0EF4">
        <w:t>Koning</w:t>
      </w:r>
      <w:proofErr w:type="spellEnd"/>
      <w:r w:rsidRPr="008B0EF4">
        <w:t xml:space="preserve"> </w:t>
      </w:r>
      <w:proofErr w:type="spellStart"/>
      <w:r w:rsidRPr="008B0EF4">
        <w:t>AbuZayd</w:t>
      </w:r>
      <w:proofErr w:type="spellEnd"/>
      <w:r w:rsidRPr="008B0EF4">
        <w:t xml:space="preserve"> and Hanny Megally.</w:t>
      </w:r>
    </w:p>
  </w:footnote>
  <w:footnote w:id="5">
    <w:p w14:paraId="0FA2E88A" w14:textId="49F81451" w:rsidR="0024069C" w:rsidRPr="008B0EF4" w:rsidRDefault="0024069C" w:rsidP="00970F68">
      <w:pPr>
        <w:pStyle w:val="FootnoteText"/>
      </w:pPr>
      <w:r w:rsidRPr="008B0EF4">
        <w:tab/>
      </w:r>
      <w:r w:rsidRPr="008B0EF4">
        <w:rPr>
          <w:rStyle w:val="FootnoteReference"/>
        </w:rPr>
        <w:footnoteRef/>
      </w:r>
      <w:r w:rsidRPr="008B0EF4">
        <w:t xml:space="preserve"> </w:t>
      </w:r>
      <w:r w:rsidRPr="008B0EF4">
        <w:tab/>
        <w:t xml:space="preserve">See Security Council </w:t>
      </w:r>
      <w:r>
        <w:t>r</w:t>
      </w:r>
      <w:r w:rsidRPr="008B0EF4">
        <w:t>esolution 2504 (2020).</w:t>
      </w:r>
    </w:p>
  </w:footnote>
  <w:footnote w:id="6">
    <w:p w14:paraId="77BF9D2B" w14:textId="77777777" w:rsidR="0024069C" w:rsidRPr="008B0EF4" w:rsidRDefault="0024069C">
      <w:pPr>
        <w:pStyle w:val="FootnoteText"/>
      </w:pPr>
      <w:r w:rsidRPr="008B0EF4">
        <w:tab/>
      </w:r>
      <w:r w:rsidRPr="008B0EF4">
        <w:rPr>
          <w:rStyle w:val="FootnoteReference"/>
        </w:rPr>
        <w:footnoteRef/>
      </w:r>
      <w:r w:rsidRPr="008B0EF4">
        <w:t xml:space="preserve"> </w:t>
      </w:r>
      <w:r w:rsidRPr="008B0EF4">
        <w:tab/>
        <w:t xml:space="preserve">On 4 </w:t>
      </w:r>
      <w:proofErr w:type="gramStart"/>
      <w:r w:rsidRPr="008B0EF4">
        <w:t>October</w:t>
      </w:r>
      <w:proofErr w:type="gramEnd"/>
      <w:r w:rsidRPr="008B0EF4">
        <w:t xml:space="preserve"> representatives of various Syrian armed opposition groups announced their formal unification under the umbrella of the Syrian National Army. See A/HRC/42/51, para. 16.</w:t>
      </w:r>
    </w:p>
  </w:footnote>
  <w:footnote w:id="7">
    <w:p w14:paraId="0CFD6CD1" w14:textId="77777777" w:rsidR="0024069C" w:rsidRPr="008B0EF4" w:rsidRDefault="0024069C">
      <w:pPr>
        <w:pStyle w:val="FootnoteText"/>
      </w:pPr>
      <w:r w:rsidRPr="008B0EF4">
        <w:tab/>
      </w:r>
      <w:r w:rsidRPr="008B0EF4">
        <w:rPr>
          <w:rStyle w:val="FootnoteReference"/>
        </w:rPr>
        <w:footnoteRef/>
      </w:r>
      <w:r w:rsidRPr="008B0EF4">
        <w:t xml:space="preserve"> </w:t>
      </w:r>
      <w:r w:rsidRPr="008B0EF4">
        <w:tab/>
      </w:r>
      <w:proofErr w:type="gramStart"/>
      <w:r w:rsidRPr="008B0EF4">
        <w:t>Resolution 8454 was adopted by the League of Arab States</w:t>
      </w:r>
      <w:proofErr w:type="gramEnd"/>
      <w:r w:rsidRPr="008B0EF4">
        <w:t xml:space="preserve"> on 12 October 2019.</w:t>
      </w:r>
    </w:p>
  </w:footnote>
  <w:footnote w:id="8">
    <w:p w14:paraId="71443A81" w14:textId="4EF422FF" w:rsidR="0024069C" w:rsidRPr="008B0EF4" w:rsidRDefault="0024069C">
      <w:pPr>
        <w:pStyle w:val="FootnoteText"/>
      </w:pPr>
      <w:r w:rsidRPr="008B0EF4">
        <w:tab/>
      </w:r>
      <w:r w:rsidRPr="008B0EF4">
        <w:rPr>
          <w:rStyle w:val="FootnoteReference"/>
        </w:rPr>
        <w:footnoteRef/>
      </w:r>
      <w:r w:rsidRPr="008B0EF4">
        <w:t xml:space="preserve"> </w:t>
      </w:r>
      <w:r w:rsidRPr="008B0EF4">
        <w:tab/>
        <w:t>The memorandum laid out that</w:t>
      </w:r>
      <w:r>
        <w:t>,</w:t>
      </w:r>
      <w:r w:rsidRPr="008B0EF4">
        <w:t xml:space="preserve"> starting 23 October 2019, Russian military police and Syrian border guards w</w:t>
      </w:r>
      <w:r>
        <w:t xml:space="preserve">ould </w:t>
      </w:r>
      <w:r w:rsidRPr="008B0EF4">
        <w:t xml:space="preserve">enter the Syrian side of the Turkish-Syrian border, outside the area of Operation Peace Spring, to facilitate the removal of elements </w:t>
      </w:r>
      <w:r>
        <w:t xml:space="preserve">of the </w:t>
      </w:r>
      <w:r w:rsidRPr="00233B34">
        <w:t>Kurdish People’s Protection Units</w:t>
      </w:r>
      <w:r>
        <w:t xml:space="preserve"> </w:t>
      </w:r>
      <w:r w:rsidRPr="008B0EF4">
        <w:t>and their weapons.</w:t>
      </w:r>
    </w:p>
  </w:footnote>
  <w:footnote w:id="9">
    <w:p w14:paraId="618569FC" w14:textId="46220CB1" w:rsidR="0024069C" w:rsidRPr="008B0EF4" w:rsidRDefault="0024069C">
      <w:pPr>
        <w:pStyle w:val="FootnoteText"/>
      </w:pPr>
      <w:r w:rsidRPr="008B0EF4">
        <w:tab/>
      </w:r>
      <w:r w:rsidRPr="008B0EF4">
        <w:rPr>
          <w:rStyle w:val="FootnoteReference"/>
        </w:rPr>
        <w:footnoteRef/>
      </w:r>
      <w:r w:rsidRPr="008B0EF4">
        <w:t xml:space="preserve"> </w:t>
      </w:r>
      <w:r w:rsidRPr="008B0EF4">
        <w:tab/>
      </w:r>
      <w:r>
        <w:rPr>
          <w:szCs w:val="18"/>
        </w:rPr>
        <w:t>S</w:t>
      </w:r>
      <w:r w:rsidRPr="008B0EF4">
        <w:rPr>
          <w:szCs w:val="18"/>
        </w:rPr>
        <w:t xml:space="preserve">tates have an obligation under </w:t>
      </w:r>
      <w:r>
        <w:rPr>
          <w:szCs w:val="18"/>
        </w:rPr>
        <w:t>c</w:t>
      </w:r>
      <w:r w:rsidRPr="008B0EF4">
        <w:rPr>
          <w:szCs w:val="18"/>
        </w:rPr>
        <w:t xml:space="preserve">ommon </w:t>
      </w:r>
      <w:r>
        <w:rPr>
          <w:szCs w:val="18"/>
        </w:rPr>
        <w:t>a</w:t>
      </w:r>
      <w:r w:rsidRPr="008B0EF4">
        <w:rPr>
          <w:szCs w:val="18"/>
        </w:rPr>
        <w:t xml:space="preserve">rticle 1 </w:t>
      </w:r>
      <w:r>
        <w:rPr>
          <w:szCs w:val="18"/>
        </w:rPr>
        <w:t xml:space="preserve">of the </w:t>
      </w:r>
      <w:r w:rsidRPr="008B0EF4">
        <w:rPr>
          <w:szCs w:val="18"/>
        </w:rPr>
        <w:t xml:space="preserve">Geneva Conventions </w:t>
      </w:r>
      <w:r>
        <w:rPr>
          <w:szCs w:val="18"/>
        </w:rPr>
        <w:t xml:space="preserve">of 1949 </w:t>
      </w:r>
      <w:r w:rsidRPr="008B0EF4">
        <w:rPr>
          <w:szCs w:val="18"/>
        </w:rPr>
        <w:t xml:space="preserve">“to respect and to ensure respect for the present Convention in all circumstances”. As </w:t>
      </w:r>
      <w:r>
        <w:rPr>
          <w:szCs w:val="18"/>
        </w:rPr>
        <w:t>c</w:t>
      </w:r>
      <w:r w:rsidRPr="008B0EF4">
        <w:rPr>
          <w:szCs w:val="18"/>
        </w:rPr>
        <w:t xml:space="preserve">ommon </w:t>
      </w:r>
      <w:r>
        <w:rPr>
          <w:szCs w:val="18"/>
        </w:rPr>
        <w:t>a</w:t>
      </w:r>
      <w:r w:rsidRPr="008B0EF4">
        <w:rPr>
          <w:szCs w:val="18"/>
        </w:rPr>
        <w:t xml:space="preserve">rticle 3 </w:t>
      </w:r>
      <w:r>
        <w:rPr>
          <w:szCs w:val="18"/>
        </w:rPr>
        <w:t>of</w:t>
      </w:r>
      <w:r w:rsidRPr="008B0EF4">
        <w:rPr>
          <w:szCs w:val="18"/>
        </w:rPr>
        <w:t xml:space="preserve"> the Geneva Conventions is part of each of the four “present” </w:t>
      </w:r>
      <w:r>
        <w:rPr>
          <w:szCs w:val="18"/>
        </w:rPr>
        <w:t>c</w:t>
      </w:r>
      <w:r w:rsidRPr="008B0EF4">
        <w:rPr>
          <w:szCs w:val="18"/>
        </w:rPr>
        <w:t xml:space="preserve">onventions as well, this obligation extends as a matter of treaty obligation to the minimum guarantees provided </w:t>
      </w:r>
      <w:r>
        <w:rPr>
          <w:szCs w:val="18"/>
        </w:rPr>
        <w:t xml:space="preserve">for </w:t>
      </w:r>
      <w:r w:rsidRPr="008B0EF4">
        <w:rPr>
          <w:szCs w:val="18"/>
        </w:rPr>
        <w:t xml:space="preserve">in </w:t>
      </w:r>
      <w:r>
        <w:rPr>
          <w:szCs w:val="18"/>
        </w:rPr>
        <w:t>c</w:t>
      </w:r>
      <w:r w:rsidRPr="008B0EF4">
        <w:rPr>
          <w:szCs w:val="18"/>
        </w:rPr>
        <w:t xml:space="preserve">ommon </w:t>
      </w:r>
      <w:r>
        <w:rPr>
          <w:szCs w:val="18"/>
        </w:rPr>
        <w:t>a</w:t>
      </w:r>
      <w:r w:rsidRPr="008B0EF4">
        <w:rPr>
          <w:szCs w:val="18"/>
        </w:rPr>
        <w:t>rticle 3 in situations of “armed conflict not of an international character occurring in the territory of one of the High Contracting Parties”</w:t>
      </w:r>
      <w:r>
        <w:rPr>
          <w:szCs w:val="18"/>
        </w:rPr>
        <w:t>.</w:t>
      </w:r>
      <w:r w:rsidRPr="008B0EF4">
        <w:rPr>
          <w:szCs w:val="18"/>
        </w:rPr>
        <w:t xml:space="preserve"> See </w:t>
      </w:r>
      <w:r>
        <w:rPr>
          <w:szCs w:val="18"/>
        </w:rPr>
        <w:t>conference room paper “</w:t>
      </w:r>
      <w:r>
        <w:t>Human rights abuses and international humanitarian law violations in the Syrian Arab Republic, 21 July 2016–28 February 2017 (</w:t>
      </w:r>
      <w:r w:rsidRPr="008B0EF4">
        <w:rPr>
          <w:szCs w:val="18"/>
        </w:rPr>
        <w:t>A/HRC/34/CRP.3, paras. 99</w:t>
      </w:r>
      <w:r>
        <w:rPr>
          <w:szCs w:val="18"/>
        </w:rPr>
        <w:t>–</w:t>
      </w:r>
      <w:r w:rsidRPr="008B0EF4">
        <w:rPr>
          <w:szCs w:val="18"/>
        </w:rPr>
        <w:t>103</w:t>
      </w:r>
      <w:r>
        <w:rPr>
          <w:szCs w:val="18"/>
        </w:rPr>
        <w:t>)</w:t>
      </w:r>
      <w:r w:rsidRPr="008B0EF4">
        <w:rPr>
          <w:szCs w:val="18"/>
        </w:rPr>
        <w:t>.</w:t>
      </w:r>
      <w:r>
        <w:rPr>
          <w:szCs w:val="18"/>
        </w:rPr>
        <w:t xml:space="preserve"> </w:t>
      </w:r>
      <w:r>
        <w:t xml:space="preserve">Available from </w:t>
      </w:r>
      <w:r>
        <w:rPr>
          <w:szCs w:val="18"/>
        </w:rPr>
        <w:t xml:space="preserve">www.ohchr.org/EN/HRBodies/HRC/IICISyria/Pages/Documentation.aspx. </w:t>
      </w:r>
      <w:r>
        <w:t xml:space="preserve"> </w:t>
      </w:r>
    </w:p>
  </w:footnote>
  <w:footnote w:id="10">
    <w:p w14:paraId="563FE3F4" w14:textId="789777B3" w:rsidR="0024069C" w:rsidRPr="008B0EF4" w:rsidRDefault="0024069C" w:rsidP="00112363">
      <w:pPr>
        <w:pStyle w:val="FootnoteText"/>
        <w:rPr>
          <w:szCs w:val="18"/>
        </w:rPr>
      </w:pPr>
      <w:r w:rsidRPr="008B0EF4">
        <w:rPr>
          <w:szCs w:val="18"/>
        </w:rPr>
        <w:tab/>
      </w:r>
      <w:r w:rsidRPr="008B0EF4">
        <w:rPr>
          <w:rStyle w:val="FootnoteReference"/>
          <w:szCs w:val="18"/>
        </w:rPr>
        <w:footnoteRef/>
      </w:r>
      <w:r w:rsidRPr="008B0EF4">
        <w:rPr>
          <w:szCs w:val="18"/>
        </w:rPr>
        <w:t xml:space="preserve"> </w:t>
      </w:r>
      <w:r w:rsidRPr="008B0EF4">
        <w:rPr>
          <w:szCs w:val="18"/>
        </w:rPr>
        <w:tab/>
        <w:t>On oaths of loyalty and reconciliation, see also A/HRC/36/55, paras. 20–22</w:t>
      </w:r>
      <w:r>
        <w:rPr>
          <w:szCs w:val="18"/>
        </w:rPr>
        <w:t>.</w:t>
      </w:r>
    </w:p>
  </w:footnote>
  <w:footnote w:id="11">
    <w:p w14:paraId="6C18E7B2" w14:textId="7651B89A" w:rsidR="0024069C" w:rsidRPr="008B0EF4" w:rsidRDefault="0024069C">
      <w:pPr>
        <w:pStyle w:val="FootnoteText"/>
      </w:pPr>
      <w:r w:rsidRPr="008B0EF4">
        <w:tab/>
      </w:r>
      <w:r w:rsidRPr="008B0EF4">
        <w:rPr>
          <w:rStyle w:val="FootnoteReference"/>
        </w:rPr>
        <w:footnoteRef/>
      </w:r>
      <w:r w:rsidRPr="008B0EF4">
        <w:t xml:space="preserve"> </w:t>
      </w:r>
      <w:r w:rsidRPr="008B0EF4">
        <w:tab/>
      </w:r>
      <w:r w:rsidRPr="008B0EF4">
        <w:rPr>
          <w:szCs w:val="18"/>
        </w:rPr>
        <w:t>A/HRC/40/70, paras. 14</w:t>
      </w:r>
      <w:r>
        <w:rPr>
          <w:szCs w:val="18"/>
        </w:rPr>
        <w:t>–</w:t>
      </w:r>
      <w:r w:rsidRPr="008B0EF4">
        <w:rPr>
          <w:szCs w:val="18"/>
        </w:rPr>
        <w:t>15.</w:t>
      </w:r>
    </w:p>
  </w:footnote>
  <w:footnote w:id="12">
    <w:p w14:paraId="127D92A0" w14:textId="3823F19E" w:rsidR="0024069C" w:rsidRPr="008B0EF4" w:rsidRDefault="0024069C" w:rsidP="0086073A">
      <w:pPr>
        <w:pStyle w:val="FootnoteText"/>
        <w:ind w:hanging="567"/>
      </w:pPr>
      <w:r w:rsidRPr="008B0EF4">
        <w:tab/>
      </w:r>
      <w:r w:rsidRPr="008B0EF4">
        <w:rPr>
          <w:rStyle w:val="FootnoteReference"/>
        </w:rPr>
        <w:footnoteRef/>
      </w:r>
      <w:r w:rsidRPr="008B0EF4">
        <w:tab/>
      </w:r>
      <w:r w:rsidRPr="008B0EF4">
        <w:rPr>
          <w:szCs w:val="18"/>
        </w:rPr>
        <w:t>A/HRC/28/69, annex II, paras. 2–8; A/HRC/30/48, paras. 34–35; and A/HRC/31/68, para. 77.</w:t>
      </w:r>
    </w:p>
  </w:footnote>
  <w:footnote w:id="13">
    <w:p w14:paraId="766EBA72" w14:textId="2B8197BB" w:rsidR="0024069C" w:rsidRPr="008B0EF4" w:rsidRDefault="0024069C">
      <w:pPr>
        <w:pStyle w:val="FootnoteText"/>
      </w:pPr>
      <w:r w:rsidRPr="008B0EF4">
        <w:tab/>
      </w:r>
      <w:r w:rsidRPr="008B0EF4">
        <w:rPr>
          <w:rStyle w:val="FootnoteReference"/>
        </w:rPr>
        <w:footnoteRef/>
      </w:r>
      <w:r w:rsidRPr="008B0EF4">
        <w:t xml:space="preserve"> </w:t>
      </w:r>
      <w:r w:rsidRPr="008B0EF4">
        <w:tab/>
      </w:r>
      <w:r w:rsidRPr="008B0EF4">
        <w:rPr>
          <w:szCs w:val="18"/>
        </w:rPr>
        <w:t xml:space="preserve">See </w:t>
      </w:r>
      <w:hyperlink r:id="rId1" w:history="1">
        <w:r w:rsidRPr="008B0EF4">
          <w:rPr>
            <w:rStyle w:val="Hyperlink"/>
            <w:szCs w:val="18"/>
          </w:rPr>
          <w:t>http://eng.mil.ru/en/news_page/country/more.htm?id=12243385@egNews</w:t>
        </w:r>
      </w:hyperlink>
      <w:r>
        <w:rPr>
          <w:rStyle w:val="Hyperlink"/>
          <w:szCs w:val="18"/>
        </w:rPr>
        <w:t>.</w:t>
      </w:r>
      <w:r w:rsidRPr="008B0EF4">
        <w:rPr>
          <w:szCs w:val="18"/>
        </w:rPr>
        <w:t xml:space="preserve"> </w:t>
      </w:r>
      <w:r w:rsidRPr="008B0EF4">
        <w:t xml:space="preserve"> </w:t>
      </w:r>
    </w:p>
  </w:footnote>
  <w:footnote w:id="14">
    <w:p w14:paraId="10F39BB5" w14:textId="4FCF36BA" w:rsidR="0024069C" w:rsidRPr="008B0EF4" w:rsidRDefault="0024069C">
      <w:pPr>
        <w:pStyle w:val="FootnoteText"/>
      </w:pPr>
      <w:r w:rsidRPr="008B0EF4">
        <w:tab/>
      </w:r>
      <w:r w:rsidRPr="008B0EF4">
        <w:rPr>
          <w:rStyle w:val="FootnoteReference"/>
        </w:rPr>
        <w:footnoteRef/>
      </w:r>
      <w:r w:rsidRPr="008B0EF4">
        <w:t xml:space="preserve"> </w:t>
      </w:r>
      <w:r w:rsidRPr="008B0EF4">
        <w:tab/>
        <w:t xml:space="preserve">See </w:t>
      </w:r>
      <w:r>
        <w:rPr>
          <w:szCs w:val="18"/>
        </w:rPr>
        <w:t xml:space="preserve">Jean-Marie </w:t>
      </w:r>
      <w:proofErr w:type="spellStart"/>
      <w:r>
        <w:rPr>
          <w:szCs w:val="18"/>
        </w:rPr>
        <w:t>Henckaerts</w:t>
      </w:r>
      <w:proofErr w:type="spellEnd"/>
      <w:r>
        <w:rPr>
          <w:szCs w:val="18"/>
        </w:rPr>
        <w:t xml:space="preserve"> and Louise </w:t>
      </w:r>
      <w:proofErr w:type="spellStart"/>
      <w:r>
        <w:rPr>
          <w:szCs w:val="18"/>
        </w:rPr>
        <w:t>Doswald</w:t>
      </w:r>
      <w:proofErr w:type="spellEnd"/>
      <w:r>
        <w:rPr>
          <w:szCs w:val="18"/>
        </w:rPr>
        <w:t xml:space="preserve">-Beck, </w:t>
      </w:r>
      <w:r>
        <w:rPr>
          <w:i/>
          <w:iCs/>
          <w:szCs w:val="18"/>
        </w:rPr>
        <w:t xml:space="preserve">Customary International Humanitarian Law – Volume I: Rules </w:t>
      </w:r>
      <w:r>
        <w:rPr>
          <w:szCs w:val="18"/>
        </w:rPr>
        <w:t xml:space="preserve">(Geneva, International Committee of the Red Cross; Cambridge, United Kingdom, Cambridge University Press, 2005), </w:t>
      </w:r>
      <w:r>
        <w:t xml:space="preserve"> r</w:t>
      </w:r>
      <w:r w:rsidRPr="008B0EF4">
        <w:t>ule 156.</w:t>
      </w:r>
    </w:p>
  </w:footnote>
  <w:footnote w:id="15">
    <w:p w14:paraId="6CA91EA1" w14:textId="0506905C" w:rsidR="0024069C" w:rsidRPr="008B0EF4" w:rsidRDefault="0024069C">
      <w:pPr>
        <w:pStyle w:val="FootnoteText"/>
      </w:pPr>
      <w:r w:rsidRPr="008B0EF4">
        <w:tab/>
      </w:r>
      <w:r w:rsidRPr="008B0EF4">
        <w:rPr>
          <w:rStyle w:val="FootnoteReference"/>
        </w:rPr>
        <w:footnoteRef/>
      </w:r>
      <w:r w:rsidRPr="008B0EF4">
        <w:t xml:space="preserve"> </w:t>
      </w:r>
      <w:r w:rsidRPr="008B0EF4">
        <w:tab/>
      </w:r>
      <w:r w:rsidRPr="008B0EF4">
        <w:tab/>
      </w:r>
      <w:r w:rsidRPr="008B0EF4">
        <w:rPr>
          <w:szCs w:val="18"/>
        </w:rPr>
        <w:t>A/HRC/42/51</w:t>
      </w:r>
      <w:r>
        <w:rPr>
          <w:szCs w:val="18"/>
        </w:rPr>
        <w:t>,</w:t>
      </w:r>
      <w:r w:rsidRPr="008B0EF4">
        <w:rPr>
          <w:szCs w:val="18"/>
        </w:rPr>
        <w:t xml:space="preserve"> paras. 45</w:t>
      </w:r>
      <w:r>
        <w:rPr>
          <w:szCs w:val="18"/>
        </w:rPr>
        <w:t>–</w:t>
      </w:r>
      <w:r w:rsidRPr="008B0EF4">
        <w:rPr>
          <w:szCs w:val="18"/>
        </w:rPr>
        <w:t>46 and para.</w:t>
      </w:r>
      <w:r>
        <w:rPr>
          <w:szCs w:val="18"/>
        </w:rPr>
        <w:t xml:space="preserve"> </w:t>
      </w:r>
      <w:proofErr w:type="gramStart"/>
      <w:r w:rsidRPr="008B0EF4">
        <w:rPr>
          <w:szCs w:val="18"/>
        </w:rPr>
        <w:t>52,</w:t>
      </w:r>
      <w:proofErr w:type="gramEnd"/>
      <w:r w:rsidRPr="008B0EF4">
        <w:rPr>
          <w:szCs w:val="18"/>
        </w:rPr>
        <w:t xml:space="preserve"> footnote 16. See also </w:t>
      </w:r>
      <w:r>
        <w:rPr>
          <w:szCs w:val="18"/>
        </w:rPr>
        <w:t>a</w:t>
      </w:r>
      <w:r w:rsidRPr="008B0EF4">
        <w:rPr>
          <w:szCs w:val="18"/>
        </w:rPr>
        <w:t xml:space="preserve">nnex II. </w:t>
      </w:r>
    </w:p>
  </w:footnote>
  <w:footnote w:id="16">
    <w:p w14:paraId="2F090950" w14:textId="60FAD223" w:rsidR="0024069C" w:rsidRPr="008B0EF4" w:rsidRDefault="0024069C">
      <w:pPr>
        <w:pStyle w:val="FootnoteText"/>
      </w:pPr>
      <w:r w:rsidRPr="008B0EF4">
        <w:tab/>
      </w:r>
      <w:r w:rsidRPr="008B0EF4">
        <w:rPr>
          <w:rStyle w:val="FootnoteReference"/>
        </w:rPr>
        <w:footnoteRef/>
      </w:r>
      <w:r w:rsidRPr="008B0EF4">
        <w:t xml:space="preserve"> </w:t>
      </w:r>
      <w:r w:rsidRPr="008B0EF4">
        <w:tab/>
      </w:r>
      <w:r w:rsidRPr="008B0EF4">
        <w:tab/>
      </w:r>
      <w:r>
        <w:rPr>
          <w:szCs w:val="18"/>
        </w:rPr>
        <w:t xml:space="preserve">International Tribunal for the Prosecution of Persons Responsible for Serious Violations of International Humanitarian Law Committed in the Territory of the Former Yugoslavia since 1991, </w:t>
      </w:r>
      <w:r>
        <w:rPr>
          <w:i/>
          <w:iCs/>
          <w:szCs w:val="18"/>
        </w:rPr>
        <w:t xml:space="preserve">Prosecutor v. Stanislav </w:t>
      </w:r>
      <w:proofErr w:type="spellStart"/>
      <w:r>
        <w:rPr>
          <w:i/>
          <w:iCs/>
          <w:szCs w:val="18"/>
        </w:rPr>
        <w:t>Galić</w:t>
      </w:r>
      <w:proofErr w:type="spellEnd"/>
      <w:r>
        <w:rPr>
          <w:szCs w:val="18"/>
        </w:rPr>
        <w:t xml:space="preserve">, Case No. IT-98-29-A, </w:t>
      </w:r>
      <w:r>
        <w:t xml:space="preserve">Judgment, </w:t>
      </w:r>
      <w:r w:rsidRPr="008B0EF4">
        <w:rPr>
          <w:szCs w:val="18"/>
        </w:rPr>
        <w:t>30 November 2006, at paras. 99</w:t>
      </w:r>
      <w:r>
        <w:rPr>
          <w:szCs w:val="18"/>
        </w:rPr>
        <w:t>–</w:t>
      </w:r>
      <w:r w:rsidRPr="008B0EF4">
        <w:rPr>
          <w:szCs w:val="18"/>
        </w:rPr>
        <w:t>109.</w:t>
      </w:r>
    </w:p>
  </w:footnote>
  <w:footnote w:id="17">
    <w:p w14:paraId="08B7219A" w14:textId="227119E9" w:rsidR="0024069C" w:rsidRPr="008B0EF4" w:rsidRDefault="0024069C">
      <w:pPr>
        <w:pStyle w:val="FootnoteText"/>
      </w:pPr>
      <w:r w:rsidRPr="008B0EF4">
        <w:tab/>
      </w:r>
      <w:r w:rsidRPr="008B0EF4">
        <w:rPr>
          <w:rStyle w:val="FootnoteReference"/>
        </w:rPr>
        <w:footnoteRef/>
      </w:r>
      <w:r w:rsidRPr="008B0EF4">
        <w:t xml:space="preserve"> </w:t>
      </w:r>
      <w:r w:rsidRPr="008B0EF4">
        <w:tab/>
      </w:r>
      <w:r w:rsidRPr="008B0EF4">
        <w:rPr>
          <w:szCs w:val="18"/>
        </w:rPr>
        <w:t xml:space="preserve">The Commission continues to regard the group as a terrorist entity, as designated by the Security Council in its resolution 2170 (2014) and subsequent entries on its sanctions lists (available from </w:t>
      </w:r>
      <w:hyperlink r:id="rId2" w:history="1">
        <w:r w:rsidR="00834E0B" w:rsidRPr="003E6AFA">
          <w:rPr>
            <w:color w:val="0000FF"/>
            <w:u w:val="single"/>
          </w:rPr>
          <w:t>https://scsanctions.un.org/consolidated/</w:t>
        </w:r>
      </w:hyperlink>
      <w:r w:rsidRPr="008B0EF4">
        <w:rPr>
          <w:szCs w:val="18"/>
        </w:rPr>
        <w:t xml:space="preserve">). </w:t>
      </w:r>
      <w:proofErr w:type="spellStart"/>
      <w:r w:rsidRPr="008B0EF4">
        <w:rPr>
          <w:szCs w:val="18"/>
        </w:rPr>
        <w:t>Hay’at</w:t>
      </w:r>
      <w:proofErr w:type="spellEnd"/>
      <w:r w:rsidRPr="008B0EF4">
        <w:rPr>
          <w:szCs w:val="18"/>
        </w:rPr>
        <w:t xml:space="preserve"> </w:t>
      </w:r>
      <w:proofErr w:type="spellStart"/>
      <w:r w:rsidRPr="008B0EF4">
        <w:rPr>
          <w:szCs w:val="18"/>
        </w:rPr>
        <w:t>Tahrir</w:t>
      </w:r>
      <w:proofErr w:type="spellEnd"/>
      <w:r w:rsidRPr="008B0EF4">
        <w:rPr>
          <w:szCs w:val="18"/>
        </w:rPr>
        <w:t xml:space="preserve"> al-Sham currently comprises </w:t>
      </w:r>
      <w:proofErr w:type="spellStart"/>
      <w:r w:rsidRPr="008B0EF4">
        <w:rPr>
          <w:szCs w:val="18"/>
        </w:rPr>
        <w:t>Jabhat</w:t>
      </w:r>
      <w:proofErr w:type="spellEnd"/>
      <w:r w:rsidRPr="008B0EF4">
        <w:rPr>
          <w:szCs w:val="18"/>
        </w:rPr>
        <w:t xml:space="preserve"> Fatah al-Sham (also known as </w:t>
      </w:r>
      <w:proofErr w:type="spellStart"/>
      <w:r w:rsidRPr="008B0EF4">
        <w:rPr>
          <w:szCs w:val="18"/>
        </w:rPr>
        <w:t>Jabhat</w:t>
      </w:r>
      <w:proofErr w:type="spellEnd"/>
      <w:r w:rsidRPr="008B0EF4">
        <w:rPr>
          <w:szCs w:val="18"/>
        </w:rPr>
        <w:t xml:space="preserve"> al-</w:t>
      </w:r>
      <w:proofErr w:type="spellStart"/>
      <w:r w:rsidRPr="008B0EF4">
        <w:rPr>
          <w:szCs w:val="18"/>
        </w:rPr>
        <w:t>Nusra</w:t>
      </w:r>
      <w:r>
        <w:rPr>
          <w:szCs w:val="18"/>
        </w:rPr>
        <w:t>h</w:t>
      </w:r>
      <w:proofErr w:type="spellEnd"/>
      <w:r w:rsidRPr="008B0EF4">
        <w:rPr>
          <w:szCs w:val="18"/>
        </w:rPr>
        <w:t xml:space="preserve"> and previously as the Al</w:t>
      </w:r>
      <w:r>
        <w:rPr>
          <w:szCs w:val="18"/>
        </w:rPr>
        <w:t>-</w:t>
      </w:r>
      <w:proofErr w:type="spellStart"/>
      <w:r w:rsidRPr="008B0EF4">
        <w:rPr>
          <w:szCs w:val="18"/>
        </w:rPr>
        <w:t>Nusrah</w:t>
      </w:r>
      <w:proofErr w:type="spellEnd"/>
      <w:r w:rsidRPr="008B0EF4">
        <w:rPr>
          <w:szCs w:val="18"/>
        </w:rPr>
        <w:t xml:space="preserve"> Front), </w:t>
      </w:r>
      <w:proofErr w:type="spellStart"/>
      <w:r w:rsidRPr="008B0EF4">
        <w:rPr>
          <w:szCs w:val="18"/>
        </w:rPr>
        <w:t>Ansar</w:t>
      </w:r>
      <w:proofErr w:type="spellEnd"/>
      <w:r w:rsidRPr="008B0EF4">
        <w:rPr>
          <w:szCs w:val="18"/>
        </w:rPr>
        <w:t xml:space="preserve"> al-Sham and </w:t>
      </w:r>
      <w:proofErr w:type="spellStart"/>
      <w:r w:rsidRPr="008B0EF4">
        <w:rPr>
          <w:szCs w:val="18"/>
        </w:rPr>
        <w:t>Ajnad</w:t>
      </w:r>
      <w:proofErr w:type="spellEnd"/>
      <w:r w:rsidRPr="008B0EF4">
        <w:rPr>
          <w:szCs w:val="18"/>
        </w:rPr>
        <w:t xml:space="preserve"> al-Sham, among others.</w:t>
      </w:r>
    </w:p>
  </w:footnote>
  <w:footnote w:id="18">
    <w:p w14:paraId="7490B4C2" w14:textId="77777777" w:rsidR="0024069C" w:rsidRPr="008B0EF4" w:rsidRDefault="0024069C" w:rsidP="007B2828">
      <w:pPr>
        <w:pStyle w:val="FootnoteText"/>
        <w:ind w:hanging="567"/>
      </w:pPr>
      <w:r w:rsidRPr="008B0EF4">
        <w:tab/>
      </w:r>
      <w:r w:rsidRPr="008B0EF4">
        <w:rPr>
          <w:rStyle w:val="FootnoteReference"/>
        </w:rPr>
        <w:footnoteRef/>
      </w:r>
      <w:r w:rsidRPr="008B0EF4">
        <w:t xml:space="preserve"> </w:t>
      </w:r>
      <w:r w:rsidRPr="008B0EF4">
        <w:tab/>
        <w:t xml:space="preserve">Protection concerns prevent the Commission from disclosing certain information in this paragraph, such as place names, that </w:t>
      </w:r>
      <w:proofErr w:type="gramStart"/>
      <w:r w:rsidRPr="008B0EF4">
        <w:t>could potentially be used</w:t>
      </w:r>
      <w:proofErr w:type="gramEnd"/>
      <w:r w:rsidRPr="008B0EF4">
        <w:t xml:space="preserve"> to identify individual sources. In all cases, the Commission remained guided by the “do no harm” principle.</w:t>
      </w:r>
    </w:p>
  </w:footnote>
  <w:footnote w:id="19">
    <w:p w14:paraId="6E736FEF" w14:textId="67FBD6EF" w:rsidR="0024069C" w:rsidRPr="008B0EF4" w:rsidRDefault="0024069C" w:rsidP="007B2828">
      <w:pPr>
        <w:pStyle w:val="FootnoteText"/>
        <w:rPr>
          <w:szCs w:val="18"/>
        </w:rPr>
      </w:pPr>
      <w:r w:rsidRPr="008B0EF4">
        <w:rPr>
          <w:szCs w:val="18"/>
        </w:rPr>
        <w:tab/>
      </w:r>
      <w:r w:rsidRPr="008B0EF4">
        <w:rPr>
          <w:rStyle w:val="FootnoteReference"/>
          <w:szCs w:val="18"/>
        </w:rPr>
        <w:footnoteRef/>
      </w:r>
      <w:r w:rsidRPr="008B0EF4">
        <w:rPr>
          <w:szCs w:val="18"/>
        </w:rPr>
        <w:t xml:space="preserve"> </w:t>
      </w:r>
      <w:r w:rsidRPr="008B0EF4">
        <w:rPr>
          <w:szCs w:val="18"/>
        </w:rPr>
        <w:tab/>
        <w:t xml:space="preserve">See S/2019/922 and S/2019/987. </w:t>
      </w:r>
    </w:p>
  </w:footnote>
  <w:footnote w:id="20">
    <w:p w14:paraId="5D9A0E98" w14:textId="45F439B9" w:rsidR="0024069C" w:rsidRPr="008B0EF4" w:rsidRDefault="0024069C" w:rsidP="007B2828">
      <w:pPr>
        <w:pStyle w:val="FootnoteText"/>
      </w:pPr>
      <w:r w:rsidRPr="008B0EF4">
        <w:rPr>
          <w:szCs w:val="18"/>
        </w:rPr>
        <w:tab/>
      </w:r>
      <w:r w:rsidRPr="008B0EF4">
        <w:rPr>
          <w:rStyle w:val="FootnoteReference"/>
          <w:szCs w:val="18"/>
        </w:rPr>
        <w:footnoteRef/>
      </w:r>
      <w:r w:rsidRPr="008B0EF4">
        <w:rPr>
          <w:szCs w:val="18"/>
        </w:rPr>
        <w:t xml:space="preserve"> </w:t>
      </w:r>
      <w:r w:rsidRPr="008B0EF4">
        <w:rPr>
          <w:szCs w:val="18"/>
        </w:rPr>
        <w:tab/>
      </w:r>
      <w:r>
        <w:rPr>
          <w:szCs w:val="18"/>
        </w:rPr>
        <w:t xml:space="preserve">See </w:t>
      </w:r>
      <w:proofErr w:type="spellStart"/>
      <w:r w:rsidRPr="008B0EF4">
        <w:rPr>
          <w:szCs w:val="18"/>
        </w:rPr>
        <w:t>Henckaerts</w:t>
      </w:r>
      <w:proofErr w:type="spellEnd"/>
      <w:r w:rsidRPr="008B0EF4">
        <w:rPr>
          <w:szCs w:val="18"/>
        </w:rPr>
        <w:t xml:space="preserve"> and </w:t>
      </w:r>
      <w:proofErr w:type="spellStart"/>
      <w:r w:rsidRPr="008B0EF4">
        <w:rPr>
          <w:szCs w:val="18"/>
        </w:rPr>
        <w:t>Doswald</w:t>
      </w:r>
      <w:proofErr w:type="spellEnd"/>
      <w:r w:rsidRPr="008B0EF4">
        <w:rPr>
          <w:szCs w:val="18"/>
        </w:rPr>
        <w:t xml:space="preserve">-Beck, </w:t>
      </w:r>
      <w:r w:rsidRPr="00D6133C">
        <w:rPr>
          <w:i/>
          <w:iCs/>
          <w:szCs w:val="18"/>
        </w:rPr>
        <w:t>Customary International Humanitarian Law</w:t>
      </w:r>
      <w:r w:rsidRPr="008B0EF4">
        <w:rPr>
          <w:szCs w:val="18"/>
        </w:rPr>
        <w:t xml:space="preserve">, </w:t>
      </w:r>
      <w:r>
        <w:rPr>
          <w:szCs w:val="18"/>
        </w:rPr>
        <w:t>r</w:t>
      </w:r>
      <w:r w:rsidRPr="008B0EF4">
        <w:rPr>
          <w:szCs w:val="18"/>
        </w:rPr>
        <w:t xml:space="preserve">ule 137. </w:t>
      </w:r>
    </w:p>
  </w:footnote>
  <w:footnote w:id="21">
    <w:p w14:paraId="7A2ED746" w14:textId="43F65505" w:rsidR="0024069C" w:rsidRPr="008B0EF4" w:rsidRDefault="0024069C">
      <w:pPr>
        <w:pStyle w:val="FootnoteText"/>
      </w:pPr>
      <w:r w:rsidRPr="008B0EF4">
        <w:tab/>
      </w:r>
      <w:r w:rsidRPr="008B0EF4">
        <w:rPr>
          <w:rStyle w:val="FootnoteReference"/>
        </w:rPr>
        <w:footnoteRef/>
      </w:r>
      <w:r w:rsidRPr="008B0EF4">
        <w:t xml:space="preserve"> </w:t>
      </w:r>
      <w:r w:rsidRPr="008B0EF4">
        <w:tab/>
        <w:t>See</w:t>
      </w:r>
      <w:r>
        <w:t xml:space="preserve"> </w:t>
      </w:r>
      <w:hyperlink r:id="rId3" w:history="1">
        <w:r w:rsidRPr="00B212DA">
          <w:rPr>
            <w:rStyle w:val="Hyperlink"/>
          </w:rPr>
          <w:t>www.centcom.mil/MEDIA/STATEMENTS/Statements-View/Article/1949406/statement-from-us-central-command-on-us-forces-strike-against-al-qaida-in-syria.</w:t>
        </w:r>
      </w:hyperlink>
    </w:p>
  </w:footnote>
  <w:footnote w:id="22">
    <w:p w14:paraId="72059482" w14:textId="5C487DB5" w:rsidR="0024069C" w:rsidRPr="008B0EF4" w:rsidRDefault="0024069C">
      <w:pPr>
        <w:pStyle w:val="FootnoteText"/>
      </w:pPr>
      <w:r w:rsidRPr="008B0EF4">
        <w:tab/>
      </w:r>
      <w:r w:rsidRPr="008B0EF4">
        <w:rPr>
          <w:rStyle w:val="FootnoteReference"/>
        </w:rPr>
        <w:footnoteRef/>
      </w:r>
      <w:r w:rsidRPr="008B0EF4">
        <w:t xml:space="preserve"> </w:t>
      </w:r>
      <w:r w:rsidRPr="008B0EF4">
        <w:tab/>
        <w:t>Common article 3 of the Geneva Conventions</w:t>
      </w:r>
      <w:r>
        <w:t>.</w:t>
      </w:r>
      <w:r w:rsidRPr="008B0EF4">
        <w:t xml:space="preserve"> </w:t>
      </w:r>
    </w:p>
  </w:footnote>
  <w:footnote w:id="23">
    <w:p w14:paraId="5B1F37A3" w14:textId="77777777" w:rsidR="0024069C" w:rsidRPr="008B0EF4" w:rsidRDefault="0024069C">
      <w:pPr>
        <w:pStyle w:val="FootnoteText"/>
      </w:pPr>
      <w:r w:rsidRPr="008B0EF4">
        <w:tab/>
      </w:r>
      <w:r w:rsidRPr="008B0EF4">
        <w:rPr>
          <w:rStyle w:val="FootnoteReference"/>
        </w:rPr>
        <w:footnoteRef/>
      </w:r>
      <w:r w:rsidRPr="008B0EF4">
        <w:t xml:space="preserve"> </w:t>
      </w:r>
      <w:r w:rsidRPr="008B0EF4">
        <w:tab/>
      </w:r>
      <w:r w:rsidRPr="008B0EF4">
        <w:rPr>
          <w:szCs w:val="18"/>
        </w:rPr>
        <w:t xml:space="preserve">Protection concerns prevent the Commission from disclosing certain information in this section, such as place names, that </w:t>
      </w:r>
      <w:proofErr w:type="gramStart"/>
      <w:r w:rsidRPr="008B0EF4">
        <w:rPr>
          <w:szCs w:val="18"/>
        </w:rPr>
        <w:t>could potentially be used</w:t>
      </w:r>
      <w:proofErr w:type="gramEnd"/>
      <w:r w:rsidRPr="008B0EF4">
        <w:rPr>
          <w:szCs w:val="18"/>
        </w:rPr>
        <w:t xml:space="preserve"> to identify individual sources. In all cases, the Commission remained guided by the “do no harm” principle.</w:t>
      </w:r>
    </w:p>
  </w:footnote>
  <w:footnote w:id="24">
    <w:p w14:paraId="57A63E28" w14:textId="1957E0CC" w:rsidR="0024069C" w:rsidRPr="008B0EF4" w:rsidRDefault="0024069C" w:rsidP="00194566">
      <w:pPr>
        <w:pStyle w:val="FootnoteText"/>
        <w:ind w:hanging="567"/>
      </w:pPr>
      <w:r w:rsidRPr="008B0EF4">
        <w:tab/>
      </w:r>
      <w:r w:rsidRPr="008B0EF4">
        <w:rPr>
          <w:rStyle w:val="FootnoteReference"/>
        </w:rPr>
        <w:footnoteRef/>
      </w:r>
      <w:r w:rsidRPr="008B0EF4">
        <w:t xml:space="preserve"> </w:t>
      </w:r>
      <w:r w:rsidRPr="008B0EF4">
        <w:tab/>
        <w:t>A/HRC/42/51</w:t>
      </w:r>
      <w:r>
        <w:t>,</w:t>
      </w:r>
      <w:r w:rsidRPr="008B0EF4">
        <w:t xml:space="preserve"> para</w:t>
      </w:r>
      <w:r>
        <w:t>.</w:t>
      </w:r>
      <w:r w:rsidRPr="008B0EF4">
        <w:t xml:space="preserve"> 55</w:t>
      </w:r>
      <w:r>
        <w:t>–</w:t>
      </w:r>
      <w:r w:rsidRPr="008B0EF4">
        <w:t xml:space="preserve">58.  </w:t>
      </w:r>
    </w:p>
  </w:footnote>
  <w:footnote w:id="25">
    <w:p w14:paraId="1FAB6B7C" w14:textId="3F01843E" w:rsidR="0024069C" w:rsidRPr="008B0EF4" w:rsidRDefault="0024069C">
      <w:pPr>
        <w:pStyle w:val="FootnoteText"/>
      </w:pPr>
      <w:r w:rsidRPr="008B0EF4">
        <w:tab/>
      </w:r>
      <w:r w:rsidRPr="008B0EF4">
        <w:rPr>
          <w:rStyle w:val="FootnoteReference"/>
        </w:rPr>
        <w:footnoteRef/>
      </w:r>
      <w:r w:rsidRPr="008B0EF4">
        <w:t xml:space="preserve"> </w:t>
      </w:r>
      <w:r w:rsidRPr="008B0EF4">
        <w:tab/>
      </w:r>
      <w:r w:rsidRPr="008B0EF4">
        <w:rPr>
          <w:szCs w:val="18"/>
        </w:rPr>
        <w:t>See</w:t>
      </w:r>
      <w:r>
        <w:rPr>
          <w:szCs w:val="18"/>
        </w:rPr>
        <w:t>,</w:t>
      </w:r>
      <w:r w:rsidRPr="008B0EF4">
        <w:rPr>
          <w:szCs w:val="18"/>
        </w:rPr>
        <w:t xml:space="preserve"> for example</w:t>
      </w:r>
      <w:r>
        <w:rPr>
          <w:szCs w:val="18"/>
        </w:rPr>
        <w:t>,</w:t>
      </w:r>
      <w:r w:rsidRPr="008B0EF4">
        <w:rPr>
          <w:szCs w:val="18"/>
        </w:rPr>
        <w:t xml:space="preserve"> International Criminal Court, </w:t>
      </w:r>
      <w:r w:rsidRPr="008B0EF4">
        <w:rPr>
          <w:i/>
          <w:iCs/>
          <w:szCs w:val="18"/>
        </w:rPr>
        <w:t xml:space="preserve">Prosecutor v. </w:t>
      </w:r>
      <w:proofErr w:type="spellStart"/>
      <w:r w:rsidRPr="008B0EF4">
        <w:rPr>
          <w:i/>
          <w:iCs/>
          <w:szCs w:val="18"/>
        </w:rPr>
        <w:t>Germain</w:t>
      </w:r>
      <w:proofErr w:type="spellEnd"/>
      <w:r w:rsidRPr="008B0EF4">
        <w:rPr>
          <w:i/>
          <w:iCs/>
          <w:szCs w:val="18"/>
        </w:rPr>
        <w:t xml:space="preserve"> Katanga</w:t>
      </w:r>
      <w:r w:rsidRPr="008B0EF4">
        <w:rPr>
          <w:szCs w:val="18"/>
        </w:rPr>
        <w:t xml:space="preserve">, </w:t>
      </w:r>
      <w:r>
        <w:rPr>
          <w:szCs w:val="18"/>
        </w:rPr>
        <w:t xml:space="preserve">Case No. </w:t>
      </w:r>
      <w:r w:rsidRPr="008B0EF4">
        <w:rPr>
          <w:szCs w:val="18"/>
        </w:rPr>
        <w:t xml:space="preserve">ICC-01/04-01/07, </w:t>
      </w:r>
      <w:r>
        <w:rPr>
          <w:szCs w:val="18"/>
        </w:rPr>
        <w:t xml:space="preserve">Judgment, </w:t>
      </w:r>
      <w:r w:rsidRPr="008B0EF4">
        <w:rPr>
          <w:szCs w:val="18"/>
        </w:rPr>
        <w:t>7 March 2014, paras. 925</w:t>
      </w:r>
      <w:r>
        <w:rPr>
          <w:szCs w:val="18"/>
        </w:rPr>
        <w:t>–</w:t>
      </w:r>
      <w:r w:rsidRPr="008B0EF4">
        <w:rPr>
          <w:szCs w:val="18"/>
        </w:rPr>
        <w:t>957; see also Universal Declaration of Human Rights, art. 17.</w:t>
      </w:r>
    </w:p>
  </w:footnote>
  <w:footnote w:id="26">
    <w:p w14:paraId="0E473D8E" w14:textId="4BAFD5A6" w:rsidR="0024069C" w:rsidRPr="008B0EF4" w:rsidRDefault="0024069C">
      <w:pPr>
        <w:pStyle w:val="FootnoteText"/>
      </w:pPr>
      <w:r w:rsidRPr="008B0EF4">
        <w:tab/>
      </w:r>
      <w:r w:rsidRPr="008B0EF4">
        <w:rPr>
          <w:rStyle w:val="FootnoteReference"/>
        </w:rPr>
        <w:footnoteRef/>
      </w:r>
      <w:r w:rsidRPr="008B0EF4">
        <w:t xml:space="preserve"> </w:t>
      </w:r>
      <w:r w:rsidRPr="008B0EF4">
        <w:tab/>
        <w:t xml:space="preserve">See </w:t>
      </w:r>
      <w:proofErr w:type="spellStart"/>
      <w:r w:rsidRPr="008B0EF4">
        <w:rPr>
          <w:szCs w:val="18"/>
        </w:rPr>
        <w:t>Henckaerts</w:t>
      </w:r>
      <w:proofErr w:type="spellEnd"/>
      <w:r w:rsidRPr="008B0EF4">
        <w:rPr>
          <w:szCs w:val="18"/>
        </w:rPr>
        <w:t xml:space="preserve"> and </w:t>
      </w:r>
      <w:proofErr w:type="spellStart"/>
      <w:r w:rsidRPr="008B0EF4">
        <w:rPr>
          <w:szCs w:val="18"/>
        </w:rPr>
        <w:t>Doswald</w:t>
      </w:r>
      <w:proofErr w:type="spellEnd"/>
      <w:r w:rsidRPr="008B0EF4">
        <w:rPr>
          <w:szCs w:val="18"/>
        </w:rPr>
        <w:t xml:space="preserve">-Beck, </w:t>
      </w:r>
      <w:r w:rsidRPr="00B27A79">
        <w:rPr>
          <w:i/>
          <w:iCs/>
          <w:szCs w:val="18"/>
        </w:rPr>
        <w:t>Customary International Humanitarian Law</w:t>
      </w:r>
      <w:r w:rsidRPr="008B0EF4">
        <w:rPr>
          <w:szCs w:val="18"/>
        </w:rPr>
        <w:t>,</w:t>
      </w:r>
      <w:r w:rsidRPr="008B0EF4">
        <w:t xml:space="preserve"> </w:t>
      </w:r>
      <w:r>
        <w:t>r</w:t>
      </w:r>
      <w:r w:rsidRPr="008B0EF4">
        <w:t>ule 156.</w:t>
      </w:r>
    </w:p>
  </w:footnote>
  <w:footnote w:id="27">
    <w:p w14:paraId="5E112B54" w14:textId="0E6049AC" w:rsidR="0024069C" w:rsidRPr="008B0EF4" w:rsidRDefault="0024069C">
      <w:pPr>
        <w:pStyle w:val="FootnoteText"/>
      </w:pPr>
      <w:r w:rsidRPr="008B0EF4">
        <w:tab/>
      </w:r>
      <w:r w:rsidRPr="008B0EF4">
        <w:rPr>
          <w:rStyle w:val="FootnoteReference"/>
        </w:rPr>
        <w:footnoteRef/>
      </w:r>
      <w:r w:rsidRPr="008B0EF4">
        <w:t xml:space="preserve"> </w:t>
      </w:r>
      <w:r w:rsidRPr="008B0EF4">
        <w:tab/>
      </w:r>
      <w:r w:rsidRPr="008B0EF4">
        <w:rPr>
          <w:szCs w:val="18"/>
        </w:rPr>
        <w:t xml:space="preserve">President Erdogan posted on </w:t>
      </w:r>
      <w:r>
        <w:rPr>
          <w:szCs w:val="18"/>
        </w:rPr>
        <w:t>T</w:t>
      </w:r>
      <w:r w:rsidRPr="008B0EF4">
        <w:rPr>
          <w:szCs w:val="18"/>
        </w:rPr>
        <w:t>witter “The Turkish Armed Forces, together with the Syrian National Army, just launched Operation Peace Spring</w:t>
      </w:r>
      <w:r>
        <w:rPr>
          <w:szCs w:val="18"/>
        </w:rPr>
        <w:t xml:space="preserve"> </w:t>
      </w:r>
      <w:r w:rsidRPr="008B0EF4">
        <w:rPr>
          <w:szCs w:val="18"/>
        </w:rPr>
        <w:t>…. Our mission is to prevent the creation of a terror corridor across our southern border, and to bring peace to the area</w:t>
      </w:r>
      <w:r>
        <w:rPr>
          <w:szCs w:val="18"/>
        </w:rPr>
        <w:t>.</w:t>
      </w:r>
      <w:r w:rsidRPr="008B0EF4">
        <w:rPr>
          <w:szCs w:val="18"/>
        </w:rPr>
        <w:t>”</w:t>
      </w:r>
      <w:r>
        <w:rPr>
          <w:szCs w:val="18"/>
        </w:rPr>
        <w:t xml:space="preserve"> See </w:t>
      </w:r>
      <w:hyperlink r:id="rId4" w:history="1">
        <w:r w:rsidRPr="008B0EF4">
          <w:rPr>
            <w:rStyle w:val="Hyperlink1"/>
            <w:szCs w:val="18"/>
          </w:rPr>
          <w:t>www.tccb.gov.tr/en/news/542/111024/-the-turkish-armed-forces-together-with-the-syrian-national-army-just-launched-operation-peace-spring-</w:t>
        </w:r>
      </w:hyperlink>
      <w:r w:rsidRPr="008B0EF4">
        <w:rPr>
          <w:szCs w:val="18"/>
        </w:rPr>
        <w:t xml:space="preserve">. </w:t>
      </w:r>
      <w:proofErr w:type="gramStart"/>
      <w:r w:rsidRPr="008B0EF4">
        <w:rPr>
          <w:szCs w:val="18"/>
        </w:rPr>
        <w:t>Further</w:t>
      </w:r>
      <w:proofErr w:type="gramEnd"/>
      <w:r w:rsidRPr="008B0EF4">
        <w:rPr>
          <w:szCs w:val="18"/>
        </w:rPr>
        <w:t xml:space="preserve"> on, President Erdogan stated the aim </w:t>
      </w:r>
      <w:r>
        <w:rPr>
          <w:szCs w:val="18"/>
        </w:rPr>
        <w:t xml:space="preserve">was </w:t>
      </w:r>
      <w:r w:rsidRPr="008B0EF4">
        <w:rPr>
          <w:szCs w:val="18"/>
        </w:rPr>
        <w:t xml:space="preserve">to create a </w:t>
      </w:r>
      <w:r>
        <w:rPr>
          <w:szCs w:val="18"/>
        </w:rPr>
        <w:t>“</w:t>
      </w:r>
      <w:r w:rsidRPr="008B0EF4">
        <w:rPr>
          <w:szCs w:val="18"/>
        </w:rPr>
        <w:t>safe zone</w:t>
      </w:r>
      <w:r>
        <w:rPr>
          <w:szCs w:val="18"/>
        </w:rPr>
        <w:t>”,</w:t>
      </w:r>
      <w:r w:rsidRPr="008B0EF4">
        <w:rPr>
          <w:szCs w:val="18"/>
        </w:rPr>
        <w:t xml:space="preserve"> stretching some 30</w:t>
      </w:r>
      <w:r>
        <w:rPr>
          <w:szCs w:val="18"/>
        </w:rPr>
        <w:t> </w:t>
      </w:r>
      <w:r w:rsidRPr="008B0EF4">
        <w:rPr>
          <w:szCs w:val="18"/>
        </w:rPr>
        <w:t xml:space="preserve">km into </w:t>
      </w:r>
      <w:r>
        <w:rPr>
          <w:szCs w:val="18"/>
        </w:rPr>
        <w:t xml:space="preserve">the </w:t>
      </w:r>
      <w:r w:rsidRPr="008B0EF4">
        <w:rPr>
          <w:szCs w:val="18"/>
        </w:rPr>
        <w:t>Syria</w:t>
      </w:r>
      <w:r>
        <w:rPr>
          <w:szCs w:val="18"/>
        </w:rPr>
        <w:t>n Arab Republic</w:t>
      </w:r>
      <w:r w:rsidRPr="008B0EF4">
        <w:rPr>
          <w:szCs w:val="18"/>
        </w:rPr>
        <w:t>, in which refugees currently living in Turkey c</w:t>
      </w:r>
      <w:r>
        <w:rPr>
          <w:szCs w:val="18"/>
        </w:rPr>
        <w:t>ould</w:t>
      </w:r>
      <w:r w:rsidRPr="008B0EF4">
        <w:rPr>
          <w:szCs w:val="18"/>
        </w:rPr>
        <w:t xml:space="preserve"> be resettled. The Government of the Syrian Arab Republic has condemned Turkey’s operation</w:t>
      </w:r>
      <w:r>
        <w:rPr>
          <w:szCs w:val="18"/>
        </w:rPr>
        <w:t>,</w:t>
      </w:r>
      <w:r w:rsidRPr="008B0EF4">
        <w:rPr>
          <w:szCs w:val="18"/>
        </w:rPr>
        <w:t xml:space="preserve"> referring to </w:t>
      </w:r>
      <w:r>
        <w:rPr>
          <w:szCs w:val="18"/>
        </w:rPr>
        <w:t>it</w:t>
      </w:r>
      <w:r w:rsidRPr="008B0EF4">
        <w:rPr>
          <w:szCs w:val="18"/>
        </w:rPr>
        <w:t xml:space="preserve"> as an act of aggression and characteriz</w:t>
      </w:r>
      <w:r>
        <w:rPr>
          <w:szCs w:val="18"/>
        </w:rPr>
        <w:t>ing</w:t>
      </w:r>
      <w:r w:rsidRPr="008B0EF4">
        <w:rPr>
          <w:szCs w:val="18"/>
        </w:rPr>
        <w:t xml:space="preserve"> it as </w:t>
      </w:r>
      <w:r>
        <w:rPr>
          <w:szCs w:val="18"/>
        </w:rPr>
        <w:t>a flagrant</w:t>
      </w:r>
      <w:r w:rsidRPr="008B0EF4">
        <w:rPr>
          <w:szCs w:val="18"/>
        </w:rPr>
        <w:t xml:space="preserve"> violation of international law and a blatant </w:t>
      </w:r>
      <w:r>
        <w:rPr>
          <w:szCs w:val="18"/>
        </w:rPr>
        <w:t>violation</w:t>
      </w:r>
      <w:r w:rsidRPr="008B0EF4">
        <w:rPr>
          <w:szCs w:val="18"/>
        </w:rPr>
        <w:t xml:space="preserve"> of Security Council resolutions</w:t>
      </w:r>
      <w:r>
        <w:rPr>
          <w:szCs w:val="18"/>
        </w:rPr>
        <w:t xml:space="preserve"> (</w:t>
      </w:r>
      <w:r w:rsidRPr="008B0EF4">
        <w:rPr>
          <w:szCs w:val="18"/>
        </w:rPr>
        <w:t>S/2019/806</w:t>
      </w:r>
      <w:r>
        <w:rPr>
          <w:szCs w:val="18"/>
        </w:rPr>
        <w:t>)</w:t>
      </w:r>
      <w:r w:rsidRPr="008B0EF4">
        <w:rPr>
          <w:szCs w:val="18"/>
        </w:rPr>
        <w:t>.</w:t>
      </w:r>
    </w:p>
  </w:footnote>
  <w:footnote w:id="28">
    <w:p w14:paraId="53B81EF0" w14:textId="1EF6F140" w:rsidR="0024069C" w:rsidRPr="008B0EF4" w:rsidRDefault="0024069C">
      <w:pPr>
        <w:pStyle w:val="FootnoteText"/>
      </w:pPr>
      <w:r w:rsidRPr="008B0EF4">
        <w:tab/>
      </w:r>
      <w:r w:rsidRPr="008B0EF4">
        <w:rPr>
          <w:rStyle w:val="FootnoteReference"/>
        </w:rPr>
        <w:footnoteRef/>
      </w:r>
      <w:r w:rsidRPr="008B0EF4">
        <w:t xml:space="preserve"> </w:t>
      </w:r>
      <w:r w:rsidRPr="008B0EF4">
        <w:tab/>
        <w:t xml:space="preserve">See </w:t>
      </w:r>
      <w:hyperlink r:id="rId5" w:history="1">
        <w:r w:rsidRPr="008B0EF4">
          <w:rPr>
            <w:rStyle w:val="Hyperlink"/>
            <w:szCs w:val="18"/>
          </w:rPr>
          <w:t>https://observers.france24.com/en/20191021-syria-turkey-militia-ahrar-sharqiya-investigation-abuses</w:t>
        </w:r>
      </w:hyperlink>
      <w:r w:rsidRPr="008B0EF4">
        <w:rPr>
          <w:szCs w:val="18"/>
        </w:rPr>
        <w:t>. The Commission is unable to verify the authenticity of the footage.</w:t>
      </w:r>
    </w:p>
  </w:footnote>
  <w:footnote w:id="29">
    <w:p w14:paraId="5987CCD4" w14:textId="6ECF4B2A" w:rsidR="0024069C" w:rsidRPr="008B0EF4" w:rsidRDefault="0024069C" w:rsidP="000D690F">
      <w:pPr>
        <w:pStyle w:val="FootnoteText"/>
      </w:pPr>
      <w:r w:rsidRPr="008B0EF4">
        <w:tab/>
      </w:r>
      <w:r w:rsidRPr="008B0EF4">
        <w:rPr>
          <w:rStyle w:val="FootnoteReference"/>
        </w:rPr>
        <w:footnoteRef/>
      </w:r>
      <w:r w:rsidRPr="008B0EF4">
        <w:t xml:space="preserve"> </w:t>
      </w:r>
      <w:r w:rsidRPr="008B0EF4">
        <w:tab/>
      </w:r>
      <w:r w:rsidRPr="008B0EF4">
        <w:rPr>
          <w:szCs w:val="18"/>
        </w:rPr>
        <w:t xml:space="preserve">See </w:t>
      </w:r>
      <w:r>
        <w:rPr>
          <w:szCs w:val="18"/>
        </w:rPr>
        <w:t xml:space="preserve">the </w:t>
      </w:r>
      <w:r w:rsidRPr="008B0EF4">
        <w:rPr>
          <w:szCs w:val="18"/>
        </w:rPr>
        <w:t xml:space="preserve">statement </w:t>
      </w:r>
      <w:r>
        <w:rPr>
          <w:szCs w:val="18"/>
        </w:rPr>
        <w:t>by the</w:t>
      </w:r>
      <w:r w:rsidRPr="008B0EF4">
        <w:rPr>
          <w:szCs w:val="18"/>
        </w:rPr>
        <w:t xml:space="preserve"> Minister of National Defence of Turkey</w:t>
      </w:r>
      <w:r>
        <w:rPr>
          <w:szCs w:val="18"/>
        </w:rPr>
        <w:t>,</w:t>
      </w:r>
      <w:r w:rsidRPr="008B0EF4">
        <w:rPr>
          <w:szCs w:val="18"/>
        </w:rPr>
        <w:t xml:space="preserve"> on 21 November</w:t>
      </w:r>
      <w:r>
        <w:rPr>
          <w:szCs w:val="18"/>
        </w:rPr>
        <w:t xml:space="preserve"> 2019, to</w:t>
      </w:r>
      <w:r w:rsidRPr="008B0EF4">
        <w:rPr>
          <w:szCs w:val="18"/>
        </w:rPr>
        <w:t xml:space="preserve"> the Parliament</w:t>
      </w:r>
      <w:r>
        <w:rPr>
          <w:szCs w:val="18"/>
        </w:rPr>
        <w:t xml:space="preserve">ary </w:t>
      </w:r>
      <w:r w:rsidRPr="008B0EF4">
        <w:rPr>
          <w:szCs w:val="18"/>
        </w:rPr>
        <w:t>Budget Committee</w:t>
      </w:r>
      <w:r>
        <w:rPr>
          <w:szCs w:val="18"/>
        </w:rPr>
        <w:t xml:space="preserve">. Available at </w:t>
      </w:r>
      <w:hyperlink r:id="rId6" w:history="1">
        <w:r w:rsidRPr="00B212DA">
          <w:rPr>
            <w:rStyle w:val="Hyperlink"/>
            <w:szCs w:val="18"/>
          </w:rPr>
          <w:t>www.youtube.com/watch?v=H8h9-5AEzZQ</w:t>
        </w:r>
      </w:hyperlink>
      <w:r>
        <w:rPr>
          <w:szCs w:val="18"/>
        </w:rPr>
        <w:t>.</w:t>
      </w:r>
    </w:p>
  </w:footnote>
  <w:footnote w:id="30">
    <w:p w14:paraId="49C9D395" w14:textId="21836E97" w:rsidR="0024069C" w:rsidRPr="008B0EF4" w:rsidRDefault="0024069C">
      <w:pPr>
        <w:pStyle w:val="FootnoteText"/>
      </w:pPr>
      <w:r w:rsidRPr="008B0EF4">
        <w:tab/>
      </w:r>
      <w:r w:rsidRPr="008B0EF4">
        <w:rPr>
          <w:rStyle w:val="FootnoteReference"/>
        </w:rPr>
        <w:footnoteRef/>
      </w:r>
      <w:r w:rsidRPr="008B0EF4">
        <w:t xml:space="preserve"> </w:t>
      </w:r>
      <w:r w:rsidRPr="008B0EF4">
        <w:tab/>
        <w:t xml:space="preserve">In meetings with the Commission, </w:t>
      </w:r>
      <w:r>
        <w:t>the</w:t>
      </w:r>
      <w:r w:rsidRPr="008B0EF4">
        <w:t xml:space="preserve"> leadership </w:t>
      </w:r>
      <w:r>
        <w:t xml:space="preserve">of the </w:t>
      </w:r>
      <w:r w:rsidRPr="00D6133C">
        <w:t xml:space="preserve">Syrian National Army </w:t>
      </w:r>
      <w:r w:rsidRPr="008B0EF4">
        <w:t xml:space="preserve">indicated that individuals </w:t>
      </w:r>
      <w:proofErr w:type="gramStart"/>
      <w:r w:rsidRPr="008B0EF4">
        <w:t>had been arrested</w:t>
      </w:r>
      <w:proofErr w:type="gramEnd"/>
      <w:r w:rsidRPr="008B0EF4">
        <w:t xml:space="preserve"> in connection with this incident.</w:t>
      </w:r>
    </w:p>
  </w:footnote>
  <w:footnote w:id="31">
    <w:p w14:paraId="5EC6CA8D" w14:textId="64C12DF8" w:rsidR="0024069C" w:rsidRPr="008B0EF4" w:rsidRDefault="0024069C">
      <w:pPr>
        <w:pStyle w:val="FootnoteText"/>
      </w:pPr>
      <w:r w:rsidRPr="008B0EF4">
        <w:tab/>
      </w:r>
      <w:r w:rsidRPr="008B0EF4">
        <w:rPr>
          <w:rStyle w:val="FootnoteReference"/>
        </w:rPr>
        <w:footnoteRef/>
      </w:r>
      <w:r w:rsidRPr="008B0EF4">
        <w:t xml:space="preserve"> </w:t>
      </w:r>
      <w:r w:rsidRPr="008B0EF4">
        <w:tab/>
      </w:r>
      <w:r>
        <w:t xml:space="preserve">Rome </w:t>
      </w:r>
      <w:r w:rsidRPr="008B0EF4">
        <w:rPr>
          <w:szCs w:val="18"/>
        </w:rPr>
        <w:t xml:space="preserve">Statute of the International Criminal Court, </w:t>
      </w:r>
      <w:r>
        <w:rPr>
          <w:szCs w:val="18"/>
        </w:rPr>
        <w:t>a</w:t>
      </w:r>
      <w:r w:rsidRPr="008B0EF4">
        <w:rPr>
          <w:szCs w:val="18"/>
        </w:rPr>
        <w:t>rt</w:t>
      </w:r>
      <w:r>
        <w:rPr>
          <w:szCs w:val="18"/>
        </w:rPr>
        <w:t>.</w:t>
      </w:r>
      <w:r w:rsidRPr="008B0EF4">
        <w:rPr>
          <w:szCs w:val="18"/>
        </w:rPr>
        <w:t xml:space="preserve"> 28. See also </w:t>
      </w:r>
      <w:proofErr w:type="spellStart"/>
      <w:r w:rsidRPr="008B0EF4">
        <w:rPr>
          <w:szCs w:val="18"/>
        </w:rPr>
        <w:t>Henckaerts</w:t>
      </w:r>
      <w:proofErr w:type="spellEnd"/>
      <w:r w:rsidRPr="008B0EF4">
        <w:rPr>
          <w:szCs w:val="18"/>
        </w:rPr>
        <w:t xml:space="preserve"> and </w:t>
      </w:r>
      <w:proofErr w:type="spellStart"/>
      <w:r w:rsidRPr="008B0EF4">
        <w:rPr>
          <w:szCs w:val="18"/>
        </w:rPr>
        <w:t>Doswald</w:t>
      </w:r>
      <w:proofErr w:type="spellEnd"/>
      <w:r w:rsidRPr="008B0EF4">
        <w:rPr>
          <w:szCs w:val="18"/>
        </w:rPr>
        <w:t xml:space="preserve">-Beck, </w:t>
      </w:r>
      <w:r w:rsidRPr="00B27A79">
        <w:rPr>
          <w:i/>
          <w:iCs/>
          <w:szCs w:val="18"/>
        </w:rPr>
        <w:t xml:space="preserve">Customary International Humanitarian </w:t>
      </w:r>
      <w:r w:rsidRPr="00D6133C">
        <w:rPr>
          <w:szCs w:val="18"/>
        </w:rPr>
        <w:t>Law</w:t>
      </w:r>
      <w:r>
        <w:rPr>
          <w:szCs w:val="18"/>
        </w:rPr>
        <w:t>,</w:t>
      </w:r>
      <w:r w:rsidRPr="008B0EF4">
        <w:rPr>
          <w:szCs w:val="18"/>
        </w:rPr>
        <w:t xml:space="preserve"> </w:t>
      </w:r>
      <w:r>
        <w:rPr>
          <w:szCs w:val="18"/>
        </w:rPr>
        <w:t>r</w:t>
      </w:r>
      <w:r w:rsidRPr="008B0EF4">
        <w:rPr>
          <w:szCs w:val="18"/>
        </w:rPr>
        <w:t>ule 153.</w:t>
      </w:r>
    </w:p>
  </w:footnote>
  <w:footnote w:id="32">
    <w:p w14:paraId="0B5571BF" w14:textId="3AC26BD9" w:rsidR="0024069C" w:rsidRPr="008B0EF4" w:rsidRDefault="0024069C">
      <w:pPr>
        <w:pStyle w:val="FootnoteText"/>
      </w:pPr>
      <w:r w:rsidRPr="008B0EF4">
        <w:tab/>
      </w:r>
      <w:r w:rsidRPr="008B0EF4">
        <w:rPr>
          <w:rStyle w:val="FootnoteReference"/>
        </w:rPr>
        <w:footnoteRef/>
      </w:r>
      <w:r w:rsidRPr="008B0EF4">
        <w:t xml:space="preserve"> </w:t>
      </w:r>
      <w:r w:rsidRPr="008B0EF4">
        <w:tab/>
      </w:r>
      <w:r w:rsidRPr="008B0EF4">
        <w:rPr>
          <w:szCs w:val="18"/>
        </w:rPr>
        <w:t xml:space="preserve">See </w:t>
      </w:r>
      <w:proofErr w:type="spellStart"/>
      <w:r w:rsidRPr="008B0EF4">
        <w:rPr>
          <w:szCs w:val="18"/>
        </w:rPr>
        <w:t>Henckaerts</w:t>
      </w:r>
      <w:proofErr w:type="spellEnd"/>
      <w:r w:rsidRPr="008B0EF4">
        <w:rPr>
          <w:szCs w:val="18"/>
        </w:rPr>
        <w:t xml:space="preserve"> and </w:t>
      </w:r>
      <w:proofErr w:type="spellStart"/>
      <w:r w:rsidRPr="008B0EF4">
        <w:rPr>
          <w:szCs w:val="18"/>
        </w:rPr>
        <w:t>Doswald</w:t>
      </w:r>
      <w:proofErr w:type="spellEnd"/>
      <w:r w:rsidRPr="008B0EF4">
        <w:rPr>
          <w:szCs w:val="18"/>
        </w:rPr>
        <w:t xml:space="preserve">-Beck, </w:t>
      </w:r>
      <w:r w:rsidRPr="00B27A79">
        <w:rPr>
          <w:i/>
          <w:iCs/>
          <w:szCs w:val="18"/>
        </w:rPr>
        <w:t xml:space="preserve">Customary International Humanitarian </w:t>
      </w:r>
      <w:r w:rsidRPr="00D6133C">
        <w:rPr>
          <w:szCs w:val="18"/>
        </w:rPr>
        <w:t>Law</w:t>
      </w:r>
      <w:r>
        <w:rPr>
          <w:szCs w:val="18"/>
        </w:rPr>
        <w:t>,</w:t>
      </w:r>
      <w:r w:rsidRPr="008B0EF4">
        <w:rPr>
          <w:szCs w:val="18"/>
        </w:rPr>
        <w:t xml:space="preserve"> </w:t>
      </w:r>
      <w:r>
        <w:rPr>
          <w:szCs w:val="18"/>
        </w:rPr>
        <w:t>r</w:t>
      </w:r>
      <w:r w:rsidRPr="008B0EF4">
        <w:rPr>
          <w:szCs w:val="18"/>
        </w:rPr>
        <w:t>ule</w:t>
      </w:r>
      <w:r>
        <w:rPr>
          <w:szCs w:val="18"/>
        </w:rPr>
        <w:t>s</w:t>
      </w:r>
      <w:r w:rsidRPr="008B0EF4">
        <w:rPr>
          <w:szCs w:val="18"/>
        </w:rPr>
        <w:t xml:space="preserve"> 88 and 118.</w:t>
      </w:r>
    </w:p>
  </w:footnote>
  <w:footnote w:id="33">
    <w:p w14:paraId="67F95CCA" w14:textId="35538D6D" w:rsidR="0024069C" w:rsidRPr="008B0EF4" w:rsidRDefault="0024069C">
      <w:pPr>
        <w:pStyle w:val="FootnoteText"/>
      </w:pPr>
      <w:r w:rsidRPr="008B0EF4">
        <w:tab/>
      </w:r>
      <w:r w:rsidRPr="008B0EF4">
        <w:rPr>
          <w:rStyle w:val="FootnoteReference"/>
        </w:rPr>
        <w:footnoteRef/>
      </w:r>
      <w:r w:rsidRPr="008B0EF4">
        <w:t xml:space="preserve"> </w:t>
      </w:r>
      <w:r w:rsidRPr="008B0EF4">
        <w:tab/>
      </w:r>
      <w:r w:rsidRPr="008B0EF4">
        <w:rPr>
          <w:szCs w:val="18"/>
        </w:rPr>
        <w:t>A/HRC/37/72</w:t>
      </w:r>
      <w:r>
        <w:rPr>
          <w:szCs w:val="18"/>
        </w:rPr>
        <w:t>,</w:t>
      </w:r>
      <w:r w:rsidRPr="008B0EF4">
        <w:rPr>
          <w:szCs w:val="18"/>
        </w:rPr>
        <w:t xml:space="preserve"> </w:t>
      </w:r>
      <w:r>
        <w:rPr>
          <w:szCs w:val="18"/>
        </w:rPr>
        <w:t>a</w:t>
      </w:r>
      <w:r w:rsidRPr="008B0EF4">
        <w:rPr>
          <w:szCs w:val="18"/>
        </w:rPr>
        <w:t>nnex III</w:t>
      </w:r>
      <w:r>
        <w:rPr>
          <w:szCs w:val="18"/>
        </w:rPr>
        <w:t>, paras. 12–18</w:t>
      </w:r>
      <w:r w:rsidRPr="008B0EF4">
        <w:rPr>
          <w:szCs w:val="18"/>
        </w:rPr>
        <w:t>.</w:t>
      </w:r>
    </w:p>
  </w:footnote>
  <w:footnote w:id="34">
    <w:p w14:paraId="64699842" w14:textId="0A3C242C" w:rsidR="0024069C" w:rsidRPr="008B0EF4" w:rsidRDefault="0024069C">
      <w:pPr>
        <w:pStyle w:val="FootnoteText"/>
      </w:pPr>
      <w:r w:rsidRPr="008B0EF4">
        <w:tab/>
      </w:r>
      <w:r w:rsidRPr="008B0EF4">
        <w:rPr>
          <w:rStyle w:val="FootnoteReference"/>
        </w:rPr>
        <w:footnoteRef/>
      </w:r>
      <w:r w:rsidRPr="008B0EF4">
        <w:t xml:space="preserve"> </w:t>
      </w:r>
      <w:r w:rsidRPr="008B0EF4">
        <w:tab/>
      </w:r>
      <w:r w:rsidRPr="008B0EF4">
        <w:rPr>
          <w:szCs w:val="18"/>
        </w:rPr>
        <w:t xml:space="preserve">See </w:t>
      </w:r>
      <w:proofErr w:type="spellStart"/>
      <w:r w:rsidRPr="008B0EF4">
        <w:rPr>
          <w:szCs w:val="18"/>
        </w:rPr>
        <w:t>Henckaerts</w:t>
      </w:r>
      <w:proofErr w:type="spellEnd"/>
      <w:r w:rsidRPr="008B0EF4">
        <w:rPr>
          <w:szCs w:val="18"/>
        </w:rPr>
        <w:t xml:space="preserve"> and </w:t>
      </w:r>
      <w:proofErr w:type="spellStart"/>
      <w:r w:rsidRPr="008B0EF4">
        <w:rPr>
          <w:szCs w:val="18"/>
        </w:rPr>
        <w:t>Doswald</w:t>
      </w:r>
      <w:proofErr w:type="spellEnd"/>
      <w:r w:rsidRPr="008B0EF4">
        <w:rPr>
          <w:szCs w:val="18"/>
        </w:rPr>
        <w:t xml:space="preserve">-Beck, </w:t>
      </w:r>
      <w:r w:rsidRPr="00B27A79">
        <w:rPr>
          <w:i/>
          <w:iCs/>
          <w:szCs w:val="18"/>
        </w:rPr>
        <w:t xml:space="preserve">Customary International Humanitarian </w:t>
      </w:r>
      <w:r w:rsidRPr="00B27A79">
        <w:rPr>
          <w:szCs w:val="18"/>
        </w:rPr>
        <w:t>Law</w:t>
      </w:r>
      <w:r>
        <w:rPr>
          <w:szCs w:val="18"/>
        </w:rPr>
        <w:t>,</w:t>
      </w:r>
      <w:r w:rsidRPr="008B0EF4">
        <w:rPr>
          <w:szCs w:val="18"/>
        </w:rPr>
        <w:t xml:space="preserve"> </w:t>
      </w:r>
      <w:r>
        <w:rPr>
          <w:szCs w:val="18"/>
        </w:rPr>
        <w:t>r</w:t>
      </w:r>
      <w:r w:rsidRPr="008B0EF4">
        <w:rPr>
          <w:szCs w:val="18"/>
        </w:rPr>
        <w:t>ule 122.</w:t>
      </w:r>
    </w:p>
  </w:footnote>
  <w:footnote w:id="35">
    <w:p w14:paraId="420304E0" w14:textId="2FA0D9BF" w:rsidR="0024069C" w:rsidRPr="008B0EF4" w:rsidRDefault="0024069C">
      <w:pPr>
        <w:pStyle w:val="FootnoteText"/>
      </w:pPr>
      <w:r w:rsidRPr="008B0EF4">
        <w:tab/>
      </w:r>
      <w:r w:rsidRPr="008B0EF4">
        <w:rPr>
          <w:rStyle w:val="FootnoteReference"/>
        </w:rPr>
        <w:footnoteRef/>
      </w:r>
      <w:r w:rsidRPr="008B0EF4">
        <w:t xml:space="preserve"> </w:t>
      </w:r>
      <w:r w:rsidRPr="008B0EF4">
        <w:tab/>
      </w:r>
      <w:r w:rsidRPr="008B0EF4">
        <w:rPr>
          <w:szCs w:val="18"/>
        </w:rPr>
        <w:t xml:space="preserve">As of the </w:t>
      </w:r>
      <w:r>
        <w:rPr>
          <w:szCs w:val="18"/>
        </w:rPr>
        <w:t>date of submission</w:t>
      </w:r>
      <w:r w:rsidRPr="008B0EF4">
        <w:rPr>
          <w:szCs w:val="18"/>
        </w:rPr>
        <w:t xml:space="preserve"> of th</w:t>
      </w:r>
      <w:r>
        <w:rPr>
          <w:szCs w:val="18"/>
        </w:rPr>
        <w:t>e present</w:t>
      </w:r>
      <w:r w:rsidRPr="008B0EF4">
        <w:rPr>
          <w:szCs w:val="18"/>
        </w:rPr>
        <w:t xml:space="preserve"> report, no response </w:t>
      </w:r>
      <w:proofErr w:type="gramStart"/>
      <w:r w:rsidRPr="008B0EF4">
        <w:rPr>
          <w:szCs w:val="18"/>
        </w:rPr>
        <w:t>ha</w:t>
      </w:r>
      <w:r>
        <w:rPr>
          <w:szCs w:val="18"/>
        </w:rPr>
        <w:t>d</w:t>
      </w:r>
      <w:r w:rsidRPr="008B0EF4">
        <w:rPr>
          <w:szCs w:val="18"/>
        </w:rPr>
        <w:t xml:space="preserve"> been received</w:t>
      </w:r>
      <w:proofErr w:type="gramEnd"/>
      <w:r w:rsidRPr="008B0EF4">
        <w:rPr>
          <w:szCs w:val="18"/>
        </w:rPr>
        <w:t xml:space="preserve"> from </w:t>
      </w:r>
      <w:r>
        <w:rPr>
          <w:szCs w:val="18"/>
        </w:rPr>
        <w:t xml:space="preserve">the </w:t>
      </w:r>
      <w:r w:rsidRPr="00D6133C">
        <w:rPr>
          <w:szCs w:val="18"/>
        </w:rPr>
        <w:t>Syrian Democratic Forces</w:t>
      </w:r>
      <w:r>
        <w:rPr>
          <w:sz w:val="20"/>
          <w:lang w:eastAsia="en-US"/>
        </w:rPr>
        <w:t xml:space="preserve"> </w:t>
      </w:r>
      <w:r w:rsidRPr="008B0EF4">
        <w:rPr>
          <w:szCs w:val="18"/>
        </w:rPr>
        <w:t>regarding these incidents.</w:t>
      </w:r>
    </w:p>
  </w:footnote>
  <w:footnote w:id="36">
    <w:p w14:paraId="08DEEA9B" w14:textId="035EBC7D" w:rsidR="0024069C" w:rsidRPr="008B0EF4" w:rsidRDefault="0024069C" w:rsidP="000C0114">
      <w:pPr>
        <w:pStyle w:val="FootnoteText"/>
        <w:rPr>
          <w:szCs w:val="18"/>
        </w:rPr>
      </w:pPr>
      <w:r w:rsidRPr="008B0EF4">
        <w:rPr>
          <w:szCs w:val="18"/>
        </w:rPr>
        <w:tab/>
      </w:r>
      <w:r w:rsidRPr="008B0EF4">
        <w:rPr>
          <w:rStyle w:val="FootnoteReference"/>
          <w:szCs w:val="18"/>
        </w:rPr>
        <w:footnoteRef/>
      </w:r>
      <w:r w:rsidRPr="008B0EF4">
        <w:rPr>
          <w:szCs w:val="18"/>
        </w:rPr>
        <w:t xml:space="preserve"> </w:t>
      </w:r>
      <w:r w:rsidRPr="008B0EF4">
        <w:rPr>
          <w:szCs w:val="18"/>
        </w:rPr>
        <w:tab/>
      </w:r>
      <w:r w:rsidRPr="00617105">
        <w:rPr>
          <w:szCs w:val="18"/>
        </w:rPr>
        <w:t>The Commission has already documented a pattern of enforced disappearances. Relatives continue to</w:t>
      </w:r>
      <w:r w:rsidRPr="008B0EF4">
        <w:rPr>
          <w:szCs w:val="18"/>
        </w:rPr>
        <w:t xml:space="preserve"> pay large sums of money to </w:t>
      </w:r>
      <w:r>
        <w:rPr>
          <w:szCs w:val="18"/>
        </w:rPr>
        <w:t>intermediaries</w:t>
      </w:r>
      <w:r w:rsidRPr="008B0EF4">
        <w:rPr>
          <w:szCs w:val="18"/>
        </w:rPr>
        <w:t xml:space="preserve"> and individuals representing the State for information on the whereabouts of disappeared persons. </w:t>
      </w:r>
      <w:r w:rsidRPr="008B0EF4">
        <w:rPr>
          <w:iCs/>
          <w:szCs w:val="18"/>
        </w:rPr>
        <w:t>See</w:t>
      </w:r>
      <w:r>
        <w:rPr>
          <w:iCs/>
          <w:szCs w:val="18"/>
        </w:rPr>
        <w:t>, for example, the conference room paper</w:t>
      </w:r>
      <w:r w:rsidRPr="0024069C">
        <w:rPr>
          <w:iCs/>
          <w:szCs w:val="18"/>
        </w:rPr>
        <w:t xml:space="preserve"> </w:t>
      </w:r>
      <w:r>
        <w:rPr>
          <w:iCs/>
          <w:szCs w:val="18"/>
        </w:rPr>
        <w:t>“</w:t>
      </w:r>
      <w:r w:rsidRPr="00D6133C">
        <w:rPr>
          <w:iCs/>
          <w:szCs w:val="18"/>
        </w:rPr>
        <w:t xml:space="preserve">Out of sight, out of mind: deaths in detention in the </w:t>
      </w:r>
      <w:r>
        <w:rPr>
          <w:iCs/>
          <w:szCs w:val="18"/>
        </w:rPr>
        <w:t>S</w:t>
      </w:r>
      <w:r w:rsidRPr="00D6133C">
        <w:rPr>
          <w:iCs/>
          <w:szCs w:val="18"/>
        </w:rPr>
        <w:t xml:space="preserve">yrian </w:t>
      </w:r>
      <w:r>
        <w:rPr>
          <w:iCs/>
          <w:szCs w:val="18"/>
        </w:rPr>
        <w:t>A</w:t>
      </w:r>
      <w:r w:rsidRPr="00D6133C">
        <w:rPr>
          <w:iCs/>
          <w:szCs w:val="18"/>
        </w:rPr>
        <w:t xml:space="preserve">rab </w:t>
      </w:r>
      <w:r>
        <w:rPr>
          <w:iCs/>
          <w:szCs w:val="18"/>
        </w:rPr>
        <w:t>R</w:t>
      </w:r>
      <w:r w:rsidRPr="00D6133C">
        <w:rPr>
          <w:iCs/>
          <w:szCs w:val="18"/>
        </w:rPr>
        <w:t>epublic</w:t>
      </w:r>
      <w:r>
        <w:rPr>
          <w:iCs/>
          <w:szCs w:val="18"/>
        </w:rPr>
        <w:t>”</w:t>
      </w:r>
      <w:r w:rsidRPr="0024069C">
        <w:rPr>
          <w:iCs/>
          <w:szCs w:val="18"/>
        </w:rPr>
        <w:t xml:space="preserve"> </w:t>
      </w:r>
      <w:r>
        <w:rPr>
          <w:iCs/>
          <w:szCs w:val="18"/>
        </w:rPr>
        <w:t>(</w:t>
      </w:r>
      <w:r w:rsidRPr="008B0EF4">
        <w:rPr>
          <w:szCs w:val="18"/>
        </w:rPr>
        <w:t>A/HRC/31/CRP.1</w:t>
      </w:r>
      <w:r>
        <w:rPr>
          <w:szCs w:val="18"/>
        </w:rPr>
        <w:t xml:space="preserve">). </w:t>
      </w:r>
      <w:r>
        <w:t xml:space="preserve">Available from </w:t>
      </w:r>
      <w:r>
        <w:rPr>
          <w:szCs w:val="18"/>
        </w:rPr>
        <w:t>www.ohchr.org/EN/HRBodies/HRC/IICISyria/Pages/Documentation.aspx.</w:t>
      </w:r>
      <w:r w:rsidRPr="008B0EF4">
        <w:rPr>
          <w:szCs w:val="18"/>
        </w:rPr>
        <w:t xml:space="preserve"> </w:t>
      </w:r>
    </w:p>
  </w:footnote>
  <w:footnote w:id="37">
    <w:p w14:paraId="6ADAFEFE" w14:textId="78B4184D" w:rsidR="0024069C" w:rsidRPr="008B0EF4" w:rsidRDefault="0024069C">
      <w:pPr>
        <w:pStyle w:val="FootnoteText"/>
      </w:pPr>
      <w:r w:rsidRPr="008B0EF4">
        <w:tab/>
      </w:r>
      <w:r w:rsidRPr="008B0EF4">
        <w:rPr>
          <w:rStyle w:val="FootnoteReference"/>
        </w:rPr>
        <w:footnoteRef/>
      </w:r>
      <w:r w:rsidRPr="008B0EF4">
        <w:t xml:space="preserve"> </w:t>
      </w:r>
      <w:r w:rsidRPr="008B0EF4">
        <w:tab/>
        <w:t xml:space="preserve">See </w:t>
      </w:r>
      <w:r w:rsidRPr="008B0EF4">
        <w:rPr>
          <w:szCs w:val="18"/>
        </w:rPr>
        <w:t xml:space="preserve">Legislative Decree </w:t>
      </w:r>
      <w:r>
        <w:rPr>
          <w:szCs w:val="18"/>
        </w:rPr>
        <w:t xml:space="preserve">No. </w:t>
      </w:r>
      <w:r w:rsidRPr="008B0EF4">
        <w:rPr>
          <w:szCs w:val="18"/>
        </w:rPr>
        <w:t xml:space="preserve">30 of 2007, </w:t>
      </w:r>
      <w:r>
        <w:rPr>
          <w:szCs w:val="18"/>
        </w:rPr>
        <w:t>a</w:t>
      </w:r>
      <w:r w:rsidRPr="008B0EF4">
        <w:rPr>
          <w:szCs w:val="18"/>
        </w:rPr>
        <w:t>rt</w:t>
      </w:r>
      <w:r>
        <w:rPr>
          <w:szCs w:val="18"/>
        </w:rPr>
        <w:t>.</w:t>
      </w:r>
      <w:r w:rsidRPr="008B0EF4">
        <w:rPr>
          <w:szCs w:val="18"/>
        </w:rPr>
        <w:t xml:space="preserve"> </w:t>
      </w:r>
      <w:proofErr w:type="gramStart"/>
      <w:r w:rsidRPr="008B0EF4">
        <w:rPr>
          <w:szCs w:val="18"/>
        </w:rPr>
        <w:t>10</w:t>
      </w:r>
      <w:proofErr w:type="gramEnd"/>
      <w:r w:rsidRPr="008B0EF4">
        <w:rPr>
          <w:szCs w:val="18"/>
        </w:rPr>
        <w:t xml:space="preserve"> (A).</w:t>
      </w:r>
    </w:p>
  </w:footnote>
  <w:footnote w:id="38">
    <w:p w14:paraId="6E754970" w14:textId="77777777" w:rsidR="0024069C" w:rsidRPr="008B0EF4" w:rsidRDefault="0024069C" w:rsidP="000C0114">
      <w:pPr>
        <w:pStyle w:val="FootnoteText"/>
        <w:rPr>
          <w:szCs w:val="18"/>
        </w:rPr>
      </w:pPr>
      <w:r w:rsidRPr="008B0EF4">
        <w:rPr>
          <w:szCs w:val="18"/>
        </w:rPr>
        <w:tab/>
      </w:r>
      <w:r w:rsidRPr="008B0EF4">
        <w:rPr>
          <w:rStyle w:val="FootnoteReference"/>
          <w:szCs w:val="18"/>
        </w:rPr>
        <w:footnoteRef/>
      </w:r>
      <w:r w:rsidRPr="008B0EF4">
        <w:rPr>
          <w:szCs w:val="18"/>
        </w:rPr>
        <w:t xml:space="preserve"> </w:t>
      </w:r>
      <w:r w:rsidRPr="008B0EF4">
        <w:rPr>
          <w:szCs w:val="18"/>
        </w:rPr>
        <w:tab/>
        <w:t>Protection concerns prevent the Commission from providing additional details.</w:t>
      </w:r>
    </w:p>
  </w:footnote>
  <w:footnote w:id="39">
    <w:p w14:paraId="248F2E92" w14:textId="077ABCBB" w:rsidR="0024069C" w:rsidRPr="008B0EF4" w:rsidRDefault="0024069C">
      <w:pPr>
        <w:pStyle w:val="FootnoteText"/>
      </w:pPr>
      <w:r w:rsidRPr="008B0EF4">
        <w:tab/>
      </w:r>
      <w:r w:rsidRPr="008B0EF4">
        <w:rPr>
          <w:rStyle w:val="FootnoteReference"/>
        </w:rPr>
        <w:footnoteRef/>
      </w:r>
      <w:r w:rsidRPr="008B0EF4">
        <w:t xml:space="preserve"> </w:t>
      </w:r>
      <w:r w:rsidRPr="008B0EF4">
        <w:tab/>
      </w:r>
      <w:r w:rsidRPr="008B0EF4">
        <w:rPr>
          <w:szCs w:val="18"/>
        </w:rPr>
        <w:t xml:space="preserve">For example, Decree </w:t>
      </w:r>
      <w:r>
        <w:rPr>
          <w:szCs w:val="18"/>
        </w:rPr>
        <w:t xml:space="preserve">No. </w:t>
      </w:r>
      <w:r w:rsidRPr="008B0EF4">
        <w:rPr>
          <w:szCs w:val="18"/>
        </w:rPr>
        <w:t>20 of 15 September 2019.</w:t>
      </w:r>
    </w:p>
  </w:footnote>
  <w:footnote w:id="40">
    <w:p w14:paraId="23FA6BA3" w14:textId="30152BC6" w:rsidR="0024069C" w:rsidRPr="008B0EF4" w:rsidRDefault="0024069C">
      <w:pPr>
        <w:pStyle w:val="FootnoteText"/>
      </w:pPr>
      <w:r w:rsidRPr="008B0EF4">
        <w:tab/>
      </w:r>
      <w:r w:rsidRPr="008B0EF4">
        <w:rPr>
          <w:rStyle w:val="FootnoteReference"/>
        </w:rPr>
        <w:footnoteRef/>
      </w:r>
      <w:r w:rsidRPr="008B0EF4">
        <w:t xml:space="preserve"> </w:t>
      </w:r>
      <w:r w:rsidRPr="008B0EF4">
        <w:tab/>
        <w:t xml:space="preserve">Interviewees informed the Commission that the north-west of </w:t>
      </w:r>
      <w:proofErr w:type="spellStart"/>
      <w:r w:rsidRPr="008B0EF4">
        <w:t>Dar’a</w:t>
      </w:r>
      <w:proofErr w:type="spellEnd"/>
      <w:r w:rsidRPr="008B0EF4">
        <w:t xml:space="preserve"> was under the control of State </w:t>
      </w:r>
      <w:r>
        <w:t>s</w:t>
      </w:r>
      <w:r w:rsidRPr="008B0EF4">
        <w:t xml:space="preserve">ecurity, the north under the control of </w:t>
      </w:r>
      <w:r w:rsidR="00072706" w:rsidRPr="008B0EF4">
        <w:t>political security</w:t>
      </w:r>
      <w:r w:rsidRPr="008B0EF4">
        <w:t>.</w:t>
      </w:r>
    </w:p>
  </w:footnote>
  <w:footnote w:id="41">
    <w:p w14:paraId="59000276" w14:textId="6FEB3174" w:rsidR="0024069C" w:rsidRPr="008B0EF4" w:rsidRDefault="0024069C">
      <w:pPr>
        <w:pStyle w:val="FootnoteText"/>
      </w:pPr>
      <w:r w:rsidRPr="008B0EF4">
        <w:tab/>
      </w:r>
      <w:r w:rsidRPr="008B0EF4">
        <w:rPr>
          <w:rStyle w:val="FootnoteReference"/>
        </w:rPr>
        <w:footnoteRef/>
      </w:r>
      <w:r w:rsidRPr="008B0EF4">
        <w:t xml:space="preserve"> </w:t>
      </w:r>
      <w:r w:rsidRPr="008B0EF4">
        <w:tab/>
        <w:t xml:space="preserve">Interviewees informed the commission that Duma was under the control of State </w:t>
      </w:r>
      <w:r>
        <w:t>s</w:t>
      </w:r>
      <w:r w:rsidRPr="008B0EF4">
        <w:t>ecurity, </w:t>
      </w:r>
      <w:proofErr w:type="spellStart"/>
      <w:r w:rsidRPr="008B0EF4">
        <w:t>M</w:t>
      </w:r>
      <w:r>
        <w:t>i</w:t>
      </w:r>
      <w:r w:rsidRPr="008B0EF4">
        <w:t>sraba</w:t>
      </w:r>
      <w:proofErr w:type="spellEnd"/>
      <w:r w:rsidRPr="008B0EF4">
        <w:t xml:space="preserve"> and </w:t>
      </w:r>
      <w:proofErr w:type="spellStart"/>
      <w:r w:rsidRPr="008B0EF4">
        <w:t>Harasta</w:t>
      </w:r>
      <w:proofErr w:type="spellEnd"/>
      <w:r w:rsidRPr="008B0EF4">
        <w:t xml:space="preserve"> under the control of the Fourth Division of the </w:t>
      </w:r>
      <w:r w:rsidR="00072706" w:rsidRPr="008B0EF4">
        <w:t>S</w:t>
      </w:r>
      <w:r w:rsidR="00072706">
        <w:t>yrian Arab Army</w:t>
      </w:r>
      <w:r w:rsidRPr="008B0EF4">
        <w:t xml:space="preserve">, and </w:t>
      </w:r>
      <w:proofErr w:type="spellStart"/>
      <w:r w:rsidRPr="008B0EF4">
        <w:t>Irb</w:t>
      </w:r>
      <w:r>
        <w:t>i</w:t>
      </w:r>
      <w:r w:rsidRPr="008B0EF4">
        <w:t>n</w:t>
      </w:r>
      <w:proofErr w:type="spellEnd"/>
      <w:r w:rsidRPr="008B0EF4">
        <w:t>, B</w:t>
      </w:r>
      <w:r>
        <w:t>ay</w:t>
      </w:r>
      <w:r w:rsidRPr="008B0EF4">
        <w:t xml:space="preserve">t </w:t>
      </w:r>
      <w:proofErr w:type="spellStart"/>
      <w:r w:rsidRPr="008B0EF4">
        <w:t>S</w:t>
      </w:r>
      <w:r>
        <w:t>i</w:t>
      </w:r>
      <w:r w:rsidRPr="008B0EF4">
        <w:t>wa</w:t>
      </w:r>
      <w:proofErr w:type="spellEnd"/>
      <w:r w:rsidRPr="008B0EF4">
        <w:t xml:space="preserve">, </w:t>
      </w:r>
      <w:proofErr w:type="spellStart"/>
      <w:r w:rsidRPr="008B0EF4">
        <w:t>Hamm</w:t>
      </w:r>
      <w:r>
        <w:t>urah</w:t>
      </w:r>
      <w:proofErr w:type="spellEnd"/>
      <w:r w:rsidRPr="008B0EF4">
        <w:t xml:space="preserve"> and </w:t>
      </w:r>
      <w:proofErr w:type="spellStart"/>
      <w:r w:rsidRPr="008B0EF4">
        <w:t>Kafr</w:t>
      </w:r>
      <w:proofErr w:type="spellEnd"/>
      <w:r w:rsidRPr="008B0EF4">
        <w:t xml:space="preserve"> </w:t>
      </w:r>
      <w:proofErr w:type="spellStart"/>
      <w:r w:rsidRPr="008B0EF4">
        <w:t>Batna</w:t>
      </w:r>
      <w:proofErr w:type="spellEnd"/>
      <w:r w:rsidRPr="008B0EF4">
        <w:t xml:space="preserve"> controlled by Military Security.</w:t>
      </w:r>
    </w:p>
  </w:footnote>
  <w:footnote w:id="42">
    <w:p w14:paraId="706B562F" w14:textId="71E2AA6E" w:rsidR="0024069C" w:rsidRPr="008B0EF4" w:rsidRDefault="0024069C">
      <w:pPr>
        <w:pStyle w:val="FootnoteText"/>
      </w:pPr>
      <w:r w:rsidRPr="008B0EF4">
        <w:tab/>
      </w:r>
      <w:r w:rsidRPr="008B0EF4">
        <w:rPr>
          <w:rStyle w:val="FootnoteReference"/>
        </w:rPr>
        <w:footnoteRef/>
      </w:r>
      <w:r w:rsidRPr="008B0EF4">
        <w:t xml:space="preserve"> </w:t>
      </w:r>
      <w:r w:rsidRPr="008B0EF4">
        <w:tab/>
        <w:t>A/HRC</w:t>
      </w:r>
      <w:r>
        <w:t>/</w:t>
      </w:r>
      <w:r w:rsidRPr="008B0EF4">
        <w:t>40/70, paras. 80</w:t>
      </w:r>
      <w:r>
        <w:t>–</w:t>
      </w:r>
      <w:r w:rsidRPr="008B0EF4">
        <w:t>82.</w:t>
      </w:r>
    </w:p>
  </w:footnote>
  <w:footnote w:id="43">
    <w:p w14:paraId="60D649CD" w14:textId="32BAE0A8" w:rsidR="0024069C" w:rsidRPr="008B0EF4" w:rsidRDefault="0024069C">
      <w:pPr>
        <w:pStyle w:val="FootnoteText"/>
      </w:pPr>
      <w:r w:rsidRPr="008B0EF4">
        <w:tab/>
      </w:r>
      <w:r w:rsidRPr="008B0EF4">
        <w:rPr>
          <w:rStyle w:val="FootnoteReference"/>
        </w:rPr>
        <w:footnoteRef/>
      </w:r>
      <w:r w:rsidRPr="008B0EF4">
        <w:t xml:space="preserve"> </w:t>
      </w:r>
      <w:r w:rsidRPr="008B0EF4">
        <w:tab/>
        <w:t xml:space="preserve">See </w:t>
      </w:r>
      <w:r w:rsidR="00072706" w:rsidRPr="000C03ED">
        <w:t>principles on housing and property restitution for refugees and displaced persons</w:t>
      </w:r>
      <w:r w:rsidRPr="008B0EF4">
        <w:t xml:space="preserve">, </w:t>
      </w:r>
      <w:r>
        <w:t>p</w:t>
      </w:r>
      <w:r w:rsidRPr="008B0EF4">
        <w:t>rinciples 18</w:t>
      </w:r>
      <w:r>
        <w:t>–</w:t>
      </w:r>
      <w:r w:rsidRPr="008B0EF4">
        <w:t>19.</w:t>
      </w:r>
    </w:p>
  </w:footnote>
  <w:footnote w:id="44">
    <w:p w14:paraId="17DA19B6" w14:textId="06C8E409" w:rsidR="0024069C" w:rsidRPr="008B0EF4" w:rsidRDefault="0024069C">
      <w:pPr>
        <w:pStyle w:val="FootnoteText"/>
      </w:pPr>
      <w:r w:rsidRPr="008B0EF4">
        <w:tab/>
      </w:r>
      <w:r w:rsidRPr="008B0EF4">
        <w:rPr>
          <w:rStyle w:val="FootnoteReference"/>
        </w:rPr>
        <w:footnoteRef/>
      </w:r>
      <w:r w:rsidRPr="008B0EF4">
        <w:t xml:space="preserve"> </w:t>
      </w:r>
      <w:r w:rsidRPr="008B0EF4">
        <w:tab/>
        <w:t xml:space="preserve">Special Court for Sierra Leone, </w:t>
      </w:r>
      <w:r w:rsidRPr="008B0EF4">
        <w:rPr>
          <w:i/>
        </w:rPr>
        <w:t xml:space="preserve">Prosecutor v. </w:t>
      </w:r>
      <w:proofErr w:type="spellStart"/>
      <w:r w:rsidRPr="008B0EF4">
        <w:rPr>
          <w:i/>
        </w:rPr>
        <w:t>Fofana</w:t>
      </w:r>
      <w:proofErr w:type="spellEnd"/>
      <w:r w:rsidRPr="008B0EF4">
        <w:rPr>
          <w:i/>
        </w:rPr>
        <w:t xml:space="preserve"> and </w:t>
      </w:r>
      <w:proofErr w:type="spellStart"/>
      <w:r w:rsidRPr="008B0EF4">
        <w:rPr>
          <w:i/>
        </w:rPr>
        <w:t>Kondewa</w:t>
      </w:r>
      <w:proofErr w:type="spellEnd"/>
      <w:r w:rsidRPr="008B0EF4">
        <w:t xml:space="preserve">, </w:t>
      </w:r>
      <w:r>
        <w:t xml:space="preserve">Case No. </w:t>
      </w:r>
      <w:r w:rsidRPr="008B0EF4">
        <w:t xml:space="preserve">SCSL-04-14-A, </w:t>
      </w:r>
      <w:r>
        <w:t xml:space="preserve">Judgment, </w:t>
      </w:r>
      <w:r w:rsidRPr="008B0EF4">
        <w:t xml:space="preserve">28 May 2008, para. 224. See also </w:t>
      </w:r>
      <w:proofErr w:type="spellStart"/>
      <w:r w:rsidRPr="008B0EF4">
        <w:rPr>
          <w:szCs w:val="18"/>
        </w:rPr>
        <w:t>Henckaerts</w:t>
      </w:r>
      <w:proofErr w:type="spellEnd"/>
      <w:r w:rsidRPr="008B0EF4">
        <w:rPr>
          <w:szCs w:val="18"/>
        </w:rPr>
        <w:t xml:space="preserve"> and </w:t>
      </w:r>
      <w:proofErr w:type="spellStart"/>
      <w:r w:rsidRPr="008B0EF4">
        <w:rPr>
          <w:szCs w:val="18"/>
        </w:rPr>
        <w:t>Doswald</w:t>
      </w:r>
      <w:proofErr w:type="spellEnd"/>
      <w:r w:rsidRPr="008B0EF4">
        <w:rPr>
          <w:szCs w:val="18"/>
        </w:rPr>
        <w:t xml:space="preserve">-Beck, </w:t>
      </w:r>
      <w:r w:rsidRPr="00B27A79">
        <w:rPr>
          <w:i/>
          <w:iCs/>
          <w:szCs w:val="18"/>
        </w:rPr>
        <w:t xml:space="preserve">Customary International Humanitarian </w:t>
      </w:r>
      <w:r w:rsidRPr="00B27A79">
        <w:rPr>
          <w:szCs w:val="18"/>
        </w:rPr>
        <w:t>Law</w:t>
      </w:r>
      <w:r>
        <w:rPr>
          <w:szCs w:val="18"/>
        </w:rPr>
        <w:t xml:space="preserve">, rule </w:t>
      </w:r>
      <w:r w:rsidRPr="008B0EF4">
        <w:t>10</w:t>
      </w:r>
      <w:r>
        <w:t>3</w:t>
      </w:r>
      <w:r w:rsidRPr="008B0EF4">
        <w:t>.</w:t>
      </w:r>
    </w:p>
  </w:footnote>
  <w:footnote w:id="45">
    <w:p w14:paraId="25192599" w14:textId="77777777" w:rsidR="0024069C" w:rsidRPr="008B0EF4" w:rsidRDefault="0024069C">
      <w:pPr>
        <w:pStyle w:val="FootnoteText"/>
      </w:pPr>
      <w:r w:rsidRPr="008B0EF4">
        <w:tab/>
      </w:r>
      <w:r w:rsidRPr="008B0EF4">
        <w:rPr>
          <w:rStyle w:val="FootnoteReference"/>
        </w:rPr>
        <w:footnoteRef/>
      </w:r>
      <w:r w:rsidRPr="008B0EF4">
        <w:t xml:space="preserve"> </w:t>
      </w:r>
      <w:r w:rsidRPr="008B0EF4">
        <w:tab/>
      </w:r>
      <w:r w:rsidRPr="008B0EF4">
        <w:rPr>
          <w:iCs/>
        </w:rPr>
        <w:t xml:space="preserve">See </w:t>
      </w:r>
      <w:r w:rsidRPr="008B0EF4">
        <w:t>Guiding Principles on Internal Displacement, principle 28.</w:t>
      </w:r>
    </w:p>
  </w:footnote>
  <w:footnote w:id="46">
    <w:p w14:paraId="50C42730" w14:textId="455A0E37" w:rsidR="0024069C" w:rsidRPr="008B0EF4" w:rsidRDefault="0024069C">
      <w:pPr>
        <w:pStyle w:val="FootnoteText"/>
      </w:pPr>
      <w:r w:rsidRPr="008B0EF4">
        <w:tab/>
      </w:r>
      <w:r w:rsidRPr="008B0EF4">
        <w:rPr>
          <w:rStyle w:val="FootnoteReference"/>
        </w:rPr>
        <w:footnoteRef/>
      </w:r>
      <w:r w:rsidRPr="008B0EF4">
        <w:t xml:space="preserve"> </w:t>
      </w:r>
      <w:r w:rsidRPr="008B0EF4">
        <w:tab/>
      </w:r>
      <w:r w:rsidRPr="008B0EF4">
        <w:rPr>
          <w:szCs w:val="18"/>
        </w:rPr>
        <w:t xml:space="preserve">See </w:t>
      </w:r>
      <w:r>
        <w:rPr>
          <w:szCs w:val="18"/>
        </w:rPr>
        <w:t xml:space="preserve">conference room paper </w:t>
      </w:r>
      <w:r w:rsidRPr="008B0EF4">
        <w:rPr>
          <w:szCs w:val="18"/>
        </w:rPr>
        <w:t>“</w:t>
      </w:r>
      <w:r>
        <w:rPr>
          <w:szCs w:val="18"/>
        </w:rPr>
        <w:t>‘</w:t>
      </w:r>
      <w:r w:rsidRPr="008B0EF4">
        <w:rPr>
          <w:szCs w:val="18"/>
        </w:rPr>
        <w:t>I lost my dignity</w:t>
      </w:r>
      <w:r>
        <w:rPr>
          <w:szCs w:val="18"/>
        </w:rPr>
        <w:t>’</w:t>
      </w:r>
      <w:r w:rsidRPr="008B0EF4">
        <w:rPr>
          <w:szCs w:val="18"/>
        </w:rPr>
        <w:t xml:space="preserve">: Sexual and gender-based violence in the Syrian Arab Republic” </w:t>
      </w:r>
      <w:r>
        <w:rPr>
          <w:szCs w:val="18"/>
        </w:rPr>
        <w:t>(</w:t>
      </w:r>
      <w:r w:rsidRPr="008B0EF4">
        <w:rPr>
          <w:szCs w:val="18"/>
        </w:rPr>
        <w:t>A/HRC/37/CRP.3</w:t>
      </w:r>
      <w:r>
        <w:rPr>
          <w:szCs w:val="18"/>
        </w:rPr>
        <w:t>)</w:t>
      </w:r>
      <w:r w:rsidRPr="008B0EF4">
        <w:rPr>
          <w:szCs w:val="18"/>
        </w:rPr>
        <w:t>, footnote 6.</w:t>
      </w:r>
      <w:r>
        <w:rPr>
          <w:szCs w:val="18"/>
        </w:rPr>
        <w:t xml:space="preserve"> </w:t>
      </w:r>
      <w:r>
        <w:t xml:space="preserve">Available from </w:t>
      </w:r>
      <w:r>
        <w:rPr>
          <w:szCs w:val="18"/>
        </w:rPr>
        <w:t xml:space="preserve">www.ohchr.org/EN/HRBodies/HRC/IICISyria/Pages/Documentation.aspx. </w:t>
      </w:r>
      <w:r>
        <w:t xml:space="preserve"> </w:t>
      </w:r>
    </w:p>
  </w:footnote>
  <w:footnote w:id="47">
    <w:p w14:paraId="102036A8" w14:textId="2AE01F6F" w:rsidR="0024069C" w:rsidRPr="008B0EF4" w:rsidRDefault="0024069C">
      <w:pPr>
        <w:pStyle w:val="FootnoteText"/>
      </w:pPr>
      <w:r w:rsidRPr="008B0EF4">
        <w:tab/>
      </w:r>
      <w:r w:rsidRPr="008B0EF4">
        <w:rPr>
          <w:rStyle w:val="FootnoteReference"/>
        </w:rPr>
        <w:footnoteRef/>
      </w:r>
      <w:r w:rsidRPr="008B0EF4">
        <w:t xml:space="preserve"> </w:t>
      </w:r>
      <w:r w:rsidRPr="008B0EF4">
        <w:tab/>
        <w:t xml:space="preserve">A/HRC/42/51, para. 92. </w:t>
      </w:r>
    </w:p>
  </w:footnote>
  <w:footnote w:id="48">
    <w:p w14:paraId="3EDD72D2" w14:textId="168B25C1" w:rsidR="0024069C" w:rsidRPr="008B0EF4" w:rsidRDefault="0024069C">
      <w:pPr>
        <w:pStyle w:val="FootnoteText"/>
      </w:pPr>
      <w:r w:rsidRPr="008B0EF4">
        <w:tab/>
      </w:r>
      <w:r w:rsidRPr="008B0EF4">
        <w:rPr>
          <w:rStyle w:val="FootnoteReference"/>
        </w:rPr>
        <w:footnoteRef/>
      </w:r>
      <w:r w:rsidRPr="008B0EF4">
        <w:t xml:space="preserve"> </w:t>
      </w:r>
      <w:r w:rsidRPr="008B0EF4">
        <w:tab/>
      </w:r>
      <w:r w:rsidRPr="008B0EF4">
        <w:rPr>
          <w:szCs w:val="18"/>
        </w:rPr>
        <w:t xml:space="preserve">See </w:t>
      </w:r>
      <w:proofErr w:type="spellStart"/>
      <w:r w:rsidRPr="008B0EF4">
        <w:rPr>
          <w:szCs w:val="18"/>
        </w:rPr>
        <w:t>Henckaerts</w:t>
      </w:r>
      <w:proofErr w:type="spellEnd"/>
      <w:r w:rsidRPr="008B0EF4">
        <w:rPr>
          <w:szCs w:val="18"/>
        </w:rPr>
        <w:t xml:space="preserve"> and </w:t>
      </w:r>
      <w:proofErr w:type="spellStart"/>
      <w:r w:rsidRPr="008B0EF4">
        <w:rPr>
          <w:szCs w:val="18"/>
        </w:rPr>
        <w:t>Doswald</w:t>
      </w:r>
      <w:proofErr w:type="spellEnd"/>
      <w:r w:rsidRPr="008B0EF4">
        <w:rPr>
          <w:szCs w:val="18"/>
        </w:rPr>
        <w:t xml:space="preserve">-Beck, </w:t>
      </w:r>
      <w:r w:rsidRPr="00B27A79">
        <w:rPr>
          <w:i/>
          <w:iCs/>
          <w:szCs w:val="18"/>
        </w:rPr>
        <w:t xml:space="preserve">Customary International Humanitarian </w:t>
      </w:r>
      <w:r w:rsidRPr="00B27A79">
        <w:rPr>
          <w:szCs w:val="18"/>
        </w:rPr>
        <w:t>Law</w:t>
      </w:r>
      <w:r>
        <w:rPr>
          <w:szCs w:val="18"/>
        </w:rPr>
        <w:t>, r</w:t>
      </w:r>
      <w:r w:rsidRPr="008B0EF4">
        <w:rPr>
          <w:szCs w:val="18"/>
        </w:rPr>
        <w:t>ule 135.</w:t>
      </w:r>
    </w:p>
  </w:footnote>
  <w:footnote w:id="49">
    <w:p w14:paraId="508AA713" w14:textId="2E6A8E2B" w:rsidR="0024069C" w:rsidRPr="008B0EF4" w:rsidRDefault="0024069C">
      <w:pPr>
        <w:pStyle w:val="FootnoteText"/>
      </w:pPr>
      <w:r w:rsidRPr="008B0EF4">
        <w:tab/>
      </w:r>
      <w:r w:rsidRPr="008B0EF4">
        <w:rPr>
          <w:rStyle w:val="FootnoteReference"/>
        </w:rPr>
        <w:footnoteRef/>
      </w:r>
      <w:r w:rsidRPr="008B0EF4">
        <w:t xml:space="preserve"> </w:t>
      </w:r>
      <w:r w:rsidRPr="008B0EF4">
        <w:tab/>
      </w:r>
      <w:r w:rsidRPr="008B0EF4">
        <w:rPr>
          <w:szCs w:val="18"/>
        </w:rPr>
        <w:t>A/HRC/42/51 paras. 93</w:t>
      </w:r>
      <w:r>
        <w:rPr>
          <w:szCs w:val="18"/>
        </w:rPr>
        <w:t>–</w:t>
      </w:r>
      <w:r w:rsidRPr="008B0EF4">
        <w:rPr>
          <w:szCs w:val="18"/>
        </w:rPr>
        <w:t>94.</w:t>
      </w:r>
    </w:p>
  </w:footnote>
  <w:footnote w:id="50">
    <w:p w14:paraId="723853FF" w14:textId="668AC917" w:rsidR="0024069C" w:rsidRPr="008B0EF4" w:rsidRDefault="0024069C">
      <w:pPr>
        <w:pStyle w:val="FootnoteText"/>
      </w:pPr>
      <w:r w:rsidRPr="008B0EF4">
        <w:tab/>
      </w:r>
      <w:r w:rsidRPr="008B0EF4">
        <w:rPr>
          <w:rStyle w:val="FootnoteReference"/>
        </w:rPr>
        <w:footnoteRef/>
      </w:r>
      <w:r w:rsidRPr="008B0EF4">
        <w:t xml:space="preserve"> </w:t>
      </w:r>
      <w:r w:rsidRPr="008B0EF4">
        <w:tab/>
      </w:r>
      <w:r w:rsidRPr="008B0EF4">
        <w:rPr>
          <w:szCs w:val="18"/>
        </w:rPr>
        <w:t xml:space="preserve">Convention on the Rights of the Child, </w:t>
      </w:r>
      <w:r>
        <w:rPr>
          <w:szCs w:val="18"/>
        </w:rPr>
        <w:t>a</w:t>
      </w:r>
      <w:r w:rsidRPr="008B0EF4">
        <w:rPr>
          <w:szCs w:val="18"/>
        </w:rPr>
        <w:t>rt</w:t>
      </w:r>
      <w:r>
        <w:rPr>
          <w:szCs w:val="18"/>
        </w:rPr>
        <w:t>s.</w:t>
      </w:r>
      <w:r w:rsidRPr="008B0EF4">
        <w:rPr>
          <w:szCs w:val="18"/>
        </w:rPr>
        <w:t xml:space="preserve"> </w:t>
      </w:r>
      <w:proofErr w:type="gramStart"/>
      <w:r w:rsidRPr="008B0EF4">
        <w:rPr>
          <w:szCs w:val="18"/>
        </w:rPr>
        <w:t>2</w:t>
      </w:r>
      <w:proofErr w:type="gramEnd"/>
      <w:r w:rsidRPr="008B0EF4">
        <w:rPr>
          <w:szCs w:val="18"/>
        </w:rPr>
        <w:t xml:space="preserve"> and 7. See also </w:t>
      </w:r>
      <w:r>
        <w:rPr>
          <w:szCs w:val="18"/>
        </w:rPr>
        <w:t xml:space="preserve">the </w:t>
      </w:r>
      <w:r w:rsidRPr="008B0EF4">
        <w:rPr>
          <w:szCs w:val="18"/>
        </w:rPr>
        <w:t xml:space="preserve">International Covenant on Economic, Social and Cultural Rights, </w:t>
      </w:r>
      <w:r>
        <w:rPr>
          <w:szCs w:val="18"/>
        </w:rPr>
        <w:t>a</w:t>
      </w:r>
      <w:r w:rsidRPr="008B0EF4">
        <w:rPr>
          <w:szCs w:val="18"/>
        </w:rPr>
        <w:t>rt</w:t>
      </w:r>
      <w:r>
        <w:rPr>
          <w:szCs w:val="18"/>
        </w:rPr>
        <w:t>.</w:t>
      </w:r>
      <w:r w:rsidRPr="008B0EF4">
        <w:rPr>
          <w:szCs w:val="18"/>
        </w:rPr>
        <w:t xml:space="preserve"> 24.</w:t>
      </w:r>
    </w:p>
  </w:footnote>
  <w:footnote w:id="51">
    <w:p w14:paraId="75FB6481" w14:textId="755157B6" w:rsidR="0024069C" w:rsidRPr="008B0EF4" w:rsidRDefault="0024069C">
      <w:pPr>
        <w:pStyle w:val="FootnoteText"/>
      </w:pPr>
      <w:r w:rsidRPr="008B0EF4">
        <w:tab/>
      </w:r>
      <w:r w:rsidRPr="008B0EF4">
        <w:rPr>
          <w:rStyle w:val="FootnoteReference"/>
        </w:rPr>
        <w:footnoteRef/>
      </w:r>
      <w:r w:rsidRPr="008B0EF4">
        <w:t xml:space="preserve"> </w:t>
      </w:r>
      <w:r w:rsidRPr="008B0EF4">
        <w:tab/>
        <w:t xml:space="preserve">As of </w:t>
      </w:r>
      <w:proofErr w:type="gramStart"/>
      <w:r w:rsidRPr="008B0EF4">
        <w:t>November,</w:t>
      </w:r>
      <w:proofErr w:type="gramEnd"/>
      <w:r w:rsidRPr="008B0EF4">
        <w:t xml:space="preserve"> 17 countries had repatriated children. See</w:t>
      </w:r>
      <w:r>
        <w:t xml:space="preserve"> </w:t>
      </w:r>
      <w:r w:rsidRPr="008B0EF4">
        <w:t>www.unicef.org/press-releases/governments-should-repatriate-foreign-children-stranded-syria-its-too-late</w:t>
      </w:r>
      <w:r>
        <w:t>.</w:t>
      </w:r>
    </w:p>
  </w:footnote>
  <w:footnote w:id="52">
    <w:p w14:paraId="484BA744" w14:textId="03DB33B3" w:rsidR="0024069C" w:rsidRPr="008B0EF4" w:rsidRDefault="0024069C">
      <w:pPr>
        <w:pStyle w:val="FootnoteText"/>
      </w:pPr>
      <w:r w:rsidRPr="008B0EF4">
        <w:tab/>
      </w:r>
      <w:r w:rsidRPr="008B0EF4">
        <w:rPr>
          <w:rStyle w:val="FootnoteReference"/>
        </w:rPr>
        <w:footnoteRef/>
      </w:r>
      <w:r w:rsidRPr="008B0EF4">
        <w:t xml:space="preserve"> </w:t>
      </w:r>
      <w:r w:rsidRPr="008B0EF4">
        <w:tab/>
        <w:t>See</w:t>
      </w:r>
      <w:r>
        <w:t>, for example,</w:t>
      </w:r>
      <w:r w:rsidRPr="008B0EF4">
        <w:t xml:space="preserve"> “</w:t>
      </w:r>
      <w:r w:rsidRPr="008B0EF4">
        <w:rPr>
          <w:iCs/>
        </w:rPr>
        <w:t>Out of sight, out of mind: deaths in detention in the Syrian Arab Republic”</w:t>
      </w:r>
      <w:r w:rsidRPr="008B0EF4">
        <w:t>.</w:t>
      </w:r>
    </w:p>
  </w:footnote>
  <w:footnote w:id="53">
    <w:p w14:paraId="195CC607" w14:textId="314DE55C" w:rsidR="0024069C" w:rsidRPr="008B0EF4" w:rsidRDefault="0024069C">
      <w:pPr>
        <w:pStyle w:val="FootnoteText"/>
      </w:pPr>
      <w:r w:rsidRPr="008B0EF4">
        <w:tab/>
      </w:r>
      <w:r w:rsidRPr="008B0EF4">
        <w:rPr>
          <w:rStyle w:val="FootnoteReference"/>
        </w:rPr>
        <w:footnoteRef/>
      </w:r>
      <w:r w:rsidRPr="008B0EF4">
        <w:t xml:space="preserve"> </w:t>
      </w:r>
      <w:r w:rsidRPr="008B0EF4">
        <w:tab/>
        <w:t>United Nations Standard Minimum Rules for the Administration of Juvenile Justice (</w:t>
      </w:r>
      <w:r>
        <w:t>t</w:t>
      </w:r>
      <w:r w:rsidRPr="008B0EF4">
        <w:t xml:space="preserve">he Beijing Rules).  </w:t>
      </w:r>
    </w:p>
  </w:footnote>
  <w:footnote w:id="54">
    <w:p w14:paraId="1725CAB8" w14:textId="77777777" w:rsidR="0024069C" w:rsidRPr="008B0EF4" w:rsidRDefault="0024069C" w:rsidP="00311976">
      <w:pPr>
        <w:pStyle w:val="FootnoteText"/>
      </w:pPr>
      <w:r w:rsidRPr="008B0EF4">
        <w:tab/>
      </w:r>
      <w:r w:rsidRPr="008B0EF4">
        <w:rPr>
          <w:rStyle w:val="FootnoteReference"/>
        </w:rPr>
        <w:footnoteRef/>
      </w:r>
      <w:r w:rsidRPr="008B0EF4">
        <w:tab/>
        <w:t>The boundaries and names shown and the designations used on this map do not imply official endorsement or acceptance by the United Nations.</w:t>
      </w:r>
    </w:p>
  </w:footnote>
  <w:footnote w:id="55">
    <w:p w14:paraId="1FDEB5F5" w14:textId="6A51555D" w:rsidR="0024069C" w:rsidRPr="008B0EF4" w:rsidRDefault="0024069C">
      <w:pPr>
        <w:pStyle w:val="FootnoteText"/>
      </w:pPr>
      <w:r w:rsidRPr="008B0EF4">
        <w:tab/>
      </w:r>
      <w:r w:rsidRPr="008B0EF4">
        <w:rPr>
          <w:rStyle w:val="FootnoteReference"/>
        </w:rPr>
        <w:footnoteRef/>
      </w:r>
      <w:r w:rsidRPr="008B0EF4">
        <w:t xml:space="preserve"> </w:t>
      </w:r>
      <w:r w:rsidRPr="008B0EF4">
        <w:tab/>
        <w:t>Flight spotters or early warning observers comprise civilians who monitor aircraft flights to provide other civilians with advance warning prior to an air</w:t>
      </w:r>
      <w:r>
        <w:t xml:space="preserve"> </w:t>
      </w:r>
      <w:r w:rsidRPr="008B0EF4">
        <w:t>strike</w:t>
      </w:r>
    </w:p>
  </w:footnote>
  <w:footnote w:id="56">
    <w:p w14:paraId="3DF74BED" w14:textId="4D44B9C2" w:rsidR="0024069C" w:rsidRPr="008B0EF4" w:rsidRDefault="0024069C">
      <w:pPr>
        <w:pStyle w:val="FootnoteText"/>
      </w:pPr>
      <w:r w:rsidRPr="008B0EF4">
        <w:tab/>
      </w:r>
      <w:r w:rsidRPr="008B0EF4">
        <w:rPr>
          <w:rStyle w:val="FootnoteReference"/>
        </w:rPr>
        <w:footnoteRef/>
      </w:r>
      <w:r w:rsidRPr="008B0EF4">
        <w:t xml:space="preserve"> </w:t>
      </w:r>
      <w:r w:rsidRPr="008B0EF4">
        <w:tab/>
      </w:r>
      <w:r w:rsidRPr="008B0EF4">
        <w:tab/>
      </w:r>
      <w:r w:rsidRPr="008B0EF4">
        <w:rPr>
          <w:szCs w:val="18"/>
        </w:rPr>
        <w:t>Flight spotters or early warning observers comprise civilians who monitor aircraft flights to provide other civilians with advance warning prior to an air</w:t>
      </w:r>
      <w:r>
        <w:rPr>
          <w:szCs w:val="18"/>
        </w:rPr>
        <w:t xml:space="preserve"> </w:t>
      </w:r>
      <w:r w:rsidRPr="008B0EF4">
        <w:rPr>
          <w:szCs w:val="18"/>
        </w:rPr>
        <w:t>strike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498EB" w14:textId="77777777" w:rsidR="0024069C" w:rsidRPr="00E62DC6" w:rsidRDefault="0024069C">
    <w:pPr>
      <w:pStyle w:val="Header"/>
    </w:pPr>
    <w:r>
      <w:t>A/HRC/43/57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4E484" w14:textId="77777777" w:rsidR="0024069C" w:rsidRPr="00E62DC6" w:rsidRDefault="0024069C" w:rsidP="00245397">
    <w:pPr>
      <w:pStyle w:val="Header"/>
      <w:jc w:val="right"/>
    </w:pPr>
    <w:r w:rsidRPr="00250688">
      <w:t>A/HRC/43/57</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85733" w14:textId="77777777" w:rsidR="0024069C" w:rsidRDefault="0024069C" w:rsidP="003928BC">
    <w:pPr>
      <w:pStyle w:val="Header"/>
    </w:pPr>
    <w:r>
      <w:t>A/HRC/43/57</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46482" w14:textId="77777777" w:rsidR="0024069C" w:rsidRDefault="0024069C" w:rsidP="003928BC">
    <w:pPr>
      <w:pStyle w:val="Header"/>
      <w:jc w:val="right"/>
    </w:pPr>
    <w:r>
      <w:t>A/HRC/43/57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3205D"/>
    <w:multiLevelType w:val="hybridMultilevel"/>
    <w:tmpl w:val="824C4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C202B0C"/>
    <w:multiLevelType w:val="hybridMultilevel"/>
    <w:tmpl w:val="512C91BC"/>
    <w:lvl w:ilvl="0" w:tplc="5E4AA89C">
      <w:start w:val="1"/>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B70EF8"/>
    <w:multiLevelType w:val="hybridMultilevel"/>
    <w:tmpl w:val="EA08DC4E"/>
    <w:lvl w:ilvl="0" w:tplc="C1A4237C">
      <w:start w:val="1"/>
      <w:numFmt w:val="lowerLetter"/>
      <w:lvlText w:val="(%1)"/>
      <w:lvlJc w:val="left"/>
      <w:pPr>
        <w:ind w:left="2415" w:hanging="360"/>
      </w:pPr>
      <w:rPr>
        <w:rFonts w:hint="default"/>
      </w:rPr>
    </w:lvl>
    <w:lvl w:ilvl="1" w:tplc="08090019" w:tentative="1">
      <w:start w:val="1"/>
      <w:numFmt w:val="lowerLetter"/>
      <w:lvlText w:val="%2."/>
      <w:lvlJc w:val="left"/>
      <w:pPr>
        <w:ind w:left="3135" w:hanging="360"/>
      </w:pPr>
    </w:lvl>
    <w:lvl w:ilvl="2" w:tplc="0809001B" w:tentative="1">
      <w:start w:val="1"/>
      <w:numFmt w:val="lowerRoman"/>
      <w:lvlText w:val="%3."/>
      <w:lvlJc w:val="right"/>
      <w:pPr>
        <w:ind w:left="3855" w:hanging="180"/>
      </w:pPr>
    </w:lvl>
    <w:lvl w:ilvl="3" w:tplc="0809000F" w:tentative="1">
      <w:start w:val="1"/>
      <w:numFmt w:val="decimal"/>
      <w:lvlText w:val="%4."/>
      <w:lvlJc w:val="left"/>
      <w:pPr>
        <w:ind w:left="4575" w:hanging="360"/>
      </w:pPr>
    </w:lvl>
    <w:lvl w:ilvl="4" w:tplc="08090019" w:tentative="1">
      <w:start w:val="1"/>
      <w:numFmt w:val="lowerLetter"/>
      <w:lvlText w:val="%5."/>
      <w:lvlJc w:val="left"/>
      <w:pPr>
        <w:ind w:left="5295" w:hanging="360"/>
      </w:pPr>
    </w:lvl>
    <w:lvl w:ilvl="5" w:tplc="0809001B" w:tentative="1">
      <w:start w:val="1"/>
      <w:numFmt w:val="lowerRoman"/>
      <w:lvlText w:val="%6."/>
      <w:lvlJc w:val="right"/>
      <w:pPr>
        <w:ind w:left="6015" w:hanging="180"/>
      </w:pPr>
    </w:lvl>
    <w:lvl w:ilvl="6" w:tplc="0809000F" w:tentative="1">
      <w:start w:val="1"/>
      <w:numFmt w:val="decimal"/>
      <w:lvlText w:val="%7."/>
      <w:lvlJc w:val="left"/>
      <w:pPr>
        <w:ind w:left="6735" w:hanging="360"/>
      </w:pPr>
    </w:lvl>
    <w:lvl w:ilvl="7" w:tplc="08090019" w:tentative="1">
      <w:start w:val="1"/>
      <w:numFmt w:val="lowerLetter"/>
      <w:lvlText w:val="%8."/>
      <w:lvlJc w:val="left"/>
      <w:pPr>
        <w:ind w:left="7455" w:hanging="360"/>
      </w:pPr>
    </w:lvl>
    <w:lvl w:ilvl="8" w:tplc="0809001B" w:tentative="1">
      <w:start w:val="1"/>
      <w:numFmt w:val="lowerRoman"/>
      <w:lvlText w:val="%9."/>
      <w:lvlJc w:val="right"/>
      <w:pPr>
        <w:ind w:left="8175" w:hanging="180"/>
      </w:pPr>
    </w:lvl>
  </w:abstractNum>
  <w:abstractNum w:abstractNumId="7"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210882"/>
    <w:multiLevelType w:val="hybridMultilevel"/>
    <w:tmpl w:val="C4B299E6"/>
    <w:lvl w:ilvl="0" w:tplc="53B00392">
      <w:start w:val="1"/>
      <w:numFmt w:val="upperRoman"/>
      <w:lvlText w:val="%1."/>
      <w:lvlJc w:val="right"/>
      <w:pPr>
        <w:ind w:left="720" w:hanging="360"/>
      </w:pPr>
      <w:rPr>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5"/>
  </w:num>
  <w:num w:numId="3">
    <w:abstractNumId w:val="0"/>
  </w:num>
  <w:num w:numId="4">
    <w:abstractNumId w:val="9"/>
  </w:num>
  <w:num w:numId="5">
    <w:abstractNumId w:val="10"/>
  </w:num>
  <w:num w:numId="6">
    <w:abstractNumId w:val="13"/>
  </w:num>
  <w:num w:numId="7">
    <w:abstractNumId w:val="3"/>
  </w:num>
  <w:num w:numId="8">
    <w:abstractNumId w:val="1"/>
  </w:num>
  <w:num w:numId="9">
    <w:abstractNumId w:val="12"/>
  </w:num>
  <w:num w:numId="10">
    <w:abstractNumId w:val="1"/>
  </w:num>
  <w:num w:numId="11">
    <w:abstractNumId w:val="12"/>
  </w:num>
  <w:num w:numId="12">
    <w:abstractNumId w:val="7"/>
  </w:num>
  <w:num w:numId="13">
    <w:abstractNumId w:val="5"/>
  </w:num>
  <w:num w:numId="14">
    <w:abstractNumId w:val="0"/>
  </w:num>
  <w:num w:numId="15">
    <w:abstractNumId w:val="11"/>
  </w:num>
  <w:num w:numId="16">
    <w:abstractNumId w:val="13"/>
  </w:num>
  <w:num w:numId="17">
    <w:abstractNumId w:val="7"/>
  </w:num>
  <w:num w:numId="18">
    <w:abstractNumId w:val="5"/>
  </w:num>
  <w:num w:numId="19">
    <w:abstractNumId w:val="0"/>
  </w:num>
  <w:num w:numId="20">
    <w:abstractNumId w:val="11"/>
  </w:num>
  <w:num w:numId="21">
    <w:abstractNumId w:val="13"/>
  </w:num>
  <w:num w:numId="22">
    <w:abstractNumId w:val="7"/>
  </w:num>
  <w:num w:numId="23">
    <w:abstractNumId w:val="5"/>
  </w:num>
  <w:num w:numId="24">
    <w:abstractNumId w:val="0"/>
  </w:num>
  <w:num w:numId="25">
    <w:abstractNumId w:val="11"/>
  </w:num>
  <w:num w:numId="26">
    <w:abstractNumId w:val="13"/>
  </w:num>
  <w:num w:numId="27">
    <w:abstractNumId w:val="4"/>
  </w:num>
  <w:num w:numId="28">
    <w:abstractNumId w:val="2"/>
  </w:num>
  <w:num w:numId="29">
    <w:abstractNumId w:val="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567"/>
  <w:evenAndOddHeaders/>
  <w:characterSpacingControl w:val="doNotCompress"/>
  <w:hdrShapeDefaults>
    <o:shapedefaults v:ext="edit" spidmax="8193"/>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466"/>
    <w:rsid w:val="000153CD"/>
    <w:rsid w:val="000431E4"/>
    <w:rsid w:val="00046E92"/>
    <w:rsid w:val="00050D25"/>
    <w:rsid w:val="00052F8A"/>
    <w:rsid w:val="000536D6"/>
    <w:rsid w:val="00063C90"/>
    <w:rsid w:val="00072607"/>
    <w:rsid w:val="00072706"/>
    <w:rsid w:val="00074E3A"/>
    <w:rsid w:val="000942F9"/>
    <w:rsid w:val="000A03D7"/>
    <w:rsid w:val="000B3F09"/>
    <w:rsid w:val="000C0114"/>
    <w:rsid w:val="000C03ED"/>
    <w:rsid w:val="000C64CC"/>
    <w:rsid w:val="000C7220"/>
    <w:rsid w:val="000D690F"/>
    <w:rsid w:val="000F7203"/>
    <w:rsid w:val="00101B98"/>
    <w:rsid w:val="00112363"/>
    <w:rsid w:val="001358E6"/>
    <w:rsid w:val="00137CD8"/>
    <w:rsid w:val="00156BAE"/>
    <w:rsid w:val="00194566"/>
    <w:rsid w:val="001954F4"/>
    <w:rsid w:val="001A3D8B"/>
    <w:rsid w:val="001B3D29"/>
    <w:rsid w:val="001B3EED"/>
    <w:rsid w:val="001C5BCF"/>
    <w:rsid w:val="001D3200"/>
    <w:rsid w:val="001D6B13"/>
    <w:rsid w:val="001E175D"/>
    <w:rsid w:val="001F1320"/>
    <w:rsid w:val="001F7849"/>
    <w:rsid w:val="001F7F5C"/>
    <w:rsid w:val="00201664"/>
    <w:rsid w:val="0020604C"/>
    <w:rsid w:val="002268CE"/>
    <w:rsid w:val="00230A58"/>
    <w:rsid w:val="002316B7"/>
    <w:rsid w:val="0024069C"/>
    <w:rsid w:val="00245397"/>
    <w:rsid w:val="00247E2C"/>
    <w:rsid w:val="00250688"/>
    <w:rsid w:val="00252D08"/>
    <w:rsid w:val="0026121E"/>
    <w:rsid w:val="00265C8A"/>
    <w:rsid w:val="00274E72"/>
    <w:rsid w:val="002A32CB"/>
    <w:rsid w:val="002A4452"/>
    <w:rsid w:val="002B436C"/>
    <w:rsid w:val="002D6C53"/>
    <w:rsid w:val="002F5595"/>
    <w:rsid w:val="002F6F71"/>
    <w:rsid w:val="00304059"/>
    <w:rsid w:val="0030472C"/>
    <w:rsid w:val="00311976"/>
    <w:rsid w:val="00324C94"/>
    <w:rsid w:val="00330BDC"/>
    <w:rsid w:val="00330D47"/>
    <w:rsid w:val="00332160"/>
    <w:rsid w:val="00334F6A"/>
    <w:rsid w:val="0034141B"/>
    <w:rsid w:val="00342AC8"/>
    <w:rsid w:val="003705CE"/>
    <w:rsid w:val="003816E2"/>
    <w:rsid w:val="0038189E"/>
    <w:rsid w:val="003864BE"/>
    <w:rsid w:val="003928BC"/>
    <w:rsid w:val="003A580C"/>
    <w:rsid w:val="003B4550"/>
    <w:rsid w:val="003D6462"/>
    <w:rsid w:val="003E229B"/>
    <w:rsid w:val="003E6AFA"/>
    <w:rsid w:val="0040017C"/>
    <w:rsid w:val="00401E4A"/>
    <w:rsid w:val="00413F8A"/>
    <w:rsid w:val="004236D2"/>
    <w:rsid w:val="00446BEE"/>
    <w:rsid w:val="00452E15"/>
    <w:rsid w:val="00461253"/>
    <w:rsid w:val="00480264"/>
    <w:rsid w:val="004816B9"/>
    <w:rsid w:val="004938FF"/>
    <w:rsid w:val="004A2814"/>
    <w:rsid w:val="004B1877"/>
    <w:rsid w:val="004C0622"/>
    <w:rsid w:val="004C6B84"/>
    <w:rsid w:val="004C6F68"/>
    <w:rsid w:val="004C7587"/>
    <w:rsid w:val="004D10F9"/>
    <w:rsid w:val="004D3957"/>
    <w:rsid w:val="004E1A3B"/>
    <w:rsid w:val="004E3FF9"/>
    <w:rsid w:val="005042C2"/>
    <w:rsid w:val="00504A8F"/>
    <w:rsid w:val="005108B5"/>
    <w:rsid w:val="00516670"/>
    <w:rsid w:val="00520653"/>
    <w:rsid w:val="00540080"/>
    <w:rsid w:val="0054514C"/>
    <w:rsid w:val="00546215"/>
    <w:rsid w:val="00557BE5"/>
    <w:rsid w:val="00557E2F"/>
    <w:rsid w:val="005602D6"/>
    <w:rsid w:val="00563F81"/>
    <w:rsid w:val="0057020E"/>
    <w:rsid w:val="00581E13"/>
    <w:rsid w:val="00595F6D"/>
    <w:rsid w:val="005C1C2A"/>
    <w:rsid w:val="005C1D05"/>
    <w:rsid w:val="005C5415"/>
    <w:rsid w:val="005D289E"/>
    <w:rsid w:val="005E1759"/>
    <w:rsid w:val="005E4A11"/>
    <w:rsid w:val="005E716E"/>
    <w:rsid w:val="005F149B"/>
    <w:rsid w:val="00615286"/>
    <w:rsid w:val="00615E3C"/>
    <w:rsid w:val="00617105"/>
    <w:rsid w:val="0062347E"/>
    <w:rsid w:val="00633AB9"/>
    <w:rsid w:val="0066640E"/>
    <w:rsid w:val="00671529"/>
    <w:rsid w:val="00676E32"/>
    <w:rsid w:val="00687D98"/>
    <w:rsid w:val="006A33EC"/>
    <w:rsid w:val="006A6126"/>
    <w:rsid w:val="006B2E35"/>
    <w:rsid w:val="006B407E"/>
    <w:rsid w:val="006D39A0"/>
    <w:rsid w:val="006F1F53"/>
    <w:rsid w:val="006F6E04"/>
    <w:rsid w:val="00700A28"/>
    <w:rsid w:val="0070489D"/>
    <w:rsid w:val="00705384"/>
    <w:rsid w:val="00706707"/>
    <w:rsid w:val="0071554C"/>
    <w:rsid w:val="0072172A"/>
    <w:rsid w:val="007268F9"/>
    <w:rsid w:val="007300E3"/>
    <w:rsid w:val="007349F3"/>
    <w:rsid w:val="00736142"/>
    <w:rsid w:val="00746D65"/>
    <w:rsid w:val="00754BD3"/>
    <w:rsid w:val="00766E2F"/>
    <w:rsid w:val="00785875"/>
    <w:rsid w:val="007B2828"/>
    <w:rsid w:val="007B3029"/>
    <w:rsid w:val="007B3199"/>
    <w:rsid w:val="007C1590"/>
    <w:rsid w:val="007C4749"/>
    <w:rsid w:val="007C52B0"/>
    <w:rsid w:val="007D1312"/>
    <w:rsid w:val="007E403D"/>
    <w:rsid w:val="00822778"/>
    <w:rsid w:val="0082726C"/>
    <w:rsid w:val="00830E5C"/>
    <w:rsid w:val="00834E0B"/>
    <w:rsid w:val="0086073A"/>
    <w:rsid w:val="008614DE"/>
    <w:rsid w:val="00861B4E"/>
    <w:rsid w:val="00867306"/>
    <w:rsid w:val="00871986"/>
    <w:rsid w:val="00890197"/>
    <w:rsid w:val="008964AD"/>
    <w:rsid w:val="00897D7A"/>
    <w:rsid w:val="008A5395"/>
    <w:rsid w:val="008B0EF4"/>
    <w:rsid w:val="008C0643"/>
    <w:rsid w:val="00910C19"/>
    <w:rsid w:val="009411B4"/>
    <w:rsid w:val="009443AF"/>
    <w:rsid w:val="00953057"/>
    <w:rsid w:val="00955A2F"/>
    <w:rsid w:val="009630A2"/>
    <w:rsid w:val="00970F68"/>
    <w:rsid w:val="00987E35"/>
    <w:rsid w:val="00990476"/>
    <w:rsid w:val="009A10D1"/>
    <w:rsid w:val="009A2A16"/>
    <w:rsid w:val="009C60BE"/>
    <w:rsid w:val="009D0139"/>
    <w:rsid w:val="009D35A1"/>
    <w:rsid w:val="009D4C7D"/>
    <w:rsid w:val="009D6E2A"/>
    <w:rsid w:val="009D717D"/>
    <w:rsid w:val="009D7CDE"/>
    <w:rsid w:val="009E0020"/>
    <w:rsid w:val="009E1362"/>
    <w:rsid w:val="009E15D7"/>
    <w:rsid w:val="009E30FB"/>
    <w:rsid w:val="009F5CDC"/>
    <w:rsid w:val="00A14617"/>
    <w:rsid w:val="00A15C91"/>
    <w:rsid w:val="00A37D0D"/>
    <w:rsid w:val="00A4182C"/>
    <w:rsid w:val="00A424B0"/>
    <w:rsid w:val="00A45E15"/>
    <w:rsid w:val="00A576D3"/>
    <w:rsid w:val="00A775CF"/>
    <w:rsid w:val="00A8771E"/>
    <w:rsid w:val="00A94638"/>
    <w:rsid w:val="00AA474F"/>
    <w:rsid w:val="00AE3DB8"/>
    <w:rsid w:val="00B02186"/>
    <w:rsid w:val="00B06045"/>
    <w:rsid w:val="00B07E87"/>
    <w:rsid w:val="00B119CF"/>
    <w:rsid w:val="00B250C6"/>
    <w:rsid w:val="00B33114"/>
    <w:rsid w:val="00B51749"/>
    <w:rsid w:val="00B52EF4"/>
    <w:rsid w:val="00B857CD"/>
    <w:rsid w:val="00B8606F"/>
    <w:rsid w:val="00B87342"/>
    <w:rsid w:val="00BB479E"/>
    <w:rsid w:val="00BC5700"/>
    <w:rsid w:val="00BD3F4B"/>
    <w:rsid w:val="00BE3AC9"/>
    <w:rsid w:val="00BE75A6"/>
    <w:rsid w:val="00BE7A62"/>
    <w:rsid w:val="00BF26A0"/>
    <w:rsid w:val="00C03015"/>
    <w:rsid w:val="00C0358D"/>
    <w:rsid w:val="00C35A27"/>
    <w:rsid w:val="00C36423"/>
    <w:rsid w:val="00C4196E"/>
    <w:rsid w:val="00C444D1"/>
    <w:rsid w:val="00C453FB"/>
    <w:rsid w:val="00C47B2E"/>
    <w:rsid w:val="00C55A81"/>
    <w:rsid w:val="00C64466"/>
    <w:rsid w:val="00C77519"/>
    <w:rsid w:val="00C82F7B"/>
    <w:rsid w:val="00C83D89"/>
    <w:rsid w:val="00C9183B"/>
    <w:rsid w:val="00CA1B04"/>
    <w:rsid w:val="00CD33C3"/>
    <w:rsid w:val="00CF100B"/>
    <w:rsid w:val="00CF1F5E"/>
    <w:rsid w:val="00D20459"/>
    <w:rsid w:val="00D37DCF"/>
    <w:rsid w:val="00D56D7D"/>
    <w:rsid w:val="00D6133C"/>
    <w:rsid w:val="00D8030A"/>
    <w:rsid w:val="00D90150"/>
    <w:rsid w:val="00DA1D4A"/>
    <w:rsid w:val="00DA59F3"/>
    <w:rsid w:val="00DA601A"/>
    <w:rsid w:val="00DB4721"/>
    <w:rsid w:val="00DB51C0"/>
    <w:rsid w:val="00DB758E"/>
    <w:rsid w:val="00DC22C8"/>
    <w:rsid w:val="00DD2912"/>
    <w:rsid w:val="00E01FAF"/>
    <w:rsid w:val="00E02C2B"/>
    <w:rsid w:val="00E03D7B"/>
    <w:rsid w:val="00E05399"/>
    <w:rsid w:val="00E21668"/>
    <w:rsid w:val="00E2479D"/>
    <w:rsid w:val="00E3333F"/>
    <w:rsid w:val="00E34B79"/>
    <w:rsid w:val="00E4141B"/>
    <w:rsid w:val="00E51A18"/>
    <w:rsid w:val="00E52109"/>
    <w:rsid w:val="00E642B3"/>
    <w:rsid w:val="00E75317"/>
    <w:rsid w:val="00E864F9"/>
    <w:rsid w:val="00E946FA"/>
    <w:rsid w:val="00E96FD6"/>
    <w:rsid w:val="00ED25AD"/>
    <w:rsid w:val="00ED63B5"/>
    <w:rsid w:val="00ED6C48"/>
    <w:rsid w:val="00EE22E8"/>
    <w:rsid w:val="00EE7BC7"/>
    <w:rsid w:val="00EF4695"/>
    <w:rsid w:val="00EF59AE"/>
    <w:rsid w:val="00EF76A2"/>
    <w:rsid w:val="00F013D9"/>
    <w:rsid w:val="00F104BE"/>
    <w:rsid w:val="00F162D9"/>
    <w:rsid w:val="00F4383F"/>
    <w:rsid w:val="00F60776"/>
    <w:rsid w:val="00F63814"/>
    <w:rsid w:val="00F640F8"/>
    <w:rsid w:val="00F65F5D"/>
    <w:rsid w:val="00F708CA"/>
    <w:rsid w:val="00F76D6E"/>
    <w:rsid w:val="00F84E16"/>
    <w:rsid w:val="00F8665F"/>
    <w:rsid w:val="00F86A3A"/>
    <w:rsid w:val="00F92342"/>
    <w:rsid w:val="00FD597C"/>
    <w:rsid w:val="00FD78F9"/>
    <w:rsid w:val="00FD7FED"/>
    <w:rsid w:val="00FE5758"/>
    <w:rsid w:val="00FF7340"/>
    <w:rsid w:val="00FF74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6DD4CD"/>
  <w15:docId w15:val="{7F035CF4-010E-4DF2-86F5-F8B12E0E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AB9"/>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uiPriority w:val="9"/>
    <w:qFormat/>
    <w:rsid w:val="00633AB9"/>
    <w:pPr>
      <w:spacing w:after="0"/>
      <w:ind w:right="0"/>
      <w:jc w:val="left"/>
      <w:outlineLvl w:val="0"/>
    </w:pPr>
  </w:style>
  <w:style w:type="paragraph" w:styleId="Heading2">
    <w:name w:val="heading 2"/>
    <w:basedOn w:val="Normal"/>
    <w:next w:val="Normal"/>
    <w:link w:val="Heading2Char"/>
    <w:semiHidden/>
    <w:rsid w:val="00633AB9"/>
    <w:pPr>
      <w:outlineLvl w:val="1"/>
    </w:pPr>
  </w:style>
  <w:style w:type="paragraph" w:styleId="Heading3">
    <w:name w:val="heading 3"/>
    <w:basedOn w:val="Normal"/>
    <w:next w:val="Normal"/>
    <w:link w:val="Heading3Char"/>
    <w:semiHidden/>
    <w:rsid w:val="00633AB9"/>
    <w:pPr>
      <w:outlineLvl w:val="2"/>
    </w:pPr>
  </w:style>
  <w:style w:type="paragraph" w:styleId="Heading4">
    <w:name w:val="heading 4"/>
    <w:basedOn w:val="Normal"/>
    <w:next w:val="Normal"/>
    <w:link w:val="Heading4Char"/>
    <w:semiHidden/>
    <w:rsid w:val="00633AB9"/>
    <w:pPr>
      <w:outlineLvl w:val="3"/>
    </w:pPr>
  </w:style>
  <w:style w:type="paragraph" w:styleId="Heading5">
    <w:name w:val="heading 5"/>
    <w:basedOn w:val="Normal"/>
    <w:next w:val="Normal"/>
    <w:link w:val="Heading5Char"/>
    <w:semiHidden/>
    <w:rsid w:val="00633AB9"/>
    <w:pPr>
      <w:outlineLvl w:val="4"/>
    </w:pPr>
  </w:style>
  <w:style w:type="paragraph" w:styleId="Heading6">
    <w:name w:val="heading 6"/>
    <w:basedOn w:val="Normal"/>
    <w:next w:val="Normal"/>
    <w:link w:val="Heading6Char"/>
    <w:semiHidden/>
    <w:rsid w:val="00633AB9"/>
    <w:pPr>
      <w:outlineLvl w:val="5"/>
    </w:pPr>
  </w:style>
  <w:style w:type="paragraph" w:styleId="Heading7">
    <w:name w:val="heading 7"/>
    <w:basedOn w:val="Normal"/>
    <w:next w:val="Normal"/>
    <w:link w:val="Heading7Char"/>
    <w:semiHidden/>
    <w:rsid w:val="00633AB9"/>
    <w:pPr>
      <w:outlineLvl w:val="6"/>
    </w:pPr>
  </w:style>
  <w:style w:type="paragraph" w:styleId="Heading8">
    <w:name w:val="heading 8"/>
    <w:basedOn w:val="Normal"/>
    <w:next w:val="Normal"/>
    <w:link w:val="Heading8Char"/>
    <w:semiHidden/>
    <w:rsid w:val="00633AB9"/>
    <w:pPr>
      <w:outlineLvl w:val="7"/>
    </w:pPr>
  </w:style>
  <w:style w:type="paragraph" w:styleId="Heading9">
    <w:name w:val="heading 9"/>
    <w:basedOn w:val="Normal"/>
    <w:next w:val="Normal"/>
    <w:link w:val="Heading9Char"/>
    <w:semiHidden/>
    <w:rsid w:val="00633A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633AB9"/>
    <w:pPr>
      <w:pBdr>
        <w:bottom w:val="single" w:sz="4" w:space="4" w:color="auto"/>
      </w:pBdr>
    </w:pPr>
    <w:rPr>
      <w:b/>
      <w:sz w:val="18"/>
    </w:rPr>
  </w:style>
  <w:style w:type="character" w:customStyle="1" w:styleId="HeaderChar">
    <w:name w:val="Header Char"/>
    <w:aliases w:val="6_G Char"/>
    <w:basedOn w:val="DefaultParagraphFont"/>
    <w:link w:val="Header"/>
    <w:rsid w:val="00633AB9"/>
    <w:rPr>
      <w:rFonts w:ascii="Times New Roman" w:hAnsi="Times New Roman" w:cs="Times New Roman"/>
      <w:b/>
      <w:sz w:val="18"/>
      <w:szCs w:val="20"/>
    </w:rPr>
  </w:style>
  <w:style w:type="paragraph" w:styleId="Footer">
    <w:name w:val="footer"/>
    <w:aliases w:val="3_G"/>
    <w:basedOn w:val="Normal"/>
    <w:link w:val="FooterChar"/>
    <w:rsid w:val="00633AB9"/>
    <w:rPr>
      <w:sz w:val="16"/>
    </w:rPr>
  </w:style>
  <w:style w:type="character" w:customStyle="1" w:styleId="FooterChar">
    <w:name w:val="Footer Char"/>
    <w:aliases w:val="3_G Char"/>
    <w:basedOn w:val="DefaultParagraphFont"/>
    <w:link w:val="Footer"/>
    <w:rsid w:val="00633AB9"/>
    <w:rPr>
      <w:rFonts w:ascii="Times New Roman" w:hAnsi="Times New Roman" w:cs="Times New Roman"/>
      <w:sz w:val="16"/>
      <w:szCs w:val="20"/>
    </w:rPr>
  </w:style>
  <w:style w:type="paragraph" w:customStyle="1" w:styleId="HMG">
    <w:name w:val="_ H __M_G"/>
    <w:basedOn w:val="Normal"/>
    <w:next w:val="Normal"/>
    <w:rsid w:val="00633AB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633AB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633AB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633AB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633AB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633AB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633AB9"/>
    <w:pPr>
      <w:spacing w:after="120" w:line="240" w:lineRule="atLeast"/>
      <w:ind w:left="1134" w:right="1134"/>
      <w:jc w:val="both"/>
    </w:pPr>
  </w:style>
  <w:style w:type="paragraph" w:customStyle="1" w:styleId="SLG">
    <w:name w:val="__S_L_G"/>
    <w:basedOn w:val="Normal"/>
    <w:next w:val="Normal"/>
    <w:rsid w:val="00633AB9"/>
    <w:pPr>
      <w:keepNext/>
      <w:keepLines/>
      <w:spacing w:before="240" w:after="240" w:line="580" w:lineRule="exact"/>
      <w:ind w:left="1134" w:right="1134"/>
    </w:pPr>
    <w:rPr>
      <w:b/>
      <w:sz w:val="56"/>
    </w:rPr>
  </w:style>
  <w:style w:type="paragraph" w:customStyle="1" w:styleId="SMG">
    <w:name w:val="__S_M_G"/>
    <w:basedOn w:val="Normal"/>
    <w:next w:val="Normal"/>
    <w:rsid w:val="00633AB9"/>
    <w:pPr>
      <w:keepNext/>
      <w:keepLines/>
      <w:spacing w:before="240" w:after="240" w:line="420" w:lineRule="exact"/>
      <w:ind w:left="1134" w:right="1134"/>
    </w:pPr>
    <w:rPr>
      <w:b/>
      <w:sz w:val="40"/>
    </w:rPr>
  </w:style>
  <w:style w:type="paragraph" w:customStyle="1" w:styleId="SSG">
    <w:name w:val="__S_S_G"/>
    <w:basedOn w:val="Normal"/>
    <w:next w:val="Normal"/>
    <w:rsid w:val="00633AB9"/>
    <w:pPr>
      <w:keepNext/>
      <w:keepLines/>
      <w:spacing w:before="240" w:after="240" w:line="300" w:lineRule="exact"/>
      <w:ind w:left="1134" w:right="1134"/>
    </w:pPr>
    <w:rPr>
      <w:b/>
      <w:sz w:val="28"/>
    </w:rPr>
  </w:style>
  <w:style w:type="paragraph" w:customStyle="1" w:styleId="XLargeG">
    <w:name w:val="__XLarge_G"/>
    <w:basedOn w:val="Normal"/>
    <w:next w:val="Normal"/>
    <w:rsid w:val="00633AB9"/>
    <w:pPr>
      <w:keepNext/>
      <w:keepLines/>
      <w:spacing w:before="240" w:after="240" w:line="420" w:lineRule="exact"/>
      <w:ind w:left="1134" w:right="1134"/>
    </w:pPr>
    <w:rPr>
      <w:b/>
      <w:sz w:val="40"/>
    </w:rPr>
  </w:style>
  <w:style w:type="paragraph" w:customStyle="1" w:styleId="Bullet1G">
    <w:name w:val="_Bullet 1_G"/>
    <w:basedOn w:val="Normal"/>
    <w:qFormat/>
    <w:rsid w:val="00633AB9"/>
    <w:pPr>
      <w:numPr>
        <w:numId w:val="22"/>
      </w:numPr>
      <w:spacing w:after="120"/>
      <w:ind w:right="1134"/>
      <w:jc w:val="both"/>
    </w:pPr>
  </w:style>
  <w:style w:type="paragraph" w:customStyle="1" w:styleId="Bullet2G">
    <w:name w:val="_Bullet 2_G"/>
    <w:basedOn w:val="Normal"/>
    <w:qFormat/>
    <w:rsid w:val="00633AB9"/>
    <w:pPr>
      <w:numPr>
        <w:numId w:val="23"/>
      </w:numPr>
      <w:spacing w:after="120"/>
      <w:ind w:right="1134"/>
      <w:jc w:val="both"/>
    </w:pPr>
  </w:style>
  <w:style w:type="paragraph" w:customStyle="1" w:styleId="ParaNoG">
    <w:name w:val="_ParaNo._G"/>
    <w:basedOn w:val="SingleTxtG"/>
    <w:rsid w:val="00633AB9"/>
    <w:pPr>
      <w:numPr>
        <w:numId w:val="24"/>
      </w:numPr>
    </w:pPr>
  </w:style>
  <w:style w:type="numbering" w:styleId="111111">
    <w:name w:val="Outline List 2"/>
    <w:basedOn w:val="NoList"/>
    <w:semiHidden/>
    <w:rsid w:val="00633AB9"/>
    <w:pPr>
      <w:numPr>
        <w:numId w:val="15"/>
      </w:numPr>
    </w:pPr>
  </w:style>
  <w:style w:type="numbering" w:styleId="1ai">
    <w:name w:val="Outline List 1"/>
    <w:basedOn w:val="NoList"/>
    <w:semiHidden/>
    <w:rsid w:val="00633AB9"/>
    <w:pPr>
      <w:numPr>
        <w:numId w:val="6"/>
      </w:numPr>
    </w:pPr>
  </w:style>
  <w:style w:type="character" w:styleId="EndnoteReference">
    <w:name w:val="endnote reference"/>
    <w:aliases w:val="1_G"/>
    <w:rsid w:val="00633AB9"/>
    <w:rPr>
      <w:rFonts w:ascii="Times New Roman" w:hAnsi="Times New Roman"/>
      <w:sz w:val="18"/>
      <w:vertAlign w:val="superscript"/>
    </w:rPr>
  </w:style>
  <w:style w:type="paragraph" w:styleId="FootnoteText">
    <w:name w:val="footnote text"/>
    <w:aliases w:val="5_G,nota,pie,independiente,Letrero,margen,fn,footnote text,Footnote Text Char Char Char,Footnote Text Char Char Char Char Char Char Char Char,Footnote Text Char Char Ch Char,FA,Char Char Char Char,Footnote reference,FA Fu,Footnote Text Cha"/>
    <w:basedOn w:val="Normal"/>
    <w:link w:val="FootnoteTextChar"/>
    <w:uiPriority w:val="99"/>
    <w:qFormat/>
    <w:rsid w:val="00633AB9"/>
    <w:pPr>
      <w:tabs>
        <w:tab w:val="right" w:pos="1021"/>
      </w:tabs>
      <w:spacing w:line="220" w:lineRule="exact"/>
      <w:ind w:left="1134" w:right="1134" w:hanging="1134"/>
    </w:pPr>
    <w:rPr>
      <w:sz w:val="18"/>
    </w:rPr>
  </w:style>
  <w:style w:type="character" w:customStyle="1" w:styleId="FootnoteTextChar">
    <w:name w:val="Footnote Text Char"/>
    <w:aliases w:val="5_G Char,nota Char,pie Char,independiente Char,Letrero Char,margen Char,fn Char,footnote text Char,Footnote Text Char Char Char Char,Footnote Text Char Char Char Char Char Char Char Char Char,Footnote Text Char Char Ch Char Char"/>
    <w:basedOn w:val="DefaultParagraphFont"/>
    <w:link w:val="FootnoteText"/>
    <w:uiPriority w:val="99"/>
    <w:rsid w:val="00633AB9"/>
    <w:rPr>
      <w:rFonts w:ascii="Times New Roman" w:hAnsi="Times New Roman" w:cs="Times New Roman"/>
      <w:sz w:val="18"/>
      <w:szCs w:val="20"/>
    </w:rPr>
  </w:style>
  <w:style w:type="paragraph" w:styleId="EndnoteText">
    <w:name w:val="endnote text"/>
    <w:aliases w:val="2_G"/>
    <w:basedOn w:val="FootnoteText"/>
    <w:link w:val="EndnoteTextChar"/>
    <w:rsid w:val="00633AB9"/>
  </w:style>
  <w:style w:type="character" w:customStyle="1" w:styleId="EndnoteTextChar">
    <w:name w:val="Endnote Text Char"/>
    <w:aliases w:val="2_G Char"/>
    <w:basedOn w:val="DefaultParagraphFont"/>
    <w:link w:val="EndnoteText"/>
    <w:rsid w:val="00633AB9"/>
    <w:rPr>
      <w:rFonts w:ascii="Times New Roman" w:hAnsi="Times New Roman" w:cs="Times New Roman"/>
      <w:sz w:val="18"/>
      <w:szCs w:val="20"/>
    </w:rPr>
  </w:style>
  <w:style w:type="character" w:styleId="FootnoteReference">
    <w:name w:val="footnote reference"/>
    <w:aliases w:val="4_G,Footnotes refss,Footnote Ref,16 Point,Superscript 6 Point,Appel note de bas de p.,Footnote number,4_G Char Char,Footnote Refernece,ftref,[0],Ref,de nota al pie,BVI fnr,BVI fnr Car Car,BVI fnr Car,BVI fnr Car Car Car Car,note TESI"/>
    <w:uiPriority w:val="99"/>
    <w:qFormat/>
    <w:rsid w:val="00633AB9"/>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633AB9"/>
    <w:rPr>
      <w:rFonts w:ascii="Times New Roman" w:hAnsi="Times New Roman" w:cs="Times New Roman"/>
      <w:sz w:val="20"/>
      <w:szCs w:val="20"/>
    </w:rPr>
  </w:style>
  <w:style w:type="character" w:customStyle="1" w:styleId="Heading2Char">
    <w:name w:val="Heading 2 Char"/>
    <w:basedOn w:val="DefaultParagraphFont"/>
    <w:link w:val="Heading2"/>
    <w:semiHidden/>
    <w:rsid w:val="00633AB9"/>
    <w:rPr>
      <w:rFonts w:ascii="Times New Roman" w:hAnsi="Times New Roman" w:cs="Times New Roman"/>
      <w:sz w:val="20"/>
      <w:szCs w:val="20"/>
    </w:rPr>
  </w:style>
  <w:style w:type="character" w:customStyle="1" w:styleId="Heading3Char">
    <w:name w:val="Heading 3 Char"/>
    <w:basedOn w:val="DefaultParagraphFont"/>
    <w:link w:val="Heading3"/>
    <w:semiHidden/>
    <w:rsid w:val="00633AB9"/>
    <w:rPr>
      <w:rFonts w:ascii="Times New Roman" w:hAnsi="Times New Roman" w:cs="Times New Roman"/>
      <w:sz w:val="20"/>
      <w:szCs w:val="20"/>
    </w:rPr>
  </w:style>
  <w:style w:type="character" w:customStyle="1" w:styleId="Heading4Char">
    <w:name w:val="Heading 4 Char"/>
    <w:basedOn w:val="DefaultParagraphFont"/>
    <w:link w:val="Heading4"/>
    <w:semiHidden/>
    <w:rsid w:val="00633AB9"/>
    <w:rPr>
      <w:rFonts w:ascii="Times New Roman" w:hAnsi="Times New Roman" w:cs="Times New Roman"/>
      <w:sz w:val="20"/>
      <w:szCs w:val="20"/>
    </w:rPr>
  </w:style>
  <w:style w:type="character" w:customStyle="1" w:styleId="Heading5Char">
    <w:name w:val="Heading 5 Char"/>
    <w:basedOn w:val="DefaultParagraphFont"/>
    <w:link w:val="Heading5"/>
    <w:semiHidden/>
    <w:rsid w:val="00633AB9"/>
    <w:rPr>
      <w:rFonts w:ascii="Times New Roman" w:hAnsi="Times New Roman" w:cs="Times New Roman"/>
      <w:sz w:val="20"/>
      <w:szCs w:val="20"/>
    </w:rPr>
  </w:style>
  <w:style w:type="character" w:customStyle="1" w:styleId="Heading6Char">
    <w:name w:val="Heading 6 Char"/>
    <w:basedOn w:val="DefaultParagraphFont"/>
    <w:link w:val="Heading6"/>
    <w:semiHidden/>
    <w:rsid w:val="00633AB9"/>
    <w:rPr>
      <w:rFonts w:ascii="Times New Roman" w:hAnsi="Times New Roman" w:cs="Times New Roman"/>
      <w:sz w:val="20"/>
      <w:szCs w:val="20"/>
    </w:rPr>
  </w:style>
  <w:style w:type="character" w:customStyle="1" w:styleId="Heading7Char">
    <w:name w:val="Heading 7 Char"/>
    <w:basedOn w:val="DefaultParagraphFont"/>
    <w:link w:val="Heading7"/>
    <w:semiHidden/>
    <w:rsid w:val="00633AB9"/>
    <w:rPr>
      <w:rFonts w:ascii="Times New Roman" w:hAnsi="Times New Roman" w:cs="Times New Roman"/>
      <w:sz w:val="20"/>
      <w:szCs w:val="20"/>
    </w:rPr>
  </w:style>
  <w:style w:type="character" w:customStyle="1" w:styleId="Heading8Char">
    <w:name w:val="Heading 8 Char"/>
    <w:basedOn w:val="DefaultParagraphFont"/>
    <w:link w:val="Heading8"/>
    <w:semiHidden/>
    <w:rsid w:val="00633AB9"/>
    <w:rPr>
      <w:rFonts w:ascii="Times New Roman" w:hAnsi="Times New Roman" w:cs="Times New Roman"/>
      <w:sz w:val="20"/>
      <w:szCs w:val="20"/>
    </w:rPr>
  </w:style>
  <w:style w:type="character" w:customStyle="1" w:styleId="Heading9Char">
    <w:name w:val="Heading 9 Char"/>
    <w:basedOn w:val="DefaultParagraphFont"/>
    <w:link w:val="Heading9"/>
    <w:semiHidden/>
    <w:rsid w:val="00633AB9"/>
    <w:rPr>
      <w:rFonts w:ascii="Times New Roman" w:hAnsi="Times New Roman" w:cs="Times New Roman"/>
      <w:sz w:val="20"/>
      <w:szCs w:val="20"/>
    </w:rPr>
  </w:style>
  <w:style w:type="character" w:styleId="PageNumber">
    <w:name w:val="page number"/>
    <w:aliases w:val="7_G"/>
    <w:rsid w:val="00633AB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633AB9"/>
    <w:rPr>
      <w:rFonts w:ascii="Tahoma" w:hAnsi="Tahoma" w:cs="Tahoma"/>
      <w:sz w:val="16"/>
      <w:szCs w:val="16"/>
    </w:rPr>
  </w:style>
  <w:style w:type="character" w:customStyle="1" w:styleId="BalloonTextChar">
    <w:name w:val="Balloon Text Char"/>
    <w:basedOn w:val="DefaultParagraphFont"/>
    <w:link w:val="BalloonText"/>
    <w:uiPriority w:val="99"/>
    <w:semiHidden/>
    <w:rsid w:val="00633AB9"/>
    <w:rPr>
      <w:rFonts w:ascii="Tahoma" w:hAnsi="Tahoma" w:cs="Tahoma"/>
      <w:sz w:val="16"/>
      <w:szCs w:val="16"/>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633AB9"/>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45397"/>
    <w:pPr>
      <w:spacing w:after="100"/>
    </w:pPr>
  </w:style>
  <w:style w:type="paragraph" w:styleId="TOC2">
    <w:name w:val="toc 2"/>
    <w:basedOn w:val="Normal"/>
    <w:next w:val="Normal"/>
    <w:autoRedefine/>
    <w:uiPriority w:val="39"/>
    <w:unhideWhenUsed/>
    <w:rsid w:val="00245397"/>
    <w:pPr>
      <w:spacing w:after="100"/>
      <w:ind w:left="200"/>
    </w:pPr>
  </w:style>
  <w:style w:type="paragraph" w:customStyle="1" w:styleId="FootnoteTextCha1">
    <w:name w:val="Footnote Text Cha1"/>
    <w:basedOn w:val="Normal"/>
    <w:next w:val="FootnoteText"/>
    <w:uiPriority w:val="99"/>
    <w:unhideWhenUsed/>
    <w:qFormat/>
    <w:rsid w:val="00970F68"/>
    <w:rPr>
      <w:rFonts w:asciiTheme="minorHAnsi" w:eastAsiaTheme="minorHAnsi" w:hAnsiTheme="minorHAnsi" w:cstheme="minorBidi"/>
      <w:lang w:eastAsia="en-US"/>
    </w:rPr>
  </w:style>
  <w:style w:type="character" w:styleId="Strong">
    <w:name w:val="Strong"/>
    <w:basedOn w:val="DefaultParagraphFont"/>
    <w:uiPriority w:val="22"/>
    <w:qFormat/>
    <w:rsid w:val="00970F68"/>
    <w:rPr>
      <w:b/>
      <w:bCs/>
    </w:rPr>
  </w:style>
  <w:style w:type="character" w:customStyle="1" w:styleId="FootnoteTextChar2">
    <w:name w:val="Footnote Text Char2"/>
    <w:aliases w:val="5_G Char1,nota Char1,pie Char1,independiente Char1,Letrero Char1,margen Char1,fn Char1,footnote text Char1,Footnote Text Char Char Char Char1,Footnote Text Char Char Char Char Char Char Char Char Char1,FA Char,Footnote reference Char"/>
    <w:basedOn w:val="DefaultParagraphFont"/>
    <w:uiPriority w:val="99"/>
    <w:rsid w:val="00970F68"/>
    <w:rPr>
      <w:sz w:val="20"/>
      <w:szCs w:val="20"/>
    </w:rPr>
  </w:style>
  <w:style w:type="character" w:customStyle="1" w:styleId="Hyperlink1">
    <w:name w:val="Hyperlink1"/>
    <w:basedOn w:val="DefaultParagraphFont"/>
    <w:uiPriority w:val="99"/>
    <w:unhideWhenUsed/>
    <w:rsid w:val="007B2828"/>
    <w:rPr>
      <w:color w:val="0563C1"/>
      <w:u w:val="single"/>
    </w:rPr>
  </w:style>
  <w:style w:type="character" w:customStyle="1" w:styleId="SingleTxtGChar">
    <w:name w:val="_ Single Txt_G Char"/>
    <w:link w:val="SingleTxtG"/>
    <w:rsid w:val="00DB4721"/>
    <w:rPr>
      <w:rFonts w:ascii="Times New Roman" w:hAnsi="Times New Roman" w:cs="Times New Roman"/>
      <w:sz w:val="20"/>
      <w:szCs w:val="20"/>
    </w:rPr>
  </w:style>
  <w:style w:type="paragraph" w:styleId="Caption">
    <w:name w:val="caption"/>
    <w:basedOn w:val="Normal"/>
    <w:next w:val="Normal"/>
    <w:uiPriority w:val="35"/>
    <w:unhideWhenUsed/>
    <w:qFormat/>
    <w:rsid w:val="006A33EC"/>
    <w:pPr>
      <w:spacing w:before="120"/>
    </w:pPr>
    <w:rPr>
      <w:b/>
      <w:sz w:val="24"/>
      <w:szCs w:val="24"/>
    </w:rPr>
  </w:style>
  <w:style w:type="character" w:styleId="CommentReference">
    <w:name w:val="annotation reference"/>
    <w:basedOn w:val="DefaultParagraphFont"/>
    <w:uiPriority w:val="99"/>
    <w:semiHidden/>
    <w:unhideWhenUsed/>
    <w:rsid w:val="00C83D89"/>
    <w:rPr>
      <w:sz w:val="16"/>
      <w:szCs w:val="16"/>
    </w:rPr>
  </w:style>
  <w:style w:type="paragraph" w:styleId="CommentText">
    <w:name w:val="annotation text"/>
    <w:basedOn w:val="Normal"/>
    <w:link w:val="CommentTextChar"/>
    <w:uiPriority w:val="99"/>
    <w:semiHidden/>
    <w:unhideWhenUsed/>
    <w:rsid w:val="00C83D89"/>
  </w:style>
  <w:style w:type="character" w:customStyle="1" w:styleId="CommentTextChar">
    <w:name w:val="Comment Text Char"/>
    <w:basedOn w:val="DefaultParagraphFont"/>
    <w:link w:val="CommentText"/>
    <w:uiPriority w:val="99"/>
    <w:semiHidden/>
    <w:rsid w:val="00C83D8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3D89"/>
    <w:rPr>
      <w:b/>
      <w:bCs/>
    </w:rPr>
  </w:style>
  <w:style w:type="character" w:customStyle="1" w:styleId="CommentSubjectChar">
    <w:name w:val="Comment Subject Char"/>
    <w:basedOn w:val="CommentTextChar"/>
    <w:link w:val="CommentSubject"/>
    <w:uiPriority w:val="99"/>
    <w:semiHidden/>
    <w:rsid w:val="00C83D89"/>
    <w:rPr>
      <w:rFonts w:ascii="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6B2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38333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centcom.mil/MEDIA/STATEMENTS/Statements-View/Article/1949406/statement-from-us-central-command-on-us-forces-strike-against-al-qaida-in-syria." TargetMode="External"/><Relationship Id="rId2" Type="http://schemas.openxmlformats.org/officeDocument/2006/relationships/hyperlink" Target="https://scsanctions.un.org/consolidated/" TargetMode="External"/><Relationship Id="rId1" Type="http://schemas.openxmlformats.org/officeDocument/2006/relationships/hyperlink" Target="http://eng.mil.ru/en/news_page/country/more.htm?id=12243385@egNews" TargetMode="External"/><Relationship Id="rId6" Type="http://schemas.openxmlformats.org/officeDocument/2006/relationships/hyperlink" Target="http://www.youtube.com/watch?v=H8h9-5AEzZQ" TargetMode="External"/><Relationship Id="rId5" Type="http://schemas.openxmlformats.org/officeDocument/2006/relationships/hyperlink" Target="https://observers.france24.com/en/20191021-syria-turkey-militia-ahrar-sharqiya-investigation-abuses" TargetMode="External"/><Relationship Id="rId4" Type="http://schemas.openxmlformats.org/officeDocument/2006/relationships/hyperlink" Target="https://www.tccb.gov.tr/en/news/542/111024/-the-turkish-armed-forces-together-with-the-syrian-national-army-just-launched-operation-peace-spr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1726B-D5A3-4C28-9AE1-F5C9FDD90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CEB734-6351-45ED-9F2D-A8FD6425AB8F}">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812B72C-F434-408E-8BCC-7643EC547FEC}">
  <ds:schemaRefs>
    <ds:schemaRef ds:uri="http://schemas.microsoft.com/sharepoint/v3/contenttype/forms"/>
  </ds:schemaRefs>
</ds:datastoreItem>
</file>

<file path=customXml/itemProps4.xml><?xml version="1.0" encoding="utf-8"?>
<ds:datastoreItem xmlns:ds="http://schemas.openxmlformats.org/officeDocument/2006/customXml" ds:itemID="{59971223-5FDC-4ECC-AF93-1689110D8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42</TotalTime>
  <Pages>23</Pages>
  <Words>11292</Words>
  <Characters>64371</Characters>
  <Application>Microsoft Office Word</Application>
  <DocSecurity>4</DocSecurity>
  <Lines>536</Lines>
  <Paragraphs>151</Paragraphs>
  <ScaleCrop>false</ScaleCrop>
  <HeadingPairs>
    <vt:vector size="2" baseType="variant">
      <vt:variant>
        <vt:lpstr>Title</vt:lpstr>
      </vt:variant>
      <vt:variant>
        <vt:i4>1</vt:i4>
      </vt:variant>
    </vt:vector>
  </HeadingPairs>
  <TitlesOfParts>
    <vt:vector size="1" baseType="lpstr">
      <vt:lpstr>Report of the Independent International Commission of Inquiry on the Syrian Arab Republic</vt:lpstr>
    </vt:vector>
  </TitlesOfParts>
  <Company>DCM</Company>
  <LinksUpToDate>false</LinksUpToDate>
  <CharactersWithSpaces>75512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International Commission of Inquiry on the Syrian Arab Republic</dc:title>
  <dc:subject>1912782</dc:subject>
  <dc:creator>pae</dc:creator>
  <cp:keywords/>
  <dc:description>formatted text</dc:description>
  <cp:lastModifiedBy>REDDY Ravi Kumar</cp:lastModifiedBy>
  <cp:revision>2</cp:revision>
  <cp:lastPrinted>2020-02-04T17:00:00Z</cp:lastPrinted>
  <dcterms:created xsi:type="dcterms:W3CDTF">2020-02-28T19:27:00Z</dcterms:created>
  <dcterms:modified xsi:type="dcterms:W3CDTF">2020-02-28T19:27:00Z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